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P Barrett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EVP and Pres.- Retail Segment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5"/>
                <w:szCs w:val="15"/>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3"/>
          </w:tcPr>
          <w:p>
            <w:pPr>
              <w:ind w:left="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2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02/21/2025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w w:val="93"/>
              </w:rPr>
              <w:t>8,071</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900" w:type="dxa"/>
            <w:vAlign w:val="bottom"/>
            <w:tcBorders>
              <w:bottom w:val="single" w:sz="8" w:color="2C2C2C"/>
            </w:tcBorders>
            <w:gridSpan w:val="5"/>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111.65   1,350,697</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w:t>
            </w:r>
          </w:p>
        </w:tc>
        <w:tc>
          <w:tcPr>
            <w:tcW w:w="14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02/24/2025</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w w:val="93"/>
              </w:rPr>
              <w:t>11,338</w:t>
            </w:r>
            <w:r>
              <w:rPr>
                <w:rFonts w:ascii="Times New Roman" w:cs="Times New Roman" w:eastAsia="Times New Roman" w:hAnsi="Times New Roman"/>
                <w:sz w:val="22"/>
                <w:szCs w:val="22"/>
                <w:color w:val="008000"/>
                <w:w w:val="93"/>
                <w:vertAlign w:val="superscript"/>
              </w:rPr>
              <w:t>(3)</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64,913</w:t>
            </w:r>
            <w:r>
              <w:rPr>
                <w:rFonts w:ascii="Times New Roman" w:cs="Times New Roman" w:eastAsia="Times New Roman" w:hAnsi="Times New Roman"/>
                <w:sz w:val="22"/>
                <w:szCs w:val="22"/>
                <w:color w:val="008000"/>
                <w:w w:val="93"/>
                <w:vertAlign w:val="superscript"/>
              </w:rPr>
              <w:t>(4)</w:t>
            </w:r>
          </w:p>
        </w:tc>
        <w:tc>
          <w:tcPr>
            <w:tcW w:w="300" w:type="dxa"/>
            <w:vAlign w:val="bottom"/>
          </w:tcPr>
          <w:p>
            <w:pPr>
              <w:spacing w:after="0"/>
              <w:rPr>
                <w:sz w:val="21"/>
                <w:szCs w:val="21"/>
                <w:color w:val="auto"/>
              </w:rPr>
            </w:pPr>
          </w:p>
        </w:tc>
        <w:tc>
          <w:tcPr>
            <w:tcW w:w="560" w:type="dxa"/>
            <w:vAlign w:val="bottom"/>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w:t>
            </w:r>
          </w:p>
        </w:tc>
        <w:tc>
          <w:tcPr>
            <w:tcW w:w="14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02/24/2025</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1,566</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66,479</w:t>
            </w:r>
            <w:r>
              <w:rPr>
                <w:rFonts w:ascii="Times New Roman" w:cs="Times New Roman" w:eastAsia="Times New Roman" w:hAnsi="Times New Roman"/>
                <w:sz w:val="22"/>
                <w:szCs w:val="22"/>
                <w:color w:val="008000"/>
                <w:w w:val="93"/>
                <w:vertAlign w:val="superscript"/>
              </w:rPr>
              <w:t>(4)</w:t>
            </w:r>
          </w:p>
        </w:tc>
        <w:tc>
          <w:tcPr>
            <w:tcW w:w="300" w:type="dxa"/>
            <w:vAlign w:val="bottom"/>
          </w:tcPr>
          <w:p>
            <w:pPr>
              <w:spacing w:after="0"/>
              <w:rPr>
                <w:sz w:val="21"/>
                <w:szCs w:val="21"/>
                <w:color w:val="auto"/>
              </w:rPr>
            </w:pPr>
          </w:p>
        </w:tc>
        <w:tc>
          <w:tcPr>
            <w:tcW w:w="560" w:type="dxa"/>
            <w:vAlign w:val="bottom"/>
            <w:vMerge w:val="restart"/>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1,954,590</w:t>
            </w:r>
            <w:r>
              <w:rPr>
                <w:rFonts w:ascii="Times New Roman" w:cs="Times New Roman" w:eastAsia="Times New Roman" w:hAnsi="Times New Roman"/>
                <w:sz w:val="22"/>
                <w:szCs w:val="22"/>
                <w:color w:val="008000"/>
                <w:w w:val="96"/>
                <w:vertAlign w:val="superscript"/>
              </w:rPr>
              <w:t>(5)</w:t>
            </w:r>
          </w:p>
        </w:tc>
        <w:tc>
          <w:tcPr>
            <w:tcW w:w="300" w:type="dxa"/>
            <w:vAlign w:val="bottom"/>
          </w:tcPr>
          <w:p>
            <w:pPr>
              <w:spacing w:after="0"/>
              <w:rPr>
                <w:sz w:val="18"/>
                <w:szCs w:val="18"/>
                <w:color w:val="auto"/>
              </w:rPr>
            </w:pPr>
          </w:p>
        </w:tc>
        <w:tc>
          <w:tcPr>
            <w:tcW w:w="560" w:type="dxa"/>
            <w:vAlign w:val="bottom"/>
            <w:vMerge w:val="restart"/>
          </w:tcPr>
          <w:p>
            <w:pPr>
              <w:jc w:val="center"/>
              <w:ind w:right="288"/>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2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10,922</w:t>
            </w:r>
            <w:r>
              <w:rPr>
                <w:rFonts w:ascii="Times New Roman" w:cs="Times New Roman" w:eastAsia="Times New Roman" w:hAnsi="Times New Roman"/>
                <w:sz w:val="22"/>
                <w:szCs w:val="22"/>
                <w:color w:val="008000"/>
                <w:w w:val="93"/>
                <w:vertAlign w:val="superscript"/>
              </w:rPr>
              <w:t>(6)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2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2,324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withheld by the Company solely to cover the income tax withholding requirements associated with the vesting of 18,036 shares of stock under the Company's 2019 Stock Incentive Plan ("2019 SIP").</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357 of these shares were acquired through the Company's Employee Stock Purchase Plan in July 2024. Number of shares may vary due to dividend reinvestment.</w:t>
      </w:r>
    </w:p>
    <w:p>
      <w:pPr>
        <w:spacing w:after="0" w:line="50"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2019 SIP. The initial grant was made on February 21, 2022, but was subject to the satisfaction of performance-based conditions established in connection with this grant. On February 24, 2025, the Company confirmed the satisfaction of the performance-based conditions established in connection with this grant, and the Reporting Person has voting rights and dividend entitlement with respect to these shares, but full ownership will not vest until the satisfaction of additional service-based conditions.</w:t>
      </w:r>
    </w:p>
    <w:p>
      <w:pPr>
        <w:spacing w:after="0" w:line="20" w:lineRule="exact"/>
        <w:rPr>
          <w:rFonts w:ascii="Times New Roman" w:cs="Times New Roman" w:eastAsia="Times New Roman" w:hAnsi="Times New Roman"/>
          <w:sz w:val="13"/>
          <w:szCs w:val="13"/>
          <w:color w:val="008000"/>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2019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James Hyatt Brown Nongrantor Charitable Lead Annuity Trust, of which the Reporting Person is a trustee and remainder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upon information supplied by the plan record keeper as of December 31, 2024. Number of shares varied periodically based on contributions to the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securities owned by children who share the Reporting person's household. This report shall not be deemed an admission that the Reporting Person is the beneficial owner of such securities for the purpose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P. Barrett Brown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9832"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2025-02-25T17:09:23Z</dcterms:created>
  <dcterms:modified xsi:type="dcterms:W3CDTF">2025-02-25T17:09:23Z</dcterms:modified>
</cp:coreProperties>
</file>