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Turpin Julie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N. BEACH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5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BROWN &amp; BROWN,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65"/>
        <w:spacing w:after="0"/>
        <w:rPr>
          <w:sz w:val="20"/>
          <w:szCs w:val="20"/>
          <w:color w:val="auto"/>
        </w:rPr>
      </w:pPr>
      <w:r>
        <w:rPr>
          <w:rFonts w:ascii="Times New Roman" w:cs="Times New Roman" w:eastAsia="Times New Roman" w:hAnsi="Times New Roman"/>
          <w:sz w:val="17"/>
          <w:szCs w:val="17"/>
          <w:color w:val="0000FF"/>
        </w:rPr>
        <w:t>EVP/Chief People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DAYTONA</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FL</w:t>
            </w:r>
          </w:p>
        </w:tc>
        <w:tc>
          <w:tcPr>
            <w:tcW w:w="840" w:type="dxa"/>
            <w:vAlign w:val="bottom"/>
          </w:tcPr>
          <w:p>
            <w:pPr>
              <w:spacing w:after="0"/>
              <w:rPr>
                <w:sz w:val="15"/>
                <w:szCs w:val="15"/>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32114</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54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68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4"/>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4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6"/>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$.10 par value (2019 SIP)</w:t>
            </w:r>
          </w:p>
        </w:tc>
        <w:tc>
          <w:tcPr>
            <w:tcW w:w="1140" w:type="dxa"/>
            <w:vAlign w:val="bottom"/>
            <w:tcBorders>
              <w:bottom w:val="single" w:sz="8" w:color="2C2C2C"/>
            </w:tcBorders>
            <w:gridSpan w:val="3"/>
          </w:tcPr>
          <w:p>
            <w:pPr>
              <w:jc w:val="right"/>
              <w:ind w:right="78"/>
              <w:spacing w:after="0"/>
              <w:rPr>
                <w:sz w:val="20"/>
                <w:szCs w:val="20"/>
                <w:color w:val="auto"/>
              </w:rPr>
            </w:pPr>
            <w:r>
              <w:rPr>
                <w:rFonts w:ascii="Times New Roman" w:cs="Times New Roman" w:eastAsia="Times New Roman" w:hAnsi="Times New Roman"/>
                <w:sz w:val="17"/>
                <w:szCs w:val="17"/>
                <w:color w:val="0000FF"/>
              </w:rPr>
              <w:t>02/26/2026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11,704</w:t>
            </w:r>
            <w:r>
              <w:rPr>
                <w:rFonts w:ascii="Times New Roman" w:cs="Times New Roman" w:eastAsia="Times New Roman" w:hAnsi="Times New Roman"/>
                <w:sz w:val="22"/>
                <w:szCs w:val="22"/>
                <w:color w:val="008000"/>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38,973</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$.10 par value (2019 SIP)</w:t>
            </w:r>
          </w:p>
        </w:tc>
        <w:tc>
          <w:tcPr>
            <w:tcW w:w="1140" w:type="dxa"/>
            <w:vAlign w:val="bottom"/>
            <w:tcBorders>
              <w:bottom w:val="single" w:sz="8" w:color="2C2C2C"/>
            </w:tcBorders>
            <w:gridSpan w:val="3"/>
          </w:tcPr>
          <w:p>
            <w:pPr>
              <w:jc w:val="right"/>
              <w:ind w:right="78"/>
              <w:spacing w:after="0"/>
              <w:rPr>
                <w:sz w:val="20"/>
                <w:szCs w:val="20"/>
                <w:color w:val="auto"/>
              </w:rPr>
            </w:pPr>
            <w:r>
              <w:rPr>
                <w:rFonts w:ascii="Times New Roman" w:cs="Times New Roman" w:eastAsia="Times New Roman" w:hAnsi="Times New Roman"/>
                <w:sz w:val="17"/>
                <w:szCs w:val="17"/>
                <w:color w:val="0000FF"/>
              </w:rPr>
              <w:t>02/26/2026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right"/>
              <w:ind w:right="53"/>
              <w:spacing w:after="0"/>
              <w:rPr>
                <w:sz w:val="20"/>
                <w:szCs w:val="20"/>
                <w:color w:val="auto"/>
              </w:rPr>
            </w:pPr>
            <w:r>
              <w:rPr>
                <w:rFonts w:ascii="Times New Roman" w:cs="Times New Roman" w:eastAsia="Times New Roman" w:hAnsi="Times New Roman"/>
                <w:sz w:val="17"/>
                <w:szCs w:val="17"/>
                <w:color w:val="0000FF"/>
              </w:rPr>
              <w:t>2,855</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41,828</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$.10 par value</w:t>
            </w:r>
          </w:p>
        </w:tc>
        <w:tc>
          <w:tcPr>
            <w:tcW w:w="6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41,036</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40" w:type="dxa"/>
            <w:vAlign w:val="bottom"/>
            <w:gridSpan w:val="10"/>
          </w:tcPr>
          <w:p>
            <w:pPr>
              <w:jc w:val="center"/>
              <w:ind w:right="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were granted pursuant to the Company's 2019 Stock Incentive Plan ("2019 SIP"). The initial grant was made on February 20, 2023, but was subject to the satisfaction of performance-based conditions established in connection with this grant. On February 26, 2026, the Company confirmed the satisfaction of the performance-based conditions established in connection with this grant, and the Reporting Person has voting rights and dividend entitlement with respect to these shares, but full ownership will not vest until the satisfaction of additional service-based conditions.</w:t>
      </w:r>
    </w:p>
    <w:p>
      <w:pPr>
        <w:spacing w:after="0" w:line="20" w:lineRule="exact"/>
        <w:rPr>
          <w:rFonts w:ascii="Times New Roman" w:cs="Times New Roman" w:eastAsia="Times New Roman" w:hAnsi="Times New Roman"/>
          <w:sz w:val="13"/>
          <w:szCs w:val="13"/>
          <w:color w:val="008000"/>
        </w:rPr>
      </w:pPr>
    </w:p>
    <w:p>
      <w:pPr>
        <w:ind w:left="40" w:right="7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were granted pursuant to the 2019 SIP. The Reporting Person has voting rights and dividend entitlement with respect to these shares, but full ownership will not vest until the satisfaction of service-based conditions.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 total of 248 of these shares were acquired through the Company's Teammate Stock Purchase Plan in July 2025. Number of shares may vary due to dividend reinvestment.</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Julie Turpin</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02/27/2026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1040" TargetMode="External"/><Relationship Id="rId14" Type="http://schemas.openxmlformats.org/officeDocument/2006/relationships/hyperlink" Target="http://www.sec.gov/cgi-bin/browse-edgar?action=getcompany&amp;CIK=00000792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2026-03-02T16:25:46Z</dcterms:created>
  <dcterms:modified xsi:type="dcterms:W3CDTF">2026-03-02T16:25:46Z</dcterms:modified>
</cp:coreProperties>
</file>