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Turpin Julie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 BEACH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BROWN &amp; BROWN,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073"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5"/>
                <w:szCs w:val="15"/>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 par value</w:t>
            </w:r>
          </w:p>
        </w:tc>
        <w:tc>
          <w:tcPr>
            <w:tcW w:w="2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rPr>
              <w:t>02/21/2025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1,392</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111.65</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26,890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1500" w:type="dxa"/>
            <w:vAlign w:val="bottom"/>
            <w:gridSpan w:val="3"/>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02/24/2025</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6,802</w:t>
            </w:r>
            <w:r>
              <w:rPr>
                <w:rFonts w:ascii="Times New Roman" w:cs="Times New Roman" w:eastAsia="Times New Roman" w:hAnsi="Times New Roman"/>
                <w:sz w:val="22"/>
                <w:szCs w:val="22"/>
                <w:color w:val="008000"/>
                <w:w w:val="93"/>
                <w:vertAlign w:val="superscript"/>
              </w:rPr>
              <w:t>(3)</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46,469</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$.10 par value (2019</w:t>
            </w:r>
          </w:p>
        </w:tc>
        <w:tc>
          <w:tcPr>
            <w:tcW w:w="1500" w:type="dxa"/>
            <w:vAlign w:val="bottom"/>
            <w:gridSpan w:val="3"/>
            <w:vMerge w:val="restart"/>
          </w:tcPr>
          <w:p>
            <w:pPr>
              <w:jc w:val="center"/>
              <w:ind w:left="309"/>
              <w:spacing w:after="0"/>
              <w:rPr>
                <w:sz w:val="20"/>
                <w:szCs w:val="20"/>
                <w:color w:val="auto"/>
              </w:rPr>
            </w:pPr>
            <w:r>
              <w:rPr>
                <w:rFonts w:ascii="Times New Roman" w:cs="Times New Roman" w:eastAsia="Times New Roman" w:hAnsi="Times New Roman"/>
                <w:sz w:val="17"/>
                <w:szCs w:val="17"/>
                <w:color w:val="0000FF"/>
              </w:rPr>
              <w:t>02/24/2025</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1,342</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47,811</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SIP)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jc w:val="center"/>
              <w:ind w:left="3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withheld by the Company solely to cover the income tax withholding requirements associated with the vesting of 4,328 shares of stock under the Company's 2019 Stock Incentive Plan ("2019 SIP").</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total of 357 of these shares were acquired through the Company's Employee Stock Purchase Plan in July 2024. Number of shares may vary due to dividend reinvestment.</w:t>
      </w:r>
    </w:p>
    <w:p>
      <w:pPr>
        <w:spacing w:after="0" w:line="50"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2019 SIP. The initial grant was made on February 21, 2022, but was subject to the satisfaction of performance-based conditions established in connection with this grant. On February 24, 2025, the Company confirmed the satisfaction of the performance-based conditions established in connection with this grant, and the Reporting Person has voting rights and dividend entitlement with respect to these shares, but full ownership will not vest until the satisfaction of additional service-based conditions.</w:t>
      </w:r>
    </w:p>
    <w:p>
      <w:pPr>
        <w:spacing w:after="0" w:line="20"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granted pursuant to the 2019 SIP. The Reporting Person has voting rights and dividend entitlement with respect to these shares, but full ownership will not vest until the satisfaction of service-based conditions.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Anthony M. Robinson,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Julie Turpin, per Power of</w:t>
      </w:r>
      <w:r>
        <w:rPr>
          <w:sz w:val="20"/>
          <w:szCs w:val="20"/>
          <w:color w:val="auto"/>
        </w:rPr>
        <w:tab/>
      </w:r>
      <w:r>
        <w:rPr>
          <w:rFonts w:ascii="Times New Roman" w:cs="Times New Roman" w:eastAsia="Times New Roman" w:hAnsi="Times New Roman"/>
          <w:sz w:val="17"/>
          <w:szCs w:val="17"/>
          <w:color w:val="0000FF"/>
        </w:rPr>
        <w:t>02/24/2025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1040" TargetMode="External"/><Relationship Id="rId14"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2025-02-24T19:04:52Z</dcterms:created>
  <dcterms:modified xsi:type="dcterms:W3CDTF">2025-02-24T19:04:52Z</dcterms:modified>
</cp:coreProperties>
</file>