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150"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198"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w:t>
      </w:r>
    </w:p>
    <w:p>
      <w:pPr>
        <w:jc w:val="center"/>
        <w:ind w:right="-4"/>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Date of Report (Date of earliest event reported): May 18, 2020</w:t>
      </w:r>
    </w:p>
    <w:p>
      <w:pPr>
        <w:spacing w:after="0" w:line="17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BROWN &amp; BROWN, INC.</w:t>
      </w:r>
    </w:p>
    <w:p>
      <w:pPr>
        <w:spacing w:after="0" w:line="40"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0" w:lineRule="exact"/>
        <w:rPr>
          <w:sz w:val="24"/>
          <w:szCs w:val="24"/>
          <w:color w:val="auto"/>
        </w:rPr>
      </w:pPr>
    </w:p>
    <w:tbl>
      <w:tblPr>
        <w:tblLayout w:type="fixed"/>
        <w:tblInd w:w="1085" w:type="dxa"/>
        <w:tblCellMar>
          <w:top w:w="0" w:type="dxa"/>
          <w:left w:w="0" w:type="dxa"/>
          <w:bottom w:w="0" w:type="dxa"/>
          <w:right w:w="0" w:type="dxa"/>
        </w:tblCellMar>
      </w:tblPr>
      <w:tr>
        <w:trPr>
          <w:trHeight w:val="186"/>
        </w:trPr>
        <w:tc>
          <w:tcPr>
            <w:tcW w:w="1860" w:type="dxa"/>
            <w:vAlign w:val="bottom"/>
          </w:tcPr>
          <w:p>
            <w:pPr>
              <w:jc w:val="center"/>
              <w:ind w:right="332"/>
              <w:spacing w:after="0"/>
              <w:rPr>
                <w:sz w:val="20"/>
                <w:szCs w:val="20"/>
                <w:color w:val="auto"/>
              </w:rPr>
            </w:pPr>
            <w:r>
              <w:rPr>
                <w:rFonts w:ascii="Arial" w:cs="Arial" w:eastAsia="Arial" w:hAnsi="Arial"/>
                <w:sz w:val="16"/>
                <w:szCs w:val="16"/>
                <w:b w:val="1"/>
                <w:bCs w:val="1"/>
                <w:color w:val="auto"/>
                <w:w w:val="93"/>
              </w:rPr>
              <w:t>Florida</w:t>
            </w:r>
          </w:p>
        </w:tc>
        <w:tc>
          <w:tcPr>
            <w:tcW w:w="5480" w:type="dxa"/>
            <w:vAlign w:val="bottom"/>
          </w:tcPr>
          <w:p>
            <w:pPr>
              <w:ind w:left="2360"/>
              <w:spacing w:after="0"/>
              <w:rPr>
                <w:sz w:val="20"/>
                <w:szCs w:val="20"/>
                <w:color w:val="auto"/>
              </w:rPr>
            </w:pPr>
            <w:r>
              <w:rPr>
                <w:rFonts w:ascii="Arial" w:cs="Arial" w:eastAsia="Arial" w:hAnsi="Arial"/>
                <w:sz w:val="16"/>
                <w:szCs w:val="16"/>
                <w:b w:val="1"/>
                <w:bCs w:val="1"/>
                <w:color w:val="auto"/>
              </w:rPr>
              <w:t>001-13619</w:t>
            </w:r>
          </w:p>
        </w:tc>
        <w:tc>
          <w:tcPr>
            <w:tcW w:w="1540" w:type="dxa"/>
            <w:vAlign w:val="bottom"/>
          </w:tcPr>
          <w:p>
            <w:pPr>
              <w:jc w:val="center"/>
              <w:ind w:left="472"/>
              <w:spacing w:after="0"/>
              <w:rPr>
                <w:sz w:val="20"/>
                <w:szCs w:val="20"/>
                <w:color w:val="auto"/>
              </w:rPr>
            </w:pPr>
            <w:r>
              <w:rPr>
                <w:rFonts w:ascii="Arial" w:cs="Arial" w:eastAsia="Arial" w:hAnsi="Arial"/>
                <w:sz w:val="16"/>
                <w:szCs w:val="16"/>
                <w:b w:val="1"/>
                <w:bCs w:val="1"/>
                <w:color w:val="auto"/>
                <w:w w:val="88"/>
              </w:rPr>
              <w:t>59-0864469</w:t>
            </w:r>
          </w:p>
        </w:tc>
      </w:tr>
      <w:tr>
        <w:trPr>
          <w:trHeight w:val="130"/>
        </w:trPr>
        <w:tc>
          <w:tcPr>
            <w:tcW w:w="1860" w:type="dxa"/>
            <w:vAlign w:val="bottom"/>
          </w:tcPr>
          <w:p>
            <w:pPr>
              <w:jc w:val="center"/>
              <w:ind w:right="352"/>
              <w:spacing w:after="0" w:line="130" w:lineRule="exact"/>
              <w:rPr>
                <w:sz w:val="20"/>
                <w:szCs w:val="20"/>
                <w:color w:val="auto"/>
              </w:rPr>
            </w:pPr>
            <w:r>
              <w:rPr>
                <w:rFonts w:ascii="Arial" w:cs="Arial" w:eastAsia="Arial" w:hAnsi="Arial"/>
                <w:sz w:val="13"/>
                <w:szCs w:val="13"/>
                <w:b w:val="1"/>
                <w:bCs w:val="1"/>
                <w:color w:val="auto"/>
                <w:w w:val="88"/>
              </w:rPr>
              <w:t>(State or other jurisdiction</w:t>
            </w:r>
          </w:p>
        </w:tc>
        <w:tc>
          <w:tcPr>
            <w:tcW w:w="5480" w:type="dxa"/>
            <w:vAlign w:val="bottom"/>
          </w:tcPr>
          <w:p>
            <w:pPr>
              <w:ind w:left="2360"/>
              <w:spacing w:after="0" w:line="130" w:lineRule="exact"/>
              <w:rPr>
                <w:sz w:val="20"/>
                <w:szCs w:val="20"/>
                <w:color w:val="auto"/>
              </w:rPr>
            </w:pPr>
            <w:r>
              <w:rPr>
                <w:rFonts w:ascii="Arial" w:cs="Arial" w:eastAsia="Arial" w:hAnsi="Arial"/>
                <w:sz w:val="13"/>
                <w:szCs w:val="13"/>
                <w:b w:val="1"/>
                <w:bCs w:val="1"/>
                <w:color w:val="auto"/>
              </w:rPr>
              <w:t>(Commission</w:t>
            </w:r>
          </w:p>
        </w:tc>
        <w:tc>
          <w:tcPr>
            <w:tcW w:w="1540" w:type="dxa"/>
            <w:vAlign w:val="bottom"/>
          </w:tcPr>
          <w:p>
            <w:pPr>
              <w:jc w:val="center"/>
              <w:ind w:left="472"/>
              <w:spacing w:after="0" w:line="130" w:lineRule="exact"/>
              <w:rPr>
                <w:sz w:val="20"/>
                <w:szCs w:val="20"/>
                <w:color w:val="auto"/>
              </w:rPr>
            </w:pPr>
            <w:r>
              <w:rPr>
                <w:rFonts w:ascii="Arial" w:cs="Arial" w:eastAsia="Arial" w:hAnsi="Arial"/>
                <w:sz w:val="13"/>
                <w:szCs w:val="13"/>
                <w:b w:val="1"/>
                <w:bCs w:val="1"/>
                <w:color w:val="auto"/>
                <w:w w:val="89"/>
              </w:rPr>
              <w:t>(IRS Employer</w:t>
            </w:r>
          </w:p>
        </w:tc>
      </w:tr>
      <w:tr>
        <w:trPr>
          <w:trHeight w:val="164"/>
        </w:trPr>
        <w:tc>
          <w:tcPr>
            <w:tcW w:w="1860" w:type="dxa"/>
            <w:vAlign w:val="bottom"/>
          </w:tcPr>
          <w:p>
            <w:pPr>
              <w:jc w:val="center"/>
              <w:ind w:right="352"/>
              <w:spacing w:after="0"/>
              <w:rPr>
                <w:sz w:val="20"/>
                <w:szCs w:val="20"/>
                <w:color w:val="auto"/>
              </w:rPr>
            </w:pPr>
            <w:r>
              <w:rPr>
                <w:rFonts w:ascii="Arial" w:cs="Arial" w:eastAsia="Arial" w:hAnsi="Arial"/>
                <w:sz w:val="13"/>
                <w:szCs w:val="13"/>
                <w:b w:val="1"/>
                <w:bCs w:val="1"/>
                <w:color w:val="auto"/>
                <w:w w:val="88"/>
              </w:rPr>
              <w:t>of incorporation)</w:t>
            </w:r>
          </w:p>
        </w:tc>
        <w:tc>
          <w:tcPr>
            <w:tcW w:w="5480" w:type="dxa"/>
            <w:vAlign w:val="bottom"/>
          </w:tcPr>
          <w:p>
            <w:pPr>
              <w:ind w:left="2340"/>
              <w:spacing w:after="0"/>
              <w:rPr>
                <w:sz w:val="20"/>
                <w:szCs w:val="20"/>
                <w:color w:val="auto"/>
              </w:rPr>
            </w:pPr>
            <w:r>
              <w:rPr>
                <w:rFonts w:ascii="Arial" w:cs="Arial" w:eastAsia="Arial" w:hAnsi="Arial"/>
                <w:sz w:val="13"/>
                <w:szCs w:val="13"/>
                <w:b w:val="1"/>
                <w:bCs w:val="1"/>
                <w:color w:val="auto"/>
              </w:rPr>
              <w:t>File Number)</w:t>
            </w:r>
          </w:p>
        </w:tc>
        <w:tc>
          <w:tcPr>
            <w:tcW w:w="1540" w:type="dxa"/>
            <w:vAlign w:val="bottom"/>
          </w:tcPr>
          <w:p>
            <w:pPr>
              <w:jc w:val="center"/>
              <w:ind w:left="472"/>
              <w:spacing w:after="0"/>
              <w:rPr>
                <w:sz w:val="20"/>
                <w:szCs w:val="20"/>
                <w:color w:val="auto"/>
              </w:rPr>
            </w:pPr>
            <w:r>
              <w:rPr>
                <w:rFonts w:ascii="Arial" w:cs="Arial" w:eastAsia="Arial" w:hAnsi="Arial"/>
                <w:sz w:val="13"/>
                <w:szCs w:val="13"/>
                <w:b w:val="1"/>
                <w:bCs w:val="1"/>
                <w:color w:val="auto"/>
                <w:w w:val="91"/>
              </w:rPr>
              <w:t>Identification No.)</w:t>
            </w:r>
          </w:p>
        </w:tc>
      </w:tr>
      <w:tr>
        <w:trPr>
          <w:trHeight w:val="344"/>
        </w:trPr>
        <w:tc>
          <w:tcPr>
            <w:tcW w:w="1860" w:type="dxa"/>
            <w:vAlign w:val="bottom"/>
          </w:tcPr>
          <w:p>
            <w:pPr>
              <w:spacing w:after="0"/>
              <w:rPr>
                <w:sz w:val="24"/>
                <w:szCs w:val="24"/>
                <w:color w:val="auto"/>
              </w:rPr>
            </w:pPr>
          </w:p>
        </w:tc>
        <w:tc>
          <w:tcPr>
            <w:tcW w:w="5480" w:type="dxa"/>
            <w:vAlign w:val="bottom"/>
          </w:tcPr>
          <w:p>
            <w:pPr>
              <w:jc w:val="center"/>
              <w:ind w:right="29"/>
              <w:spacing w:after="0"/>
              <w:rPr>
                <w:sz w:val="20"/>
                <w:szCs w:val="20"/>
                <w:color w:val="auto"/>
              </w:rPr>
            </w:pPr>
            <w:r>
              <w:rPr>
                <w:rFonts w:ascii="Arial" w:cs="Arial" w:eastAsia="Arial" w:hAnsi="Arial"/>
                <w:sz w:val="16"/>
                <w:szCs w:val="16"/>
                <w:b w:val="1"/>
                <w:bCs w:val="1"/>
                <w:color w:val="auto"/>
                <w:w w:val="88"/>
              </w:rPr>
              <w:t>220 South Ridgewood Avenue, Daytona Beach, Florida 32114</w:t>
            </w:r>
          </w:p>
        </w:tc>
        <w:tc>
          <w:tcPr>
            <w:tcW w:w="1540" w:type="dxa"/>
            <w:vAlign w:val="bottom"/>
          </w:tcPr>
          <w:p>
            <w:pPr>
              <w:spacing w:after="0"/>
              <w:rPr>
                <w:sz w:val="24"/>
                <w:szCs w:val="24"/>
                <w:color w:val="auto"/>
              </w:rPr>
            </w:pPr>
          </w:p>
        </w:tc>
      </w:tr>
      <w:tr>
        <w:trPr>
          <w:trHeight w:val="164"/>
        </w:trPr>
        <w:tc>
          <w:tcPr>
            <w:tcW w:w="1860" w:type="dxa"/>
            <w:vAlign w:val="bottom"/>
          </w:tcPr>
          <w:p>
            <w:pPr>
              <w:spacing w:after="0"/>
              <w:rPr>
                <w:sz w:val="14"/>
                <w:szCs w:val="14"/>
                <w:color w:val="auto"/>
              </w:rPr>
            </w:pPr>
          </w:p>
        </w:tc>
        <w:tc>
          <w:tcPr>
            <w:tcW w:w="5480" w:type="dxa"/>
            <w:vAlign w:val="bottom"/>
          </w:tcPr>
          <w:p>
            <w:pPr>
              <w:jc w:val="center"/>
              <w:ind w:right="29"/>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540" w:type="dxa"/>
            <w:vAlign w:val="bottom"/>
          </w:tcPr>
          <w:p>
            <w:pPr>
              <w:spacing w:after="0"/>
              <w:rPr>
                <w:sz w:val="14"/>
                <w:szCs w:val="14"/>
                <w:color w:val="auto"/>
              </w:rPr>
            </w:pPr>
          </w:p>
        </w:tc>
      </w:tr>
      <w:tr>
        <w:trPr>
          <w:trHeight w:val="363"/>
        </w:trPr>
        <w:tc>
          <w:tcPr>
            <w:tcW w:w="1860" w:type="dxa"/>
            <w:vAlign w:val="bottom"/>
          </w:tcPr>
          <w:p>
            <w:pPr>
              <w:spacing w:after="0"/>
              <w:rPr>
                <w:sz w:val="24"/>
                <w:szCs w:val="24"/>
                <w:color w:val="auto"/>
              </w:rPr>
            </w:pPr>
          </w:p>
        </w:tc>
        <w:tc>
          <w:tcPr>
            <w:tcW w:w="5480" w:type="dxa"/>
            <w:vAlign w:val="bottom"/>
          </w:tcPr>
          <w:p>
            <w:pPr>
              <w:jc w:val="center"/>
              <w:ind w:right="49"/>
              <w:spacing w:after="0"/>
              <w:rPr>
                <w:sz w:val="20"/>
                <w:szCs w:val="20"/>
                <w:color w:val="auto"/>
              </w:rPr>
            </w:pPr>
            <w:r>
              <w:rPr>
                <w:rFonts w:ascii="Arial" w:cs="Arial" w:eastAsia="Arial" w:hAnsi="Arial"/>
                <w:sz w:val="16"/>
                <w:szCs w:val="16"/>
                <w:b w:val="1"/>
                <w:bCs w:val="1"/>
                <w:color w:val="auto"/>
                <w:w w:val="87"/>
              </w:rPr>
              <w:t>Registrant’s telephone number, including area code: (386) 252-9601</w:t>
            </w:r>
          </w:p>
        </w:tc>
        <w:tc>
          <w:tcPr>
            <w:tcW w:w="1540" w:type="dxa"/>
            <w:vAlign w:val="bottom"/>
          </w:tcPr>
          <w:p>
            <w:pPr>
              <w:spacing w:after="0"/>
              <w:rPr>
                <w:sz w:val="24"/>
                <w:szCs w:val="24"/>
                <w:color w:val="auto"/>
              </w:rPr>
            </w:pPr>
          </w:p>
        </w:tc>
      </w:tr>
      <w:tr>
        <w:trPr>
          <w:trHeight w:val="360"/>
        </w:trPr>
        <w:tc>
          <w:tcPr>
            <w:tcW w:w="1860" w:type="dxa"/>
            <w:vAlign w:val="bottom"/>
          </w:tcPr>
          <w:p>
            <w:pPr>
              <w:spacing w:after="0"/>
              <w:rPr>
                <w:sz w:val="24"/>
                <w:szCs w:val="24"/>
                <w:color w:val="auto"/>
              </w:rPr>
            </w:pPr>
          </w:p>
        </w:tc>
        <w:tc>
          <w:tcPr>
            <w:tcW w:w="5480" w:type="dxa"/>
            <w:vAlign w:val="bottom"/>
          </w:tcPr>
          <w:p>
            <w:pPr>
              <w:jc w:val="center"/>
              <w:ind w:right="49"/>
              <w:spacing w:after="0"/>
              <w:rPr>
                <w:sz w:val="20"/>
                <w:szCs w:val="20"/>
                <w:color w:val="auto"/>
              </w:rPr>
            </w:pPr>
            <w:r>
              <w:rPr>
                <w:rFonts w:ascii="Arial" w:cs="Arial" w:eastAsia="Arial" w:hAnsi="Arial"/>
                <w:sz w:val="16"/>
                <w:szCs w:val="16"/>
                <w:b w:val="1"/>
                <w:bCs w:val="1"/>
                <w:color w:val="auto"/>
              </w:rPr>
              <w:t>N/A</w:t>
            </w:r>
          </w:p>
        </w:tc>
        <w:tc>
          <w:tcPr>
            <w:tcW w:w="1540" w:type="dxa"/>
            <w:vAlign w:val="bottom"/>
          </w:tcPr>
          <w:p>
            <w:pPr>
              <w:spacing w:after="0"/>
              <w:rPr>
                <w:sz w:val="24"/>
                <w:szCs w:val="24"/>
                <w:color w:val="auto"/>
              </w:rPr>
            </w:pPr>
          </w:p>
        </w:tc>
      </w:tr>
      <w:tr>
        <w:trPr>
          <w:trHeight w:val="164"/>
        </w:trPr>
        <w:tc>
          <w:tcPr>
            <w:tcW w:w="1860" w:type="dxa"/>
            <w:vAlign w:val="bottom"/>
          </w:tcPr>
          <w:p>
            <w:pPr>
              <w:spacing w:after="0"/>
              <w:rPr>
                <w:sz w:val="14"/>
                <w:szCs w:val="14"/>
                <w:color w:val="auto"/>
              </w:rPr>
            </w:pPr>
          </w:p>
        </w:tc>
        <w:tc>
          <w:tcPr>
            <w:tcW w:w="548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(Former name or former address, if changed since last report.)</w:t>
            </w:r>
          </w:p>
        </w:tc>
        <w:tc>
          <w:tcPr>
            <w:tcW w:w="1540" w:type="dxa"/>
            <w:vAlign w:val="bottom"/>
          </w:tcPr>
          <w:p>
            <w:pPr>
              <w:spacing w:after="0"/>
              <w:rPr>
                <w:sz w:val="14"/>
                <w:szCs w:val="14"/>
                <w:color w:val="auto"/>
              </w:rPr>
            </w:pPr>
          </w:p>
        </w:tc>
      </w:tr>
    </w:tbl>
    <w:p>
      <w:pPr>
        <w:spacing w:after="0" w:line="162"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5" w:hanging="405"/>
        <w:spacing w:after="0"/>
        <w:tabs>
          <w:tab w:leader="none" w:pos="40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5" w:hanging="405"/>
        <w:spacing w:after="0"/>
        <w:tabs>
          <w:tab w:leader="none" w:pos="40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5" w:hanging="405"/>
        <w:spacing w:after="0"/>
        <w:tabs>
          <w:tab w:leader="none" w:pos="40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jc w:val="right"/>
        <w:ind w:left="3805" w:right="3820" w:hanging="3805"/>
        <w:spacing w:after="0" w:line="591" w:lineRule="auto"/>
        <w:tabs>
          <w:tab w:leader="none" w:pos="39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5" w:type="dxa"/>
        <w:tblCellMar>
          <w:top w:w="0" w:type="dxa"/>
          <w:left w:w="0" w:type="dxa"/>
          <w:bottom w:w="0" w:type="dxa"/>
          <w:right w:w="0" w:type="dxa"/>
        </w:tblCellMar>
      </w:tblPr>
      <w:tr>
        <w:trPr>
          <w:trHeight w:val="181"/>
        </w:trPr>
        <w:tc>
          <w:tcPr>
            <w:tcW w:w="4840" w:type="dxa"/>
            <w:vAlign w:val="bottom"/>
            <w:tcBorders>
              <w:top w:val="single" w:sz="8" w:color="auto"/>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8"/>
              </w:rPr>
              <w:t>Title of each class</w:t>
            </w:r>
          </w:p>
        </w:tc>
        <w:tc>
          <w:tcPr>
            <w:tcW w:w="2300" w:type="dxa"/>
            <w:vAlign w:val="bottom"/>
            <w:tcBorders>
              <w:top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90"/>
              </w:rPr>
              <w:t>Trading Symbol(s)</w:t>
            </w:r>
          </w:p>
        </w:tc>
        <w:tc>
          <w:tcPr>
            <w:tcW w:w="4120" w:type="dxa"/>
            <w:vAlign w:val="bottom"/>
            <w:tcBorders>
              <w:top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8"/>
              </w:rPr>
              <w:t>Name of each exchange on which registered</w:t>
            </w:r>
          </w:p>
        </w:tc>
      </w:tr>
      <w:tr>
        <w:trPr>
          <w:trHeight w:val="181"/>
        </w:trPr>
        <w:tc>
          <w:tcPr>
            <w:tcW w:w="484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8"/>
              </w:rPr>
              <w:t>Common Stock, $0.10 Par Value</w:t>
            </w:r>
          </w:p>
        </w:tc>
        <w:tc>
          <w:tcPr>
            <w:tcW w:w="230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92"/>
              </w:rPr>
              <w:t>BRO</w:t>
            </w:r>
          </w:p>
        </w:tc>
        <w:tc>
          <w:tcPr>
            <w:tcW w:w="412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left="5" w:right="1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as defined in Rule 405 of the Securities Act of 1933 or Rule 12b-2 of the Securities Exchange Act of 1934.</w:t>
      </w:r>
    </w:p>
    <w:p>
      <w:pPr>
        <w:spacing w:after="0" w:line="129"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198" w:right="319" w:bottom="1440" w:gutter="0" w:footer="0" w:header="0"/>
        </w:sectPr>
      </w:pPr>
    </w:p>
    <w:bookmarkStart w:id="1" w:name="page2"/>
    <w:bookmarkEnd w:id="1"/>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5795645</wp:posOffset>
            </wp:positionV>
            <wp:extent cx="714946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940"/>
          </w:cols>
          <w:pgMar w:left="320" w:top="316" w:right="639" w:bottom="1440" w:gutter="0" w:footer="0" w:header="0"/>
        </w:sectPr>
      </w:pPr>
    </w:p>
    <w:bookmarkStart w:id="2" w:name="page3"/>
    <w:bookmarkEnd w:id="2"/>
    <w:p>
      <w:pPr>
        <w:ind w:left="5"/>
        <w:spacing w:after="0"/>
        <w:tabs>
          <w:tab w:leader="none" w:pos="1245"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17" w:lineRule="exact"/>
        <w:rPr>
          <w:sz w:val="20"/>
          <w:szCs w:val="20"/>
          <w:color w:val="auto"/>
        </w:rPr>
      </w:pPr>
    </w:p>
    <w:p>
      <w:pPr>
        <w:jc w:val="both"/>
        <w:ind w:left="5"/>
        <w:spacing w:after="0" w:line="277" w:lineRule="auto"/>
        <w:rPr>
          <w:sz w:val="20"/>
          <w:szCs w:val="20"/>
          <w:color w:val="auto"/>
        </w:rPr>
      </w:pPr>
      <w:r>
        <w:rPr>
          <w:rFonts w:ascii="Arial" w:cs="Arial" w:eastAsia="Arial" w:hAnsi="Arial"/>
          <w:sz w:val="17"/>
          <w:szCs w:val="17"/>
          <w:color w:val="auto"/>
        </w:rPr>
        <w:t>Members of the Company’s management will use the information in the presentation furnished as Exhibit 99.1 to this Current Report on Form 8-K and incorporated by reference herein in meetings with institutional investors and analysts and at investor conference presentations.</w:t>
      </w:r>
    </w:p>
    <w:p>
      <w:pPr>
        <w:spacing w:after="0" w:line="69" w:lineRule="exact"/>
        <w:rPr>
          <w:sz w:val="20"/>
          <w:szCs w:val="20"/>
          <w:color w:val="auto"/>
        </w:rPr>
      </w:pPr>
    </w:p>
    <w:p>
      <w:pPr>
        <w:jc w:val="both"/>
        <w:ind w:left="5"/>
        <w:spacing w:after="0" w:line="286"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46"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18" w:lineRule="exact"/>
        <w:rPr>
          <w:sz w:val="20"/>
          <w:szCs w:val="20"/>
          <w:color w:val="auto"/>
        </w:rPr>
      </w:pPr>
    </w:p>
    <w:p>
      <w:pPr>
        <w:ind w:left="425" w:hanging="425"/>
        <w:spacing w:after="0"/>
        <w:tabs>
          <w:tab w:leader="none" w:pos="42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following exhibit is furnished herewith:</w:t>
      </w:r>
    </w:p>
    <w:p>
      <w:pPr>
        <w:spacing w:after="0" w:line="200" w:lineRule="exact"/>
        <w:rPr>
          <w:sz w:val="20"/>
          <w:szCs w:val="20"/>
          <w:color w:val="auto"/>
        </w:rPr>
      </w:pPr>
    </w:p>
    <w:p>
      <w:pPr>
        <w:spacing w:after="0" w:line="216" w:lineRule="exact"/>
        <w:rPr>
          <w:sz w:val="20"/>
          <w:szCs w:val="20"/>
          <w:color w:val="auto"/>
        </w:rPr>
      </w:pPr>
    </w:p>
    <w:tbl>
      <w:tblPr>
        <w:tblLayout w:type="fixed"/>
        <w:tblInd w:w="5"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80" w:type="dxa"/>
            <w:vAlign w:val="bottom"/>
            <w:gridSpan w:val="3"/>
          </w:tcPr>
          <w:p>
            <w:pPr>
              <w:ind w:left="52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5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4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80"/>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99.1</w:t>
            </w:r>
          </w:p>
        </w:tc>
        <w:tc>
          <w:tcPr>
            <w:tcW w:w="520" w:type="dxa"/>
            <w:vAlign w:val="bottom"/>
          </w:tcPr>
          <w:p>
            <w:pPr>
              <w:spacing w:after="0"/>
              <w:rPr>
                <w:sz w:val="24"/>
                <w:szCs w:val="24"/>
                <w:color w:val="auto"/>
              </w:rPr>
            </w:pPr>
          </w:p>
        </w:tc>
        <w:tc>
          <w:tcPr>
            <w:tcW w:w="9780" w:type="dxa"/>
            <w:vAlign w:val="bottom"/>
            <w:gridSpan w:val="3"/>
          </w:tcPr>
          <w:p>
            <w:pPr>
              <w:ind w:left="52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Brown &amp; Brown, Inc. 2020 Investor Presentation.</w:t>
              </w:r>
            </w:hyperlink>
          </w:p>
        </w:tc>
      </w:tr>
      <w:tr>
        <w:trPr>
          <w:trHeight w:val="331"/>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104</w:t>
            </w:r>
          </w:p>
        </w:tc>
        <w:tc>
          <w:tcPr>
            <w:tcW w:w="520" w:type="dxa"/>
            <w:vAlign w:val="bottom"/>
          </w:tcPr>
          <w:p>
            <w:pPr>
              <w:spacing w:after="0"/>
              <w:rPr>
                <w:sz w:val="24"/>
                <w:szCs w:val="24"/>
                <w:color w:val="auto"/>
              </w:rPr>
            </w:pPr>
          </w:p>
        </w:tc>
        <w:tc>
          <w:tcPr>
            <w:tcW w:w="9780" w:type="dxa"/>
            <w:vAlign w:val="bottom"/>
            <w:gridSpan w:val="3"/>
          </w:tcPr>
          <w:p>
            <w:pPr>
              <w:ind w:left="520"/>
              <w:spacing w:after="0"/>
              <w:rPr>
                <w:sz w:val="20"/>
                <w:szCs w:val="20"/>
                <w:color w:val="auto"/>
              </w:rPr>
            </w:pPr>
            <w:r>
              <w:rPr>
                <w:rFonts w:ascii="Arial" w:cs="Arial" w:eastAsia="Arial" w:hAnsi="Arial"/>
                <w:sz w:val="17"/>
                <w:szCs w:val="17"/>
                <w:color w:val="auto"/>
              </w:rPr>
              <w:t>Cover Page Interactive Data File (formatted as inline XBRL).</w:t>
            </w:r>
          </w:p>
        </w:tc>
      </w:tr>
      <w:tr>
        <w:trPr>
          <w:trHeight w:val="437"/>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-6985</wp:posOffset>
            </wp:positionV>
            <wp:extent cx="76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5"/>
          </w:cols>
          <w:pgMar w:left="315" w:top="120"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9"/>
          <w:szCs w:val="19"/>
          <w:b w:val="1"/>
          <w:bCs w:val="1"/>
          <w:color w:val="auto"/>
        </w:rPr>
        <w:t>SIGNATURES</w:t>
      </w:r>
    </w:p>
    <w:p>
      <w:pPr>
        <w:spacing w:after="0" w:line="189" w:lineRule="exact"/>
        <w:rPr>
          <w:sz w:val="20"/>
          <w:szCs w:val="20"/>
          <w:color w:val="auto"/>
        </w:rPr>
      </w:pPr>
    </w:p>
    <w:p>
      <w:pPr>
        <w:ind w:firstLine="866"/>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Date: May 18, 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BROWN &amp; BROWN, INC.</w:t>
      </w:r>
    </w:p>
    <w:p>
      <w:pPr>
        <w:spacing w:after="0" w:line="200" w:lineRule="exact"/>
        <w:rPr>
          <w:sz w:val="20"/>
          <w:szCs w:val="20"/>
          <w:color w:val="auto"/>
        </w:rPr>
      </w:pP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8255</wp:posOffset>
            </wp:positionV>
            <wp:extent cx="32219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1990" cy="7620"/>
                    </a:xfrm>
                    <a:prstGeom prst="rect">
                      <a:avLst/>
                    </a:prstGeom>
                    <a:noFill/>
                  </pic:spPr>
                </pic:pic>
              </a:graphicData>
            </a:graphic>
          </wp:anchor>
        </w:drawing>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R. Andrew Watts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Executive Vice President, Treasurer and Chief Financial Officer</w:t>
      </w:r>
    </w:p>
    <w:p>
      <w:pPr>
        <w:sectPr>
          <w:pgSz w:w="11900" w:h="16838" w:orient="portrait"/>
          <w:cols w:equalWidth="0" w:num="1">
            <w:col w:w="11220"/>
          </w:cols>
          <w:pgMar w:left="320" w:top="115" w:right="3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640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5826125</wp:posOffset>
            </wp:positionV>
            <wp:extent cx="714946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2020-05-19T05:05:46Z</dcterms:created>
  <dcterms:modified xsi:type="dcterms:W3CDTF">2020-05-19T05:05:46Z</dcterms:modified>
</cp:coreProperties>
</file>