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bro-20260727.htm"/>
      <w:bookmarkStart w:id="1" w:name="ksbro20260727"/>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40" w:after="283"/>
        <w:jc w:val="center"/>
        <w:rPr>
          <w:rFonts w:ascii="Times New Roman" w:hAnsi="Times New Roman"/>
          <w:sz w:val="20"/>
        </w:rPr>
      </w:pPr>
      <w:r>
        <w:rPr>
          <w:rFonts w:ascii="Times New Roman" w:hAnsi="Times New Roman"/>
          <w:b/>
          <w:color w:val="000000"/>
          <w:sz w:val="24"/>
        </w:rPr>
        <w:t>Date of Report (Date of earliest event reported):</w:t>
      </w:r>
      <w:r>
        <w:rPr>
          <w:rFonts w:ascii="Times New Roman" w:hAnsi="Times New Roman"/>
          <w:color w:val="000000"/>
          <w:sz w:val="20"/>
        </w:rPr>
        <w:t xml:space="preserve"> </w:t>
      </w:r>
      <w:r>
        <w:rPr>
          <w:rFonts w:ascii="Times New Roman" w:hAnsi="Times New Roman"/>
          <w:b/>
          <w:color w:val="000000"/>
          <w:sz w:val="24"/>
        </w:rPr>
        <w:t>July 27, 2026</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001-13619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300 North Beach Street, Daytona Beach, Florida</w:t>
      </w:r>
      <w:r>
        <w:rPr>
          <w:rFonts w:ascii="Times New Roman" w:hAnsi="Times New Roman"/>
          <w:color w:val="000000"/>
          <w:sz w:val="20"/>
        </w:rPr>
        <w:t xml:space="preserve"> </w:t>
      </w:r>
      <w:r>
        <w:rPr>
          <w:rFonts w:ascii="Times New Roman" w:hAnsi="Times New Roman"/>
          <w:b/>
          <w:color w:val="000000"/>
          <w:sz w:val="20"/>
        </w:rPr>
        <w:t>32114</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(386)</w:t>
      </w:r>
      <w:r>
        <w:rPr>
          <w:rFonts w:ascii="Times New Roman" w:hAnsi="Times New Roman"/>
          <w:color w:val="000000"/>
          <w:sz w:val="20"/>
        </w:rPr>
        <w:t xml:space="preserve"> </w:t>
      </w:r>
      <w:r>
        <w:rPr>
          <w:rFonts w:ascii="Times New Roman" w:hAnsi="Times New Roman"/>
          <w:b/>
          <w:color w:val="000000"/>
          <w:sz w:val="20"/>
        </w:rPr>
        <w:t>252-9601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88" w:type="dxa"/>
        <w:jc w:val="left"/>
        <w:tblInd w:w="0" w:type="dxa"/>
        <w:tblLayout w:type="fixed"/>
        <w:tblCellMar>
          <w:top w:w="28" w:type="dxa"/>
          <w:left w:w="28" w:type="dxa"/>
          <w:bottom w:w="28" w:type="dxa"/>
          <w:right w:w="28" w:type="dxa"/>
        </w:tblCellMar>
      </w:tblPr>
      <w:tblGrid>
        <w:gridCol w:w="2761"/>
        <w:gridCol w:w="1621"/>
        <w:gridCol w:w="3706"/>
      </w:tblGrid>
      <w:tr>
        <w:trPr/>
        <w:tc>
          <w:tcPr>
            <w:tcW w:w="276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76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76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62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370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w:t>
      </w:r>
      <w:r>
        <w:rPr>
          <w:rFonts w:ascii="Times New Roman" w:hAnsi="Times New Roman"/>
          <w:color w:val="000000"/>
          <w:sz w:val="20"/>
        </w:rPr>
        <w:t xml:space="preserve"> </w:t>
      </w:r>
      <w:r>
        <w:rPr>
          <w:rFonts w:ascii="Times New Roman" w:hAnsi="Times New Roman"/>
          <w:b/>
          <w:color w:val="000000"/>
          <w:sz w:val="20"/>
        </w:rPr>
        <w:t>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27, 2026, Brown &amp; Brown, Inc. issued a press release announcing its results of operations for the second quarter ended June 30, 2026. A copy of the press release is furnished as Exhibit 99.1 hereto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furnished herewith pursuant to Item 2.02 of this Current Report, including Exhibit 99.1, shall not be deemed to be filed for the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except as shall be expressly set forth by specific reference in such filing.</w:t>
      </w:r>
    </w:p>
    <w:p>
      <w:pPr>
        <w:pStyle w:val="TextBody"/>
        <w:bidi w:val="0"/>
        <w:spacing w:before="360" w:after="283"/>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r>
        <w:rPr>
          <w:rFonts w:ascii="Times New Roman" w:hAnsi="Times New Roman"/>
          <w:b/>
          <w:color w:val="000000"/>
          <w:sz w:val="20"/>
        </w:rPr>
        <w:t>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 is furnished herewith:</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1081"/>
        <w:gridCol w:w="146"/>
        <w:gridCol w:w="50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left"/>
              <w:rPr/>
            </w:pPr>
            <w:hyperlink w:anchor="bro-ex99_1.htm">
              <w:r>
                <w:rPr>
                  <w:rStyle w:val="InternetLink"/>
                  <w:rFonts w:ascii="Times New Roman" w:hAnsi="Times New Roman"/>
                  <w:color w:val="0563C1"/>
                  <w:sz w:val="20"/>
                  <w:u w:val="single"/>
                </w:rPr>
                <w:t>Press Release dated July 27,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27, 2026</w:t>
      </w:r>
    </w:p>
    <w:p>
      <w:pPr>
        <w:pStyle w:val="TextBody"/>
        <w:bidi w:val="0"/>
        <w:jc w:val="left"/>
        <w:rPr/>
      </w:pPr>
      <w:r>
        <w:rPr/>
        <w:t> </w:t>
      </w:r>
    </w:p>
    <w:tbl>
      <w:tblPr>
        <w:tblW w:w="9237"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406"/>
        <w:gridCol w:w="146"/>
        <w:gridCol w:w="58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BROWN &amp; BROWN,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9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R. Andrew Watts, 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bro-ex99_1.htm"/>
      <w:bookmarkStart w:id="3" w:name="ksbroex99_1"/>
      <w:bookmarkEnd w:id="2"/>
      <w:bookmarkEnd w:id="3"/>
      <w:r>
        <w:rPr/>
        <w:t> </w:t>
      </w:r>
      <w:r>
        <w:br w:type="page"/>
      </w:r>
    </w:p>
    <w:p>
      <w:pPr>
        <w:pStyle w:val="TextBody"/>
        <w:bidi w:val="0"/>
        <w:spacing w:before="0" w:after="120"/>
        <w:jc w:val="right"/>
        <w:rPr>
          <w:rFonts w:ascii="Times New Roman" w:hAnsi="Times New Roman"/>
          <w:b/>
          <w:color w:val="000000"/>
          <w:sz w:val="24"/>
        </w:rPr>
      </w:pPr>
      <w:r>
        <w:rPr>
          <w:rFonts w:ascii="Times New Roman" w:hAnsi="Times New Roman"/>
          <w:b/>
          <w:color w:val="000000"/>
          <w:sz w:val="24"/>
        </w:rPr>
        <w:t>Exhibit 99.1</w:t>
      </w:r>
    </w:p>
    <w:p>
      <w:pPr>
        <w:pStyle w:val="TextBody"/>
        <w:bidi w:val="0"/>
        <w:jc w:val="left"/>
        <w:rPr/>
      </w:pPr>
      <w:r>
        <w:rPr/>
        <w:drawing>
          <wp:inline distT="0" distB="0" distL="0" distR="0">
            <wp:extent cx="498157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981575" cy="6762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 announces second quarter 2026 results,</w:t>
      </w:r>
    </w:p>
    <w:p>
      <w:pPr>
        <w:pStyle w:val="TextBody"/>
        <w:bidi w:val="0"/>
        <w:jc w:val="center"/>
        <w:rPr>
          <w:rFonts w:ascii="Times New Roman" w:hAnsi="Times New Roman"/>
          <w:b/>
          <w:color w:val="000000"/>
          <w:sz w:val="20"/>
        </w:rPr>
      </w:pPr>
      <w:r>
        <w:rPr>
          <w:rFonts w:ascii="Times New Roman" w:hAnsi="Times New Roman"/>
          <w:b/>
          <w:color w:val="000000"/>
          <w:sz w:val="20"/>
        </w:rPr>
        <w:t>including total revenues of $1.7 billion, an increase of 30.4%; Organic Revenue decrease of 0.7%; growth of Organic Revenue with Contingents of 0.7%; diluted net income per share of $0.84; and Diluted Net Income Per Share - Adjusted of $1.07</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DAYTONA BEACH, Fla., July 27, 2026 - </w:t>
      </w:r>
      <w:r>
        <w:rPr>
          <w:rFonts w:ascii="Times New Roman" w:hAnsi="Times New Roman"/>
          <w:color w:val="000000"/>
          <w:sz w:val="20"/>
        </w:rPr>
        <w:t>Brown &amp; Brown, Inc. (NYSE:BRO) (the "Company") announced its unaudited financial results for the second quarter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second quarter ended June 30, 2026, the Company achieved: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revenues of $1.7 billion, increasing $391 million, or 30.4%, compared to the second quarter of the prior year, with Organic Revenue decreasing 0.7% and Organic Revenue with Contingents increasing 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Income before income taxes of $383 million, increasing 23.2%, with Income Before Income Taxes Margin of 22.9%, compared to 24.2% in the second quarter of the prior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EBITDAC - Adjusted of $598 million, increasing 27.0%, with EBITDAC Margin - Adjusted of 35.7%, compared to 36.7% in the second quarter of the prior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income attributable to the Company of $288 million, increasing $57 million, or 24.7%, compared to the second quarter of the prior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Diluted net income per share of $0.84, an increase of 7.7%, with Diluted Net Income Per Share - Adjusted increasing to $1.07, or 3.9%, each compared to the second quarter of the prior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the Company achieved: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Total revenues of $3.6 billion, increasing $888 million, or 33.0%, compared to the same period in 2025, with Organic Revenue</w:t>
      </w:r>
      <w:r>
        <w:rPr>
          <w:color w:val="000000"/>
        </w:rPr>
        <w:t xml:space="preserve"> </w:t>
      </w:r>
      <w:r>
        <w:rPr>
          <w:rFonts w:ascii="Times New Roman" w:hAnsi="Times New Roman"/>
          <w:color w:val="000000"/>
          <w:sz w:val="20"/>
        </w:rPr>
        <w:t>decreasing 0.3% and Organic Revenue with Contingents increasing 1.6%.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Income before income taxes of $915 million, increasing 24.0%, with Income Before Income Taxes Margin of 25.6%, compared to 27.4% in the same period in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EBITDAC - Adjusted of $1.3 billion, increasing 32.2%, with EBITDAC Margin - Adjusted of 37.2%, compared to 37.4% in the same period in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income attributable to the Company of $714 million, increasing $151 million, or 26.8%, compared to the same period in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Diluted net income per share of $1.90, a decrease of 1.6%, with Diluted Net Income Per Share - Adjusted increasing to $2.46, or 6.0%, each compared to the same period in 2025.</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J. Powell Brown, president and chief executive officer of the Company, noted, “We are pleased with our financial results for the quarter and have great momentum as we head into the back half of the year.”</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Commissions and Fees</w:t>
      </w:r>
    </w:p>
    <w:p>
      <w:pPr>
        <w:pStyle w:val="TextBody"/>
        <w:bidi w:val="0"/>
        <w:jc w:val="center"/>
        <w:rPr>
          <w:rFonts w:ascii="Times New Roman" w:hAnsi="Times New Roman"/>
          <w:b/>
          <w:color w:val="000000"/>
          <w:sz w:val="22"/>
        </w:rPr>
      </w:pPr>
      <w:r>
        <w:rPr>
          <w:rFonts w:ascii="Times New Roman" w:hAnsi="Times New Roman"/>
          <w:b/>
          <w:color w:val="000000"/>
          <w:sz w:val="22"/>
        </w:rPr>
        <w:t>to Organic Revenue and Organic Revenue with Contingents</w:t>
      </w:r>
    </w:p>
    <w:p>
      <w:pPr>
        <w:pStyle w:val="TextBody"/>
        <w:bidi w:val="0"/>
        <w:jc w:val="center"/>
        <w:rPr>
          <w:rFonts w:ascii="Times New Roman" w:hAnsi="Times New Roman"/>
          <w:b/>
          <w:color w:val="000000"/>
          <w:sz w:val="22"/>
        </w:rPr>
      </w:pPr>
      <w:r>
        <w:rPr>
          <w:rFonts w:ascii="Times New Roman" w:hAnsi="Times New Roman"/>
          <w:b/>
          <w:color w:val="000000"/>
          <w:sz w:val="22"/>
        </w:rPr>
        <w:t>(in millions, unaudited)</w:t>
      </w:r>
    </w:p>
    <w:p>
      <w:pPr>
        <w:pStyle w:val="TextBody"/>
        <w:bidi w:val="0"/>
        <w:jc w:val="left"/>
        <w:rPr/>
      </w:pPr>
      <w:r>
        <w:rPr/>
        <w:t> </w:t>
      </w:r>
    </w:p>
    <w:tbl>
      <w:tblPr>
        <w:tblW w:w="9132" w:type="dxa"/>
        <w:jc w:val="left"/>
        <w:tblInd w:w="0" w:type="dxa"/>
        <w:tblLayout w:type="fixed"/>
        <w:tblCellMar>
          <w:top w:w="28" w:type="dxa"/>
          <w:left w:w="28" w:type="dxa"/>
          <w:bottom w:w="28" w:type="dxa"/>
          <w:right w:w="28" w:type="dxa"/>
        </w:tblCellMar>
      </w:tblPr>
      <w:tblGrid>
        <w:gridCol w:w="3931"/>
        <w:gridCol w:w="146"/>
        <w:gridCol w:w="230"/>
        <w:gridCol w:w="624"/>
        <w:gridCol w:w="394"/>
        <w:gridCol w:w="159"/>
        <w:gridCol w:w="230"/>
        <w:gridCol w:w="624"/>
        <w:gridCol w:w="166"/>
        <w:gridCol w:w="146"/>
        <w:gridCol w:w="211"/>
        <w:gridCol w:w="571"/>
        <w:gridCol w:w="361"/>
        <w:gridCol w:w="146"/>
        <w:gridCol w:w="211"/>
        <w:gridCol w:w="571"/>
        <w:gridCol w:w="41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95B3D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5B3D7"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5B3D7" w:val="clear"/>
            <w:tcMar>
              <w:top w:w="0" w:type="dxa"/>
              <w:left w:w="0" w:type="dxa"/>
              <w:bottom w:w="0" w:type="dxa"/>
              <w:right w:w="0" w:type="dxa"/>
            </w:tcMar>
            <w:vAlign w:val="center"/>
          </w:tcPr>
          <w:p>
            <w:pPr>
              <w:pStyle w:val="TableContents"/>
              <w:bidi w:val="0"/>
              <w:spacing w:before="0" w:after="283"/>
              <w:jc w:val="center"/>
              <w:rPr/>
            </w:pPr>
            <w:r>
              <w:rPr/>
              <w:t> </w:t>
            </w:r>
          </w:p>
        </w:tc>
        <w:tc>
          <w:tcPr>
            <w:tcW w:w="2071"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95B3D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5B3D7"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4"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95B3D7"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5B3D7"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5B3D7"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Commissions and fees</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4"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1,654</w:t>
            </w:r>
          </w:p>
        </w:tc>
        <w:tc>
          <w:tcPr>
            <w:tcW w:w="394"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4"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3,534</w:t>
            </w:r>
          </w:p>
        </w:tc>
        <w:tc>
          <w:tcPr>
            <w:tcW w:w="36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2,634</w:t>
            </w:r>
          </w:p>
        </w:tc>
        <w:tc>
          <w:tcPr>
            <w:tcW w:w="41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Contingents</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4"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6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Core commissions and fees</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4"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1,569</w:t>
            </w:r>
          </w:p>
        </w:tc>
        <w:tc>
          <w:tcPr>
            <w:tcW w:w="394"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4"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1,204</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3,352</w:t>
            </w:r>
          </w:p>
        </w:tc>
        <w:tc>
          <w:tcPr>
            <w:tcW w:w="36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2,546</w:t>
            </w:r>
          </w:p>
        </w:tc>
        <w:tc>
          <w:tcPr>
            <w:tcW w:w="41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94"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gridSpan w:val="2"/>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36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Dispositions</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Litigation-Related Impact</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pPr>
            <w:r>
              <w:rPr/>
              <w:t> </w:t>
            </w:r>
          </w:p>
        </w:tc>
        <w:tc>
          <w:tcPr>
            <w:tcW w:w="394"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pPr>
            <w:r>
              <w:rPr/>
              <w:t> </w:t>
            </w:r>
          </w:p>
        </w:tc>
        <w:tc>
          <w:tcPr>
            <w:tcW w:w="159"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Organic Revenue</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4"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w:t>
            </w:r>
          </w:p>
        </w:tc>
        <w:tc>
          <w:tcPr>
            <w:tcW w:w="394"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4"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w:t>
            </w:r>
          </w:p>
        </w:tc>
        <w:tc>
          <w:tcPr>
            <w:tcW w:w="16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w:t>
            </w:r>
          </w:p>
        </w:tc>
        <w:tc>
          <w:tcPr>
            <w:tcW w:w="36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2,530</w:t>
            </w:r>
          </w:p>
        </w:tc>
        <w:tc>
          <w:tcPr>
            <w:tcW w:w="4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Organic Revenue growth</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4"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gridSpan w:val="2"/>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6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Organic Revenue growth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394"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gridSpan w:val="2"/>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36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3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9EDF4"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31" w:type="dxa"/>
            <w:tcBorders/>
            <w:shd w:fill="D0D8E8"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Organic Contingents</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4"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59"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6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Organic Revenue with Contingents</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1,237</w:t>
            </w:r>
          </w:p>
        </w:tc>
        <w:tc>
          <w:tcPr>
            <w:tcW w:w="394"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159"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1,229</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2,658</w:t>
            </w:r>
          </w:p>
        </w:tc>
        <w:tc>
          <w:tcPr>
            <w:tcW w:w="36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2,616</w:t>
            </w:r>
          </w:p>
        </w:tc>
        <w:tc>
          <w:tcPr>
            <w:tcW w:w="4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Organic Revenue with Contingents growth</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4"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394"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gridSpan w:val="2"/>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c>
          <w:tcPr>
            <w:tcW w:w="36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Organic Revenue with Contingents growth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394"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36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information regarding non-GAAP measures presented later in this press release.</w:t>
      </w:r>
    </w:p>
    <w:p>
      <w:pPr>
        <w:pStyle w:val="TextBody"/>
        <w:bidi w:val="0"/>
        <w:spacing w:before="120"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Diluted Net Income Per Share to</w:t>
      </w:r>
    </w:p>
    <w:p>
      <w:pPr>
        <w:pStyle w:val="TextBody"/>
        <w:bidi w:val="0"/>
        <w:jc w:val="center"/>
        <w:rPr>
          <w:rFonts w:ascii="Times New Roman" w:hAnsi="Times New Roman"/>
          <w:b/>
          <w:color w:val="000000"/>
          <w:sz w:val="22"/>
        </w:rPr>
      </w:pPr>
      <w:r>
        <w:rPr>
          <w:rFonts w:ascii="Times New Roman" w:hAnsi="Times New Roman"/>
          <w:b/>
          <w:color w:val="000000"/>
          <w:sz w:val="22"/>
        </w:rPr>
        <w:t>Diluted Net Income Per Share - Adjusted</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92"/>
        <w:gridCol w:w="146"/>
        <w:gridCol w:w="215"/>
        <w:gridCol w:w="537"/>
        <w:gridCol w:w="169"/>
        <w:gridCol w:w="149"/>
        <w:gridCol w:w="215"/>
        <w:gridCol w:w="476"/>
        <w:gridCol w:w="146"/>
        <w:gridCol w:w="146"/>
        <w:gridCol w:w="211"/>
        <w:gridCol w:w="526"/>
        <w:gridCol w:w="166"/>
        <w:gridCol w:w="146"/>
        <w:gridCol w:w="146"/>
        <w:gridCol w:w="361"/>
        <w:gridCol w:w="301"/>
        <w:gridCol w:w="146"/>
        <w:gridCol w:w="213"/>
        <w:gridCol w:w="533"/>
        <w:gridCol w:w="168"/>
        <w:gridCol w:w="148"/>
        <w:gridCol w:w="213"/>
        <w:gridCol w:w="472"/>
        <w:gridCol w:w="146"/>
        <w:gridCol w:w="146"/>
        <w:gridCol w:w="211"/>
        <w:gridCol w:w="526"/>
        <w:gridCol w:w="166"/>
        <w:gridCol w:w="146"/>
        <w:gridCol w:w="146"/>
        <w:gridCol w:w="421"/>
        <w:gridCol w:w="556"/>
      </w:tblGrid>
      <w:tr>
        <w:trPr/>
        <w:tc>
          <w:tcPr>
            <w:tcW w:w="1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792" w:type="dxa"/>
            <w:tcBorders/>
            <w:shd w:fill="95B3D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5B3D7"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1747"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1616"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5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1792" w:type="dxa"/>
            <w:tcBorders/>
            <w:shd w:fill="95B3D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5B3D7"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46"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5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1792"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Diluted net income per share</w:t>
            </w:r>
            <w:r>
              <w:rPr>
                <w:rFonts w:ascii="Times New Roman" w:hAnsi="Times New Roman"/>
                <w:b/>
                <w:color w:val="000000"/>
                <w:sz w:val="13"/>
              </w:rPr>
              <w:t>(1)</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7"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0.84</w:t>
            </w:r>
          </w:p>
        </w:tc>
        <w:tc>
          <w:tcPr>
            <w:tcW w:w="169"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76"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0.78</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0.06</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w:t>
            </w:r>
          </w:p>
        </w:tc>
        <w:tc>
          <w:tcPr>
            <w:tcW w:w="30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3"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w:t>
            </w:r>
          </w:p>
        </w:tc>
        <w:tc>
          <w:tcPr>
            <w:tcW w:w="168"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72"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(0.03</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55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1792"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9"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8"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2"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9EDF4"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9EDF4"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9EDF4"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9EDF4"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E9EDF4"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9EDF4"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2"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9"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8"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D0D8E8"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2"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9"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8"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9EDF4"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2"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Mark-to-market of escrow liability</w:t>
            </w:r>
            <w:r>
              <w:rPr>
                <w:rFonts w:ascii="Times New Roman" w:hAnsi="Times New Roman"/>
                <w:color w:val="000000"/>
                <w:sz w:val="13"/>
              </w:rPr>
              <w:t>(2)</w:t>
            </w:r>
          </w:p>
        </w:tc>
        <w:tc>
          <w:tcPr>
            <w:tcW w:w="1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r>
      <w:tr>
        <w:trPr/>
        <w:tc>
          <w:tcPr>
            <w:tcW w:w="1792"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Per Share - Adjusted</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7"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w:t>
            </w:r>
          </w:p>
        </w:tc>
        <w:tc>
          <w:tcPr>
            <w:tcW w:w="169"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76"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0.04</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30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3"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w:t>
            </w:r>
          </w:p>
        </w:tc>
        <w:tc>
          <w:tcPr>
            <w:tcW w:w="168"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72"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0.14</w:t>
            </w:r>
          </w:p>
        </w:tc>
        <w:tc>
          <w:tcPr>
            <w:tcW w:w="16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w:t>
            </w:r>
          </w:p>
        </w:tc>
        <w:tc>
          <w:tcPr>
            <w:tcW w:w="556"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calculation of diluted net income per share for the three and six months ended June 30, 2026 (a) excludes the mark-to-market of escrow liability and (b) includes the escrowed shares within the Company’s diluted weighted average number of shares, in each case in accordance with Accounting Standards Codification Topic 260 — Earnings Per Share (“ASC 260”), which requires this treatment in periods where the combined effect of these adjustments is accretive to earnings.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adjustment for the mark-to-market of escrow liability was made to Diluted Net Income Per Share – Adjusted for the three or six months ended June 30, 2026 as the calculation of diluted net income per share for these periods already excludes the mark-to-market of escrow liability in accordance with ASC 260.</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information regarding non-GAAP measures presented later in this press release.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Reconciliation of Income Before Income Taxes to EBITDAC and</w:t>
      </w:r>
    </w:p>
    <w:p>
      <w:pPr>
        <w:pStyle w:val="TextBody"/>
        <w:bidi w:val="0"/>
        <w:jc w:val="center"/>
        <w:rPr>
          <w:rFonts w:ascii="Times New Roman" w:hAnsi="Times New Roman"/>
          <w:sz w:val="20"/>
        </w:rPr>
      </w:pPr>
      <w:r>
        <w:rPr>
          <w:rFonts w:ascii="Times New Roman" w:hAnsi="Times New Roman"/>
          <w:b/>
          <w:color w:val="000000"/>
          <w:sz w:val="22"/>
        </w:rPr>
        <w:t>EBITDAC - Adjusted and Income Before Income Taxes Margin</w:t>
      </w:r>
      <w:r>
        <w:rPr>
          <w:rFonts w:ascii="Times New Roman" w:hAnsi="Times New Roman"/>
          <w:b/>
          <w:color w:val="000000"/>
          <w:sz w:val="15"/>
        </w:rPr>
        <w:t>(1)</w:t>
      </w:r>
      <w:r>
        <w:rPr>
          <w:rFonts w:ascii="Times New Roman" w:hAnsi="Times New Roman"/>
          <w:color w:val="000000"/>
          <w:sz w:val="20"/>
        </w:rPr>
        <w:t xml:space="preserve"> </w:t>
      </w:r>
      <w:r>
        <w:rPr>
          <w:rFonts w:ascii="Times New Roman" w:hAnsi="Times New Roman"/>
          <w:b/>
          <w:color w:val="000000"/>
          <w:sz w:val="22"/>
        </w:rPr>
        <w:t>to</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EBITDAC Margin and EBITDAC Margin - Adjusted</w:t>
      </w:r>
    </w:p>
    <w:p>
      <w:pPr>
        <w:pStyle w:val="TextBody"/>
        <w:bidi w:val="0"/>
        <w:jc w:val="center"/>
        <w:rPr>
          <w:rFonts w:ascii="Times New Roman" w:hAnsi="Times New Roman"/>
          <w:b/>
          <w:color w:val="000000"/>
          <w:sz w:val="22"/>
        </w:rPr>
      </w:pPr>
      <w:r>
        <w:rPr>
          <w:rFonts w:ascii="Times New Roman" w:hAnsi="Times New Roman"/>
          <w:b/>
          <w:color w:val="000000"/>
          <w:sz w:val="22"/>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4"/>
        <w:gridCol w:w="346"/>
        <w:gridCol w:w="211"/>
        <w:gridCol w:w="571"/>
        <w:gridCol w:w="501"/>
        <w:gridCol w:w="346"/>
        <w:gridCol w:w="211"/>
        <w:gridCol w:w="571"/>
        <w:gridCol w:w="501"/>
        <w:gridCol w:w="346"/>
        <w:gridCol w:w="211"/>
        <w:gridCol w:w="571"/>
        <w:gridCol w:w="501"/>
        <w:gridCol w:w="346"/>
        <w:gridCol w:w="211"/>
        <w:gridCol w:w="571"/>
        <w:gridCol w:w="546"/>
      </w:tblGrid>
      <w:tr>
        <w:trPr/>
        <w:tc>
          <w:tcPr>
            <w:tcW w:w="36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644" w:type="dxa"/>
            <w:tcBorders/>
            <w:shd w:fill="95B3D7"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95B3D7" w:val="clear"/>
            <w:tcMar>
              <w:top w:w="0" w:type="dxa"/>
              <w:left w:w="0" w:type="dxa"/>
              <w:bottom w:w="0" w:type="dxa"/>
              <w:right w:w="0" w:type="dxa"/>
            </w:tcMar>
            <w:vAlign w:val="center"/>
          </w:tcPr>
          <w:p>
            <w:pPr>
              <w:pStyle w:val="TableContents"/>
              <w:bidi w:val="0"/>
              <w:spacing w:before="0" w:after="283"/>
              <w:jc w:val="left"/>
              <w:rPr/>
            </w:pPr>
            <w:r>
              <w:rPr/>
              <w:t> </w:t>
            </w:r>
          </w:p>
        </w:tc>
        <w:tc>
          <w:tcPr>
            <w:tcW w:w="2411"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0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2411" w:type="dxa"/>
            <w:gridSpan w:val="6"/>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3644" w:type="dxa"/>
            <w:tcBorders/>
            <w:shd w:fill="95B3D7"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95B3D7"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0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2025</w:t>
            </w:r>
            <w:r>
              <w:rPr>
                <w:rFonts w:ascii="Times New Roman" w:hAnsi="Times New Roman"/>
                <w:b/>
                <w:color w:val="000000"/>
                <w:sz w:val="11"/>
              </w:rPr>
              <w:t>(2)</w:t>
            </w:r>
          </w:p>
        </w:tc>
        <w:tc>
          <w:tcPr>
            <w:tcW w:w="50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01"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2025</w:t>
            </w:r>
            <w:r>
              <w:rPr>
                <w:rFonts w:ascii="Times New Roman" w:hAnsi="Times New Roman"/>
                <w:b/>
                <w:color w:val="000000"/>
                <w:sz w:val="11"/>
              </w:rPr>
              <w:t>(2)</w:t>
            </w:r>
          </w:p>
        </w:tc>
        <w:tc>
          <w:tcPr>
            <w:tcW w:w="546" w:type="dxa"/>
            <w:tcBorders>
              <w:bottom w:val="single" w:sz="4" w:space="0" w:color="000000"/>
            </w:tcBorders>
            <w:shd w:fill="95B3D7" w:val="clear"/>
            <w:tcMar>
              <w:top w:w="0" w:type="dxa"/>
              <w:left w:w="0" w:type="dxa"/>
              <w:right w:w="0" w:type="dxa"/>
            </w:tcMar>
            <w:vAlign w:val="center"/>
          </w:tcPr>
          <w:p>
            <w:pPr>
              <w:pStyle w:val="TableContents"/>
              <w:bidi w:val="0"/>
              <w:spacing w:before="0" w:after="283"/>
              <w:jc w:val="center"/>
              <w:rPr/>
            </w:pPr>
            <w:r>
              <w:rPr/>
              <w:t> </w:t>
            </w:r>
          </w:p>
        </w:tc>
      </w:tr>
      <w:tr>
        <w:trPr/>
        <w:tc>
          <w:tcPr>
            <w:tcW w:w="3644"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1,676</w:t>
            </w:r>
          </w:p>
        </w:tc>
        <w:tc>
          <w:tcPr>
            <w:tcW w:w="50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w:t>
            </w:r>
          </w:p>
        </w:tc>
        <w:tc>
          <w:tcPr>
            <w:tcW w:w="50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3,577</w:t>
            </w:r>
          </w:p>
        </w:tc>
        <w:tc>
          <w:tcPr>
            <w:tcW w:w="50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2,689</w:t>
            </w:r>
          </w:p>
        </w:tc>
        <w:tc>
          <w:tcPr>
            <w:tcW w:w="54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r>
      <w:tr>
        <w:trPr/>
        <w:tc>
          <w:tcPr>
            <w:tcW w:w="3644"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915</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w:t>
            </w:r>
          </w:p>
        </w:tc>
        <w:tc>
          <w:tcPr>
            <w:tcW w:w="5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Income Before Income Taxes Margin</w:t>
            </w:r>
            <w:r>
              <w:rPr>
                <w:rFonts w:ascii="Times New Roman" w:hAnsi="Times New Roman"/>
                <w:b/>
                <w:color w:val="000000"/>
                <w:sz w:val="13"/>
              </w:rPr>
              <w:t>(1)</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w:t>
            </w:r>
          </w:p>
        </w:tc>
        <w:tc>
          <w:tcPr>
            <w:tcW w:w="50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w:t>
            </w:r>
          </w:p>
        </w:tc>
        <w:tc>
          <w:tcPr>
            <w:tcW w:w="50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w:t>
            </w:r>
          </w:p>
        </w:tc>
        <w:tc>
          <w:tcPr>
            <w:tcW w:w="50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w:t>
            </w:r>
          </w:p>
        </w:tc>
        <w:tc>
          <w:tcPr>
            <w:tcW w:w="5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644"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546"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4"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0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0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0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4"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46"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4"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0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0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0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46" w:type="dxa"/>
            <w:tcBorders>
              <w:bottom w:val="single" w:sz="4" w:space="0" w:color="000000"/>
            </w:tcBorders>
            <w:shd w:fill="E9EDF4" w:val="clear"/>
            <w:tcMar>
              <w:top w:w="0" w:type="dxa"/>
              <w:left w:w="0" w:type="dxa"/>
              <w:right w:w="0" w:type="dxa"/>
            </w:tcMar>
            <w:vAlign w:val="center"/>
          </w:tcPr>
          <w:p>
            <w:pPr>
              <w:pStyle w:val="TableContents"/>
              <w:bidi w:val="0"/>
              <w:spacing w:before="0" w:after="283"/>
              <w:jc w:val="left"/>
              <w:rPr/>
            </w:pPr>
            <w:r>
              <w:rPr/>
              <w:t> </w:t>
            </w:r>
          </w:p>
        </w:tc>
      </w:tr>
      <w:tr>
        <w:trPr/>
        <w:tc>
          <w:tcPr>
            <w:tcW w:w="3644"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EBITDAC</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1,341</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967</w:t>
            </w:r>
          </w:p>
        </w:tc>
        <w:tc>
          <w:tcPr>
            <w:tcW w:w="5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EBITDAC Margin</w:t>
            </w:r>
          </w:p>
        </w:tc>
        <w:tc>
          <w:tcPr>
            <w:tcW w:w="3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w:t>
            </w:r>
          </w:p>
        </w:tc>
        <w:tc>
          <w:tcPr>
            <w:tcW w:w="50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w:t>
            </w:r>
          </w:p>
        </w:tc>
        <w:tc>
          <w:tcPr>
            <w:tcW w:w="50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w:t>
            </w:r>
          </w:p>
        </w:tc>
        <w:tc>
          <w:tcPr>
            <w:tcW w:w="501"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36.0</w:t>
            </w:r>
          </w:p>
        </w:tc>
        <w:tc>
          <w:tcPr>
            <w:tcW w:w="5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644"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(Gain)/loss on disposal</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46"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4"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Acquisition/Integration Costs</w:t>
            </w:r>
          </w:p>
        </w:tc>
        <w:tc>
          <w:tcPr>
            <w:tcW w:w="3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0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0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0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4" w:type="dxa"/>
            <w:tcBorders/>
            <w:shd w:fill="D0D8E8"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Mark-to-market of escrow liability</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0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0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D0D8E8" w:val="clear"/>
            <w:tcMar>
              <w:top w:w="0" w:type="dxa"/>
              <w:left w:w="0" w:type="dxa"/>
              <w:right w:w="0" w:type="dxa"/>
            </w:tcMar>
            <w:vAlign w:val="center"/>
          </w:tcPr>
          <w:p>
            <w:pPr>
              <w:pStyle w:val="TableContents"/>
              <w:bidi w:val="0"/>
              <w:spacing w:before="0" w:after="283"/>
              <w:jc w:val="left"/>
              <w:rPr/>
            </w:pPr>
            <w:r>
              <w:rPr/>
              <w:t> </w:t>
            </w:r>
          </w:p>
        </w:tc>
      </w:tr>
      <w:tr>
        <w:trPr/>
        <w:tc>
          <w:tcPr>
            <w:tcW w:w="3644"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EBITDAC - Adjusted</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1,329</w:t>
            </w:r>
          </w:p>
        </w:tc>
        <w:tc>
          <w:tcPr>
            <w:tcW w:w="501"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D8E8"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D0D8E8"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1,005</w:t>
            </w:r>
          </w:p>
        </w:tc>
        <w:tc>
          <w:tcPr>
            <w:tcW w:w="546" w:type="dxa"/>
            <w:tcBorders/>
            <w:shd w:fill="D0D8E8"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4"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EBITDAC Margin - Adjusted</w:t>
            </w:r>
          </w:p>
        </w:tc>
        <w:tc>
          <w:tcPr>
            <w:tcW w:w="3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w:t>
            </w:r>
          </w:p>
        </w:tc>
        <w:tc>
          <w:tcPr>
            <w:tcW w:w="50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w:t>
            </w:r>
          </w:p>
        </w:tc>
        <w:tc>
          <w:tcPr>
            <w:tcW w:w="50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w:t>
            </w:r>
          </w:p>
        </w:tc>
        <w:tc>
          <w:tcPr>
            <w:tcW w:w="501"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shd w:fill="E9EDF4"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9EDF4"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9EDF4"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w:t>
            </w:r>
          </w:p>
        </w:tc>
        <w:tc>
          <w:tcPr>
            <w:tcW w:w="546" w:type="dxa"/>
            <w:tcBorders/>
            <w:shd w:fill="E9EDF4"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color w:val="000000"/>
        </w:rPr>
      </w:pPr>
      <w:r>
        <w:rPr>
          <w:color w:val="000000"/>
        </w:rPr>
        <w:t>“</w:t>
      </w:r>
      <w:r>
        <w:rPr>
          <w:rFonts w:ascii="Times New Roman" w:hAnsi="Times New Roman"/>
          <w:color w:val="000000"/>
          <w:sz w:val="20"/>
        </w:rPr>
        <w:t>Income Before Income Taxes Margin” is defined as income before income taxes divided by total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2025 amounts reflect the positive impact of approximately $13 million of interest income earned from the proceeds of the Company’s follow-on common stock offering and senior notes issuance in June 2025, held in preparation for the closing of the Company’s pending acquisition of RSC Topco, Inc.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information regarding non-GAAP measures presented later in this press release.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Brown &amp; Brown, Inc.</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Income</w:t>
      </w:r>
    </w:p>
    <w:p>
      <w:pPr>
        <w:pStyle w:val="TextBody"/>
        <w:bidi w:val="0"/>
        <w:jc w:val="center"/>
        <w:rPr>
          <w:rFonts w:ascii="Times New Roman" w:hAnsi="Times New Roman"/>
          <w:color w:val="000000"/>
          <w:sz w:val="22"/>
        </w:rPr>
      </w:pPr>
      <w:r>
        <w:rPr>
          <w:rFonts w:ascii="Times New Roman" w:hAnsi="Times New Roman"/>
          <w:color w:val="000000"/>
          <w:sz w:val="22"/>
        </w:rPr>
        <w:t>(in millions, except per share data; unaudited)</w:t>
      </w:r>
    </w:p>
    <w:p>
      <w:pPr>
        <w:pStyle w:val="TextBody"/>
        <w:bidi w:val="0"/>
        <w:jc w:val="both"/>
        <w:rPr/>
      </w:pPr>
      <w:r>
        <w:rPr/>
        <w:t> </w:t>
      </w:r>
    </w:p>
    <w:tbl>
      <w:tblPr>
        <w:tblW w:w="9932" w:type="dxa"/>
        <w:jc w:val="left"/>
        <w:tblInd w:w="0" w:type="dxa"/>
        <w:tblLayout w:type="fixed"/>
        <w:tblCellMar>
          <w:top w:w="28" w:type="dxa"/>
          <w:left w:w="28" w:type="dxa"/>
          <w:bottom w:w="28" w:type="dxa"/>
          <w:right w:w="28" w:type="dxa"/>
        </w:tblCellMar>
      </w:tblPr>
      <w:tblGrid>
        <w:gridCol w:w="4771"/>
        <w:gridCol w:w="146"/>
        <w:gridCol w:w="232"/>
        <w:gridCol w:w="629"/>
        <w:gridCol w:w="271"/>
        <w:gridCol w:w="271"/>
        <w:gridCol w:w="232"/>
        <w:gridCol w:w="629"/>
        <w:gridCol w:w="146"/>
        <w:gridCol w:w="146"/>
        <w:gridCol w:w="232"/>
        <w:gridCol w:w="630"/>
        <w:gridCol w:w="183"/>
        <w:gridCol w:w="161"/>
        <w:gridCol w:w="232"/>
        <w:gridCol w:w="630"/>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Brown &amp; Brown, Inc.</w:t>
      </w:r>
    </w:p>
    <w:p>
      <w:pPr>
        <w:pStyle w:val="TextBody"/>
        <w:bidi w:val="0"/>
        <w:jc w:val="center"/>
        <w:rPr>
          <w:rFonts w:ascii="Times New Roman" w:hAnsi="Times New Roman"/>
          <w:b/>
          <w:color w:val="000000"/>
          <w:sz w:val="22"/>
        </w:rPr>
      </w:pPr>
      <w:r>
        <w:rPr>
          <w:rFonts w:ascii="Times New Roman" w:hAnsi="Times New Roman"/>
          <w:b/>
          <w:color w:val="000000"/>
          <w:sz w:val="22"/>
        </w:rPr>
        <w:t>Consolidated Balance Sheets</w:t>
      </w:r>
    </w:p>
    <w:p>
      <w:pPr>
        <w:pStyle w:val="TextBody"/>
        <w:bidi w:val="0"/>
        <w:jc w:val="center"/>
        <w:rPr>
          <w:rFonts w:ascii="Times New Roman" w:hAnsi="Times New Roman"/>
          <w:color w:val="000000"/>
          <w:sz w:val="22"/>
        </w:rPr>
      </w:pPr>
      <w:r>
        <w:rPr>
          <w:rFonts w:ascii="Times New Roman" w:hAnsi="Times New Roman"/>
          <w:color w:val="000000"/>
          <w:sz w:val="22"/>
        </w:rPr>
        <w:t>(in millions, except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9"/>
        <w:gridCol w:w="146"/>
        <w:gridCol w:w="211"/>
        <w:gridCol w:w="676"/>
        <w:gridCol w:w="166"/>
        <w:gridCol w:w="146"/>
        <w:gridCol w:w="232"/>
        <w:gridCol w:w="746"/>
        <w:gridCol w:w="593"/>
      </w:tblGrid>
      <w:tr>
        <w:trPr/>
        <w:tc>
          <w:tcPr>
            <w:tcW w:w="7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 fees,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29,991</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unamortized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$0.10 per share; authorized 560 shares; issued 359 shares and outstanding 330 shares at 2026, issued 357 shares and outstanding 336 shares at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29 shares at 2026 and 21 shares at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29,991</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Brown &amp; Brown, Inc.</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Cash Flows</w:t>
      </w:r>
    </w:p>
    <w:p>
      <w:pPr>
        <w:pStyle w:val="TextBody"/>
        <w:bidi w:val="0"/>
        <w:jc w:val="center"/>
        <w:rPr>
          <w:rFonts w:ascii="Times New Roman" w:hAnsi="Times New Roman"/>
          <w:color w:val="000000"/>
          <w:sz w:val="22"/>
        </w:rPr>
      </w:pPr>
      <w:r>
        <w:rPr>
          <w:rFonts w:ascii="Times New Roman" w:hAnsi="Times New Roman"/>
          <w:color w:val="000000"/>
          <w:sz w:val="22"/>
        </w:rPr>
        <w:t>(in millions, unaudited)</w:t>
      </w:r>
    </w:p>
    <w:tbl>
      <w:tblPr>
        <w:tblW w:w="10205" w:type="dxa"/>
        <w:jc w:val="left"/>
        <w:tblInd w:w="0" w:type="dxa"/>
        <w:tblLayout w:type="fixed"/>
        <w:tblCellMar>
          <w:top w:w="28" w:type="dxa"/>
          <w:left w:w="28" w:type="dxa"/>
          <w:bottom w:w="28" w:type="dxa"/>
          <w:right w:w="28" w:type="dxa"/>
        </w:tblCellMar>
      </w:tblPr>
      <w:tblGrid>
        <w:gridCol w:w="7264"/>
        <w:gridCol w:w="146"/>
        <w:gridCol w:w="235"/>
        <w:gridCol w:w="614"/>
        <w:gridCol w:w="199"/>
        <w:gridCol w:w="175"/>
        <w:gridCol w:w="235"/>
        <w:gridCol w:w="722"/>
        <w:gridCol w:w="615"/>
      </w:tblGrid>
      <w:tr>
        <w:trPr/>
        <w:tc>
          <w:tcPr>
            <w:tcW w:w="7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before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before non-controlling interests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estimated acquisition earn-out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on sales/disposals of investments, businesses, fixed assets and customer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acquisition earn-outs in excess of original estimated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net of effect from acquisitions and divestitures: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Commissions, fees and other receivables (increase)/decrease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Reinsurance recoverable (increase)/decrease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reinsurance premiums (increase)/decrease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 (increase)/decrease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Losses and loss adjustment reserve increase/(decrease)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Unearned premiums increase/(decrease)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increase/(decrease)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liabilities increase/(decrease)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 increase/(decrease)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for businesses acquired,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sales of businesses, fixed assets and customer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Fiduciary receivables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acquisition earn-outs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shares to fund tax withholdings for 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foreign exchange rate changes on cash, cash equivalents and restricted cash inclusive of 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(decrease) increase in cash, cash equivalents and restricted cash inclusive of 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8,417</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inclusive of fiduciary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Cash, cash equivalents and restricted cash inclusive of fiduciary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10,919</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Conference call, webcast and slide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conference call to discuss the results of the second quarter of 2026 will be held on Tuesday, July 28, 2026, at 8:00 AM (EDT). The Company may refer to a slide presentation during its conference call. You can access the webcast and the slides from the "Investor Relations" section of the Company’s website at bbrown.com.</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About Brown &amp; Brown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Brown &amp; Brown, Inc. (NYSE: BRO) is a leading insurance brokerage firm delivering comprehensive and customized insurance solutions and specialization since 1939. With a global presence spanning 700+ locations and a team of more than 23,000 professionals, we are dedicated to delivering scalable, innovative strategies for our customers at every step of their growth journey. Learn more at BBrown.com.</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press release may contain certain statements relating to future results which are “forward-looking statements” within the meaning of Section 27A of the Securities Act of 1933 and Section 21E of the Securities Exchange Act of 1934, which are intended to be covered by the safe harbors created by those laws.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press release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press release include but are not limited to the following items: the Company's determination as it finalizes its financial results for the second quarter of 2026 that its financial results differ from the current preliminary unaudited numbers set forth herein; risks with respect to the acquisition of RSC Topco, Inc. (“Accession”) (the “Transaction”); the possibility that the anticipated benefits, including any anticipated cost savings and strategies, of the Transaction are not realized when expected or at all; risks related to the financing of the Transaction, including that financing the Transaction resulted in an increase in the Company’s indebtedness; risks relating to the financial information related to Accession; the risk that certain assumptions the Company has made relating to the Transaction prove to be materially inaccurate; risks related to Accession’s business, including underwriting risk in connection with certain captive insurance companies; the inability to hire, retain and develop qualified employees, as well as the loss of any of our executive officers or other key employees; a cybersecurity attack or any other interruption in information technology and/or data security that may impact our operations or the operations of third parties that support us; 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risks related to our international operations, which may result in additional risks or require more management time and expense than our domestic operations to achieve or maintain profitability; the requirement for additional resources and time to adequately respond to dynamics resulting from rapid technological change, including the increasing use of artificial intelligence and robotic processing automation; the loss of or significant change to any of our insurance company or intermediary relationships, which could result in loss of capacity to write business, additional expense, loss of market share or material decrease in our commissions; the effect of natural disasters on our Contingents, insurer capacity or claims expenses within our capitalized captive insurance facilities; adverse economic conditions, political conditions, outbreaks of war, disasters, or regulatory changes in states or countries where we have a concentration of our business; the inability to maintain our culture or a significant change in management, management philosophy or our business strategy; fluctuations in our commission revenue as a result of factors outside of our control; the effects of significant or sustained inflation or higher interest rates; claims expense resulting from the limited underwriting risk associated with our participation in captive insurance facilities; risks associated with our automobile and recreational vehicle finance and incentives dealer services (“F&amp;I”) businesses; changes in, or the termination of, certain programs administered by the U.S. federal government from which we derive revenues; the limitations of our system of disclosure and internal controls and procedures in preventing errors or fraud, or in informing management of all material information in a timely manner; our reliance on vendors and other third parties to perform key functions of our business operations and provide services to our customers; the significant control certain shareholders have; changes in data privacy and protection laws and regulations or any failure to comply with such laws and regulations; improper disclosure of confidential information; our ability to comply with non-U.S. laws, regulations and policies; the potential adverse effect of certain actual or potential claims, regulatory actions or proceedings on our businesses, results of operations, financial condition or liquidity; uncertainty in our business practices and compensation arrangements with insurance carriers due to potential changes in regulations; regulatory changes that could reduce our profitability or growth by increasing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 increasing scrutiny and changing laws or competing expectations from regulators, investors and customers with respect to our environmental, social and governance practices and disclosure; a decrease in demand for liability insurance as a result of tort reform legislation; our failure to comply with any covenants contained in our debt agreements; the possibility that covenants in our debt agreements could prevent us from engaging in certain potentially beneficial activities; fluctuations in foreign currency exchange rates; a downgrade to our corporate credit rating, the credit ratings of our outstanding debt or other market speculation; future sales or other dilution of our equity could adversely affect the market price of our common stock; changes in the U.S.-based credit markets that might adversely affect our business, results of operations and financial condition; changes in current U.S. or global economic conditions, including an extended slowdown in the markets in which we operate; disintermediation within the insurance industry, including increased competition from insurance companies, technology companies and the financial services industry, as well as the shift away from traditional insurance markets; conditions that result in reduced insurer capacity; quarterly and annual variations in our commissions that result from the timing of policy renewals and the net effect of new and lost business production; intangible asset risk, including the possibility that our goodwill may become impaired in the future; changes in our accounting estimates and assumptions; other risks and uncertainties as may be detailed from time to time in our public announcements and Securities and Exchange Commission (“SEC”) filings; and other factors that the Company may not have currently identified or quantified. 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press release, and the Company does not undertake any obligation to publicly update or correct any forward-looking statements to reflect events or circumstances that subsequently occur or of which the Company hereafter becomes aware.</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Non-GAAP supplemental financial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contains references to "non-GAAP financial measures" as defined in SEC Regulation G, consisting of Organic Revenue, Organic Revenue with Contingents, EBITDAC, EBITDAC Margin, EBITDAC - Adjusted, EBITDAC Margin - Adjusted and Diluted Net Income Per Share - Adjusted. We present these measures because we believe such information is of interest to the investment community and because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GAAP information as of the relevant date. Consistent with Regulation G, a description of such information is provided below, and tabular reconciliations of such items to our most directly comparable GAAP information can be found within this press release as well as in our periodic filings with the SEC.</w:t>
      </w:r>
    </w:p>
    <w:p>
      <w:pPr>
        <w:pStyle w:val="TextBody"/>
        <w:bidi w:val="0"/>
        <w:jc w:val="both"/>
        <w:rPr>
          <w:rFonts w:ascii="Times New Roman" w:hAnsi="Times New Roman"/>
          <w:color w:val="000000"/>
          <w:sz w:val="20"/>
        </w:rPr>
      </w:pPr>
      <w:r>
        <w:rPr>
          <w:rFonts w:ascii="Times New Roman" w:hAnsi="Times New Roman"/>
          <w:color w:val="000000"/>
          <w:sz w:val="20"/>
        </w:rPr>
        <w:t>We view Organic Revenue and Organic Revenue growth (including Organic Revenue with Contingents and its growth) as important indicators when assessing and evaluating our performance on a consolidated basis and for each of our two segments, because they allow us to determine a comparable, but non-GAAP, measurement of revenue growth that is associated with the revenue sources that were a part of our business in both the current and prior year and that are expected to continue in the future. In addition, we believe Diluted Net Income Per Share - Adjusted provides a meaningful representation of our operating performance and improves the comparability of our results between periods by excluding the impact of the change in estimated acquisition earn-out payables, the impact of amortization of intangible assets and certain other non-recurring or infrequently occurring items.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Diluted Net Income Per Share - Adjusted and EBITDAC Margin - Adjusted as key performance metrics for our short-term and long-term incentive compensation plans for executive officers and other key employees.</w:t>
      </w:r>
    </w:p>
    <w:p>
      <w:pPr>
        <w:pStyle w:val="TextBody"/>
        <w:bidi w:val="0"/>
        <w:jc w:val="both"/>
        <w:rPr>
          <w:rFonts w:ascii="Times New Roman" w:hAnsi="Times New Roman"/>
          <w:b/>
          <w:color w:val="000000"/>
          <w:sz w:val="20"/>
        </w:rPr>
      </w:pPr>
      <w:r>
        <w:rPr>
          <w:rFonts w:ascii="Times New Roman" w:hAnsi="Times New Roman"/>
          <w:b/>
          <w:color w:val="000000"/>
          <w:sz w:val="20"/>
        </w:rPr>
        <w:t>Non-GAAP Revenue Measures</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Organic Revenue</w:t>
      </w:r>
      <w:r>
        <w:rPr>
          <w:color w:val="000000"/>
        </w:rPr>
        <w:t xml:space="preserve"> </w:t>
      </w:r>
      <w:r>
        <w:rPr>
          <w:rFonts w:ascii="Times New Roman" w:hAnsi="Times New Roman"/>
          <w:color w:val="000000"/>
          <w:sz w:val="20"/>
        </w:rPr>
        <w:t xml:space="preserve">is our core commissions and fees less: (i) the core commissions and fees earned for the first twelve months by newly acquired operations; (ii) divested business (core commissions and fees generated from offices,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books of business or niches sold or terminated during the comparable period); (iii) Foreign Currency Translation (as defined below) and (iv) the Litigation-Related Impact. The term “core commissions and fees” excludes profit-sharing contingent commissions (“Contingents”); and therefore, represents the revenues earned directly from specific insurance policies sold and specific fee-based services rendered. Growth of Organic Revenue can be expressed as a dollar amount or a percentage rate.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Organic Revenue with Contingents </w:t>
      </w:r>
      <w:r>
        <w:rPr>
          <w:rFonts w:ascii="Times New Roman" w:hAnsi="Times New Roman"/>
          <w:color w:val="000000"/>
          <w:sz w:val="20"/>
        </w:rPr>
        <w:t>is Organic Revenue plus Organic Contingents (as defined below). Growth of Organic Revenue with Contingents can be expressed as a dollar amount or a percentage rate.</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Non-GAAP Earnings Measures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w:t>
      </w:r>
      <w:r>
        <w:rPr>
          <w:color w:val="000000"/>
        </w:rPr>
        <w:t xml:space="preserve"> </w:t>
      </w:r>
      <w:r>
        <w:rPr>
          <w:rFonts w:ascii="Times New Roman" w:hAnsi="Times New Roman"/>
          <w:color w:val="000000"/>
          <w:sz w:val="20"/>
        </w:rPr>
        <w:t>is defined as income before interest, income taxes, depreciation, amortization and the change in estimated acquisition earn-out payables.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Margin</w:t>
      </w:r>
      <w:r>
        <w:rPr>
          <w:color w:val="000000"/>
        </w:rPr>
        <w:t xml:space="preserve"> </w:t>
      </w:r>
      <w:r>
        <w:rPr>
          <w:rFonts w:ascii="Times New Roman" w:hAnsi="Times New Roman"/>
          <w:color w:val="000000"/>
          <w:sz w:val="20"/>
        </w:rPr>
        <w:t xml:space="preserve">is defined as EBITDAC divided by total revenues.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 Adjusted</w:t>
      </w:r>
      <w:r>
        <w:rPr>
          <w:color w:val="000000"/>
        </w:rPr>
        <w:t xml:space="preserve"> </w:t>
      </w:r>
      <w:r>
        <w:rPr>
          <w:rFonts w:ascii="Times New Roman" w:hAnsi="Times New Roman"/>
          <w:color w:val="000000"/>
          <w:sz w:val="20"/>
        </w:rPr>
        <w:t>is defined as EBITDAC, excluding (i) (gain)/loss on disposal (as defined below), (ii) Acquisition/Integration Costs (as defined below) and (iii) mark-to-market of escrow liability (as defined below).</w:t>
      </w:r>
      <w:r>
        <w:rPr>
          <w:color w:val="40404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Margin - Adjusted</w:t>
      </w:r>
      <w:r>
        <w:rPr>
          <w:color w:val="000000"/>
        </w:rPr>
        <w:t xml:space="preserve"> </w:t>
      </w:r>
      <w:r>
        <w:rPr>
          <w:rFonts w:ascii="Times New Roman" w:hAnsi="Times New Roman"/>
          <w:color w:val="000000"/>
          <w:sz w:val="20"/>
        </w:rPr>
        <w:t>is defined as EBITDAC - Adjusted divided by total revenues.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Diluted Net Income Per Share - Adjusted</w:t>
      </w:r>
      <w:r>
        <w:rPr>
          <w:color w:val="000000"/>
        </w:rPr>
        <w:t xml:space="preserve"> </w:t>
      </w:r>
      <w:r>
        <w:rPr>
          <w:rFonts w:ascii="Times New Roman" w:hAnsi="Times New Roman"/>
          <w:color w:val="000000"/>
          <w:sz w:val="20"/>
        </w:rPr>
        <w:t>is defined as diluted net income per share, excluding the after-tax impact of (i) the change in estimated acquisition earn-out payables, (ii) (gain)/loss on disposal, (as defined below), (iii) Acquisition/Integration Costs (as defined below), (iv) mark-to-market of escrow liability (as defined below) in periods wherein the effect of mark-to-market of escrow liability is not dilutive to the Company's earnings and, therefore, not already excluded from the calculation of diluted net income per share in accordance with ASC 260, and (v) amortization.</w:t>
      </w:r>
    </w:p>
    <w:p>
      <w:pPr>
        <w:pStyle w:val="TextBody"/>
        <w:bidi w:val="0"/>
        <w:jc w:val="both"/>
        <w:rPr>
          <w:rFonts w:ascii="Times New Roman" w:hAnsi="Times New Roman"/>
          <w:sz w:val="20"/>
        </w:rPr>
      </w:pPr>
      <w:r>
        <w:rPr>
          <w:rFonts w:ascii="Times New Roman" w:hAnsi="Times New Roman"/>
          <w:b/>
          <w:color w:val="000000"/>
          <w:sz w:val="20"/>
        </w:rPr>
        <w:t>Definitions Related to Certain Components of Non-GAAP Measures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Acquisition/Integration Costs”</w:t>
      </w:r>
      <w:r>
        <w:rPr>
          <w:color w:val="000000"/>
        </w:rPr>
        <w:t xml:space="preserve"> </w:t>
      </w:r>
      <w:r>
        <w:rPr>
          <w:rFonts w:ascii="Times New Roman" w:hAnsi="Times New Roman"/>
          <w:color w:val="000000"/>
          <w:sz w:val="20"/>
        </w:rPr>
        <w:t>means the acquisition and integration costs (e.g., costs associated with regulatory filings; costs for third-party professional services, including legal, accounting, consulting, financial advisory and due diligence; costs and fees associated with entry into the bridge financing commitment; costs of integrating or streamlining processes and information technology systems, including data migration and system integration; costs associated with optimizing vendor agreements and leased office space, including exit costs related to location combinations; and employment-related costs, including severance payments, costs associated with the transition of certain legacy compensation programs, retention-related compensation expenses, and incentive payments) arising out of our acquisition of Accession and acquisitions previously completed by Accession, which are not considered to be normal, recurring or part of ongoing operations.</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0"/>
        </w:rPr>
        <w:t xml:space="preserve">Foreign Currency Translation” </w:t>
      </w:r>
      <w:r>
        <w:rPr>
          <w:rFonts w:ascii="Times New Roman" w:hAnsi="Times New Roman"/>
          <w:color w:val="000000"/>
          <w:sz w:val="20"/>
        </w:rPr>
        <w:t>means the period-over-period impact of foreign currency translation, which is calculated by applying current-year foreign exchange rates to the various functional currencies in our business to our reporting currency of US dollars for the same period in the prior year.</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(Gain)/loss on disposal”</w:t>
      </w:r>
      <w:r>
        <w:rPr>
          <w:color w:val="000000"/>
        </w:rPr>
        <w:t xml:space="preserve"> </w:t>
      </w:r>
      <w:r>
        <w:rPr>
          <w:rFonts w:ascii="Times New Roman" w:hAnsi="Times New Roman"/>
          <w:color w:val="000000"/>
          <w:sz w:val="20"/>
        </w:rPr>
        <w:t>is a caption on our consolidated statements of income which reflects net proceeds received as compared to the net book value related to sales of books of business and other divestiture transactions.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Mark-to-market of escrow liability</w:t>
      </w:r>
      <w:r>
        <w:rPr>
          <w:color w:val="000000"/>
        </w:rPr>
        <w:t xml:space="preserve">” </w:t>
      </w:r>
      <w:r>
        <w:rPr>
          <w:rFonts w:ascii="Times New Roman" w:hAnsi="Times New Roman"/>
          <w:color w:val="000000"/>
          <w:sz w:val="20"/>
        </w:rPr>
        <w:t>is a caption on our consolidated statements of income which reflects the non-cash change in the fair value associated with certain shares of the Company’s common stock held in escrow. The change is driven by fluctuations in our stock price between the beginning of the period and the end of the period. These escrowed shares represent a portion of the merger consideration payable in connection with our acquisition of Accession. The escrowed shares secure certain indemnification obligations of the Accession equity holders related to businesses that are in run-off or discontinued.</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Litigation-Related Impact”</w:t>
      </w:r>
      <w:r>
        <w:rPr>
          <w:color w:val="000000"/>
        </w:rPr>
        <w:t xml:space="preserve"> </w:t>
      </w:r>
      <w:r>
        <w:rPr>
          <w:rFonts w:ascii="Times New Roman" w:hAnsi="Times New Roman"/>
          <w:color w:val="000000"/>
          <w:sz w:val="20"/>
        </w:rPr>
        <w:t>means the core commissions and fees attributable to (i) the loss of specifically identified customer accounts and (ii) new business generated in the prior year by certain former employees, in each case in connection with the conduct of a competitor that is the subject of pending litigation in multiple jurisdictions.</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Organic Contingents”</w:t>
      </w:r>
      <w:r>
        <w:rPr>
          <w:color w:val="000000"/>
        </w:rPr>
        <w:t xml:space="preserve"> </w:t>
      </w:r>
      <w:r>
        <w:rPr>
          <w:rFonts w:ascii="Times New Roman" w:hAnsi="Times New Roman"/>
          <w:color w:val="000000"/>
          <w:sz w:val="20"/>
        </w:rPr>
        <w:t xml:space="preserve">are Contingents, less (i) Contingents earned for the first twelve months by newly acquired stand-alone operations and (ii) Contingents earned from divested stand-alone operations (Contingents generated from stand-alone operations sold or terminated during the comparable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sans-serif" w:hAnsi="sans-serif"/>
          <w:color w:val="000000"/>
          <w:sz w:val="20"/>
        </w:rPr>
        <w:t>'</w:t>
      </w:r>
      <w:r>
        <w:rPr>
          <w:rFonts w:ascii="Times New Roman" w:hAnsi="Times New Roman"/>
          <w:color w:val="000000"/>
          <w:sz w:val="20"/>
        </w:rPr>
        <w:t>s condensed consolidated financial statements.</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 #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 more information:</w:t>
      </w:r>
    </w:p>
    <w:p>
      <w:pPr>
        <w:pStyle w:val="TextBody"/>
        <w:bidi w:val="0"/>
        <w:jc w:val="left"/>
        <w:rPr>
          <w:rFonts w:ascii="Times New Roman" w:hAnsi="Times New Roman"/>
          <w:color w:val="000000"/>
          <w:sz w:val="20"/>
        </w:rPr>
      </w:pPr>
      <w:r>
        <w:rPr>
          <w:rFonts w:ascii="Times New Roman" w:hAnsi="Times New Roman"/>
          <w:color w:val="000000"/>
          <w:sz w:val="20"/>
        </w:rPr>
        <w:t>R. Andrew Watts</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color w:val="000000"/>
          <w:sz w:val="20"/>
        </w:rPr>
      </w:pPr>
      <w:r>
        <w:rPr>
          <w:rFonts w:ascii="Times New Roman" w:hAnsi="Times New Roman"/>
          <w:color w:val="000000"/>
          <w:sz w:val="20"/>
        </w:rPr>
        <w:t>(386) 239-5770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5093</Words>
  <Characters>27739</Characters>
  <CharactersWithSpaces>33434</CharactersWithSpaces>
  <Paragraphs>2350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