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212090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212090</wp:posOffset>
            </wp:positionV>
            <wp:extent cx="14744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3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 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Rule 240.14a-12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BROWN &amp; BROWN,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172085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214630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20" w:right="1440" w:bottom="1440" w:gutter="0" w:footer="0" w:header="0"/>
        </w:sectPr>
      </w:pPr>
    </w:p>
    <w:bookmarkStart w:id="1" w:name="page2"/>
    <w:bookmarkEnd w:id="1"/>
    <w:p>
      <w:pPr>
        <w:ind w:left="800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6971665</wp:posOffset>
            </wp:positionH>
            <wp:positionV relativeFrom="page">
              <wp:posOffset>217805</wp:posOffset>
            </wp:positionV>
            <wp:extent cx="300355" cy="2914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  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5092065</wp:posOffset>
            </wp:positionH>
            <wp:positionV relativeFrom="paragraph">
              <wp:posOffset>-167640</wp:posOffset>
            </wp:positionV>
            <wp:extent cx="1765935" cy="2825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935" cy="28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0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6574790</wp:posOffset>
            </wp:positionH>
            <wp:positionV relativeFrom="paragraph">
              <wp:posOffset>-635</wp:posOffset>
            </wp:positionV>
            <wp:extent cx="282575" cy="1654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1654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528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auto"/>
        </w:rPr>
        <w:t xml:space="preserve">   </w:t>
      </w:r>
    </w:p>
    <w:p>
      <w:pPr>
        <w:jc w:val="center"/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color w:val="0C5990"/>
        </w:rPr>
        <w:t xml:space="preserve">Your </w:t>
      </w:r>
      <w:r>
        <w:rPr>
          <w:rFonts w:ascii="Times New Roman" w:cs="Times New Roman" w:eastAsia="Times New Roman" w:hAnsi="Times New Roman"/>
          <w:sz w:val="47"/>
          <w:szCs w:val="47"/>
          <w:b w:val="1"/>
          <w:bCs w:val="1"/>
          <w:color w:val="0C5990"/>
        </w:rPr>
        <w:t>Vote</w:t>
      </w:r>
      <w:r>
        <w:rPr>
          <w:rFonts w:ascii="Times New Roman" w:cs="Times New Roman" w:eastAsia="Times New Roman" w:hAnsi="Times New Roman"/>
          <w:sz w:val="47"/>
          <w:szCs w:val="47"/>
          <w:color w:val="0C5990"/>
        </w:rPr>
        <w:t xml:space="preserve"> Counts!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center"/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0C5990"/>
        </w:rPr>
        <w:t>BROWN &amp; BROWN, INC.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C5990"/>
        </w:rPr>
        <w:t>2024 Annual Meeting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C5990"/>
        </w:rPr>
        <w:t>Vote by May 07, 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162560</wp:posOffset>
            </wp:positionH>
            <wp:positionV relativeFrom="paragraph">
              <wp:posOffset>-29210</wp:posOffset>
            </wp:positionV>
            <wp:extent cx="2802890" cy="2082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208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C5990"/>
        </w:rPr>
        <w:t>11:59 PM ET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5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3865880</wp:posOffset>
            </wp:positionH>
            <wp:positionV relativeFrom="paragraph">
              <wp:posOffset>54610</wp:posOffset>
            </wp:positionV>
            <wp:extent cx="2383155" cy="18002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105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6574790</wp:posOffset>
            </wp:positionH>
            <wp:positionV relativeFrom="paragraph">
              <wp:posOffset>126365</wp:posOffset>
            </wp:positionV>
            <wp:extent cx="282575" cy="12515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125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tbl>
      <w:tblPr>
        <w:tblLayout w:type="fixed"/>
        <w:tblInd w:w="26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FLASHID-JOB#</w:t>
            </w:r>
          </w:p>
        </w:tc>
        <w:tc>
          <w:tcPr>
            <w:tcW w:w="4560" w:type="dxa"/>
            <w:vAlign w:val="bottom"/>
          </w:tcPr>
          <w:p>
            <w:pPr>
              <w:ind w:left="4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 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5092065</wp:posOffset>
            </wp:positionH>
            <wp:positionV relativeFrom="paragraph">
              <wp:posOffset>23495</wp:posOffset>
            </wp:positionV>
            <wp:extent cx="43180" cy="2654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tbl>
      <w:tblPr>
        <w:tblLayout w:type="fixed"/>
        <w:tblInd w:w="54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auto"/>
              </w:rPr>
              <w:t xml:space="preserve">                     </w:t>
            </w:r>
          </w:p>
        </w:tc>
        <w:tc>
          <w:tcPr>
            <w:tcW w:w="2320" w:type="dxa"/>
            <w:vAlign w:val="bottom"/>
            <w:gridSpan w:val="2"/>
            <w:shd w:val="clear" w:color="auto" w:fill="0C5990"/>
          </w:tcPr>
          <w:p>
            <w:pPr>
              <w:jc w:val="center"/>
              <w:ind w:right="2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3"/>
              </w:rPr>
              <w:t>  </w:t>
            </w:r>
          </w:p>
        </w:tc>
      </w:tr>
      <w:tr>
        <w:trPr>
          <w:trHeight w:val="122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shd w:val="clear" w:color="auto" w:fill="0C5990"/>
          </w:tcPr>
          <w:p>
            <w:pPr>
              <w:jc w:val="center"/>
              <w:ind w:right="2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auto"/>
                <w:w w:val="78"/>
              </w:rPr>
              <w:t> 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-136525</wp:posOffset>
            </wp:positionH>
            <wp:positionV relativeFrom="paragraph">
              <wp:posOffset>17145</wp:posOffset>
            </wp:positionV>
            <wp:extent cx="1071245" cy="857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C5990"/>
        </w:rPr>
        <w:t>You invested in BROWN &amp; BROWN, INC. and it’s time to vote!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" w:right="1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C5990"/>
        </w:rPr>
        <w:t xml:space="preserve">You have the right to vote on proposals being presented at the Annual Meeting.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C5990"/>
        </w:rPr>
        <w:t>This is an important notice regarding the availability of proxy</w:t>
      </w:r>
      <w:r>
        <w:rPr>
          <w:rFonts w:ascii="Times New Roman" w:cs="Times New Roman" w:eastAsia="Times New Roman" w:hAnsi="Times New Roman"/>
          <w:sz w:val="18"/>
          <w:szCs w:val="18"/>
          <w:color w:val="0C599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C5990"/>
        </w:rPr>
        <w:t>material for the shareholder meeting to be held on May 08, 2024.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C5990"/>
        </w:rPr>
        <w:t>Get informed before you vote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" w:right="180"/>
        <w:spacing w:after="0" w:line="2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C5990"/>
        </w:rPr>
        <w:t>View the Annual Report, Proxy Statement online OR you can receive a free paper or email copy of the material(s) by requesting prior to April 25, 2024. If you would like to request a copy of the material(s) for this and/or future shareholder meetings, you may (1) visit www.ProxyVote.com,</w:t>
      </w:r>
    </w:p>
    <w:p>
      <w:pPr>
        <w:ind w:left="8" w:right="200" w:hanging="4"/>
        <w:spacing w:after="0" w:line="260" w:lineRule="auto"/>
        <w:tabs>
          <w:tab w:leader="none" w:pos="263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0C5990"/>
        </w:rPr>
      </w:pPr>
      <w:r>
        <w:rPr>
          <w:rFonts w:ascii="Times New Roman" w:cs="Times New Roman" w:eastAsia="Times New Roman" w:hAnsi="Times New Roman"/>
          <w:sz w:val="18"/>
          <w:szCs w:val="18"/>
          <w:color w:val="0C5990"/>
        </w:rPr>
        <w:t>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-136525</wp:posOffset>
            </wp:positionH>
            <wp:positionV relativeFrom="paragraph">
              <wp:posOffset>144145</wp:posOffset>
            </wp:positionV>
            <wp:extent cx="6995160" cy="23749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37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108" w:hanging="108"/>
        <w:spacing w:after="0" w:line="261" w:lineRule="auto"/>
        <w:tabs>
          <w:tab w:leader="none" w:pos="10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4"/>
          <w:szCs w:val="14"/>
          <w:color w:val="0C5990"/>
        </w:rPr>
      </w:pPr>
      <w:r>
        <w:rPr>
          <w:rFonts w:ascii="Times New Roman" w:cs="Times New Roman" w:eastAsia="Times New Roman" w:hAnsi="Times New Roman"/>
          <w:sz w:val="14"/>
          <w:szCs w:val="14"/>
          <w:color w:val="0C5990"/>
        </w:rPr>
        <w:t>If you choose to vote these shares in person at the meeting, you must request a “legal proxy.” To do so, please follow the instructions at www.ProxyVote.com or request a paper copy of the materials, which will contain the appropriate instructions. 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688"/>
          </w:cols>
          <w:pgMar w:left="652" w:top="1021" w:right="559" w:bottom="1440" w:gutter="0" w:footer="0" w:header="0"/>
        </w:sectPr>
      </w:pPr>
    </w:p>
    <w:bookmarkStart w:id="2" w:name="page3"/>
    <w:bookmarkEnd w:id="2"/>
    <w:p>
      <w:pPr>
        <w:ind w:left="80"/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Vote at www.ProxyVote.com       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7A51A1"/>
        </w:rPr>
        <w:t>Control # XXXX XXXX XXXX XXXX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141605</wp:posOffset>
            </wp:positionV>
            <wp:extent cx="6995160" cy="514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54" w:right="4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0C5990"/>
        </w:rPr>
        <w:t>THIS IS NOT A VOTABLE BALLOT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80" w:right="39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7"/>
        </w:rPr>
        <w:t>This is an overview of the proposals being presented at the upcoming shareholder meeting. Please follow the instructions 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C5990"/>
        </w:rPr>
        <w:t> Voting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C5990"/>
        </w:rPr>
        <w:t>Board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-2871470</wp:posOffset>
            </wp:positionH>
            <wp:positionV relativeFrom="paragraph">
              <wp:posOffset>-1563370</wp:posOffset>
            </wp:positionV>
            <wp:extent cx="3514725" cy="10115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01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C5990"/>
        </w:rPr>
        <w:t>Recommends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280" w:space="720"/>
            <w:col w:w="1020"/>
          </w:cols>
          <w:pgMar w:left="440" w:top="254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 1.</w:t>
            </w:r>
          </w:p>
        </w:tc>
        <w:tc>
          <w:tcPr>
            <w:tcW w:w="12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Election of Directors</w:t>
            </w:r>
          </w:p>
        </w:tc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C5990"/>
              </w:rPr>
              <w:t>Nominees:</w:t>
            </w:r>
          </w:p>
        </w:tc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01</w:t>
            </w:r>
          </w:p>
        </w:tc>
        <w:tc>
          <w:tcPr>
            <w:tcW w:w="2840" w:type="dxa"/>
            <w:vAlign w:val="bottom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J. Hyatt Brown</w:t>
            </w:r>
          </w:p>
        </w:tc>
        <w:tc>
          <w:tcPr>
            <w:tcW w:w="28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  <w:w w:val="99"/>
              </w:rPr>
              <w:t>06</w:t>
            </w:r>
          </w:p>
        </w:tc>
        <w:tc>
          <w:tcPr>
            <w:tcW w:w="270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James S. Hunt</w:t>
            </w:r>
          </w:p>
        </w:tc>
        <w:tc>
          <w:tcPr>
            <w:tcW w:w="48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11</w:t>
            </w:r>
          </w:p>
        </w:tc>
        <w:tc>
          <w:tcPr>
            <w:tcW w:w="2860" w:type="dxa"/>
            <w:vAlign w:val="bottom"/>
            <w:tcBorders>
              <w:right w:val="single" w:sz="8" w:color="0C5990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Jaymin B. Patel</w:t>
            </w: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02</w:t>
            </w:r>
          </w:p>
        </w:tc>
        <w:tc>
          <w:tcPr>
            <w:tcW w:w="2840" w:type="dxa"/>
            <w:vAlign w:val="bottom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J. Powell Brown</w:t>
            </w:r>
          </w:p>
        </w:tc>
        <w:tc>
          <w:tcPr>
            <w:tcW w:w="28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  <w:w w:val="99"/>
              </w:rPr>
              <w:t>07</w:t>
            </w:r>
          </w:p>
        </w:tc>
        <w:tc>
          <w:tcPr>
            <w:tcW w:w="270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Toni Jennings</w:t>
            </w:r>
          </w:p>
        </w:tc>
        <w:tc>
          <w:tcPr>
            <w:tcW w:w="48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12</w:t>
            </w:r>
          </w:p>
        </w:tc>
        <w:tc>
          <w:tcPr>
            <w:tcW w:w="2860" w:type="dxa"/>
            <w:vAlign w:val="bottom"/>
            <w:tcBorders>
              <w:right w:val="single" w:sz="8" w:color="0C5990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H. Palmer Proctor, Jr.</w:t>
            </w:r>
          </w:p>
        </w:tc>
        <w:tc>
          <w:tcPr>
            <w:tcW w:w="1180" w:type="dxa"/>
            <w:vAlign w:val="bottom"/>
            <w:vMerge w:val="restart"/>
            <w:shd w:val="clear" w:color="auto" w:fill="F0EFF7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C5990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03</w:t>
            </w:r>
          </w:p>
        </w:tc>
        <w:tc>
          <w:tcPr>
            <w:tcW w:w="2840" w:type="dxa"/>
            <w:vAlign w:val="bottom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Lawrence L. Gellerstedt</w:t>
            </w:r>
          </w:p>
        </w:tc>
        <w:tc>
          <w:tcPr>
            <w:tcW w:w="28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  <w:w w:val="99"/>
              </w:rPr>
              <w:t>08</w:t>
            </w:r>
          </w:p>
        </w:tc>
        <w:tc>
          <w:tcPr>
            <w:tcW w:w="270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Paul J. Krump</w:t>
            </w:r>
          </w:p>
        </w:tc>
        <w:tc>
          <w:tcPr>
            <w:tcW w:w="48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13</w:t>
            </w:r>
          </w:p>
        </w:tc>
        <w:tc>
          <w:tcPr>
            <w:tcW w:w="2860" w:type="dxa"/>
            <w:vAlign w:val="bottom"/>
            <w:tcBorders>
              <w:right w:val="single" w:sz="8" w:color="0C5990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Wendell S. Reilly</w:t>
            </w: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04</w:t>
            </w:r>
          </w:p>
        </w:tc>
        <w:tc>
          <w:tcPr>
            <w:tcW w:w="2840" w:type="dxa"/>
            <w:vAlign w:val="bottom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James C. Hays</w:t>
            </w:r>
          </w:p>
        </w:tc>
        <w:tc>
          <w:tcPr>
            <w:tcW w:w="28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  <w:w w:val="99"/>
              </w:rPr>
              <w:t>09</w:t>
            </w:r>
          </w:p>
        </w:tc>
        <w:tc>
          <w:tcPr>
            <w:tcW w:w="270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Timothy R.M. Main</w:t>
            </w:r>
          </w:p>
        </w:tc>
        <w:tc>
          <w:tcPr>
            <w:tcW w:w="48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14</w:t>
            </w:r>
          </w:p>
        </w:tc>
        <w:tc>
          <w:tcPr>
            <w:tcW w:w="2860" w:type="dxa"/>
            <w:vAlign w:val="bottom"/>
            <w:tcBorders>
              <w:right w:val="single" w:sz="8" w:color="0C5990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Kathleen A. Savio</w:t>
            </w: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340" w:type="dxa"/>
            <w:vAlign w:val="bottom"/>
            <w:tcBorders>
              <w:bottom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C5990"/>
            </w:tcBorders>
            <w:gridSpan w:val="2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05</w:t>
            </w:r>
          </w:p>
        </w:tc>
        <w:tc>
          <w:tcPr>
            <w:tcW w:w="2840" w:type="dxa"/>
            <w:vAlign w:val="bottom"/>
            <w:tcBorders>
              <w:bottom w:val="single" w:sz="8" w:color="0C5990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Theodore J. Hoepner</w:t>
            </w:r>
          </w:p>
        </w:tc>
        <w:tc>
          <w:tcPr>
            <w:tcW w:w="280" w:type="dxa"/>
            <w:vAlign w:val="bottom"/>
            <w:tcBorders>
              <w:bottom w:val="single" w:sz="8" w:color="0C5990"/>
            </w:tcBorders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  <w:w w:val="99"/>
              </w:rPr>
              <w:t>10</w:t>
            </w:r>
          </w:p>
        </w:tc>
        <w:tc>
          <w:tcPr>
            <w:tcW w:w="2700" w:type="dxa"/>
            <w:vAlign w:val="bottom"/>
            <w:tcBorders>
              <w:bottom w:val="single" w:sz="8" w:color="0C5990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Bronislaw E. Masojada</w:t>
            </w:r>
          </w:p>
        </w:tc>
        <w:tc>
          <w:tcPr>
            <w:tcW w:w="480" w:type="dxa"/>
            <w:vAlign w:val="bottom"/>
            <w:tcBorders>
              <w:bottom w:val="single" w:sz="8" w:color="0C5990"/>
            </w:tcBorders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15</w:t>
            </w:r>
          </w:p>
        </w:tc>
        <w:tc>
          <w:tcPr>
            <w:tcW w:w="2860" w:type="dxa"/>
            <w:vAlign w:val="bottom"/>
            <w:tcBorders>
              <w:bottom w:val="single" w:sz="8" w:color="0C5990"/>
              <w:right w:val="single" w:sz="8" w:color="0C5990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Chilton D. Varner</w:t>
            </w:r>
          </w:p>
        </w:tc>
        <w:tc>
          <w:tcPr>
            <w:tcW w:w="1180" w:type="dxa"/>
            <w:vAlign w:val="bottom"/>
            <w:tcBorders>
              <w:bottom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 2.</w:t>
            </w:r>
          </w:p>
        </w:tc>
        <w:tc>
          <w:tcPr>
            <w:tcW w:w="12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380" w:type="dxa"/>
            <w:vAlign w:val="bottom"/>
            <w:tcBorders>
              <w:right w:val="single" w:sz="8" w:color="0C5990"/>
            </w:tcBorders>
            <w:gridSpan w:val="6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To ratify the appointment of Deloitte &amp; Touche LLP as Brown &amp; Brown, Inc.’s independent registered public accountants for</w:t>
            </w:r>
          </w:p>
        </w:tc>
        <w:tc>
          <w:tcPr>
            <w:tcW w:w="1180" w:type="dxa"/>
            <w:vAlign w:val="bottom"/>
            <w:vMerge w:val="restart"/>
            <w:shd w:val="clear" w:color="auto" w:fill="F0EFF7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C5990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40" w:type="dxa"/>
            <w:vAlign w:val="bottom"/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  <w:w w:val="99"/>
              </w:rPr>
              <w:t>the fiscal year ending December 31, 2024.</w:t>
            </w:r>
          </w:p>
        </w:tc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4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F0EFF7"/>
            </w:tcBorders>
            <w:gridSpan w:val="2"/>
            <w:vMerge w:val="continue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F0EFF7"/>
              <w:right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340" w:type="dxa"/>
            <w:vAlign w:val="bottom"/>
            <w:tcBorders>
              <w:top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 3.</w:t>
            </w:r>
          </w:p>
        </w:tc>
        <w:tc>
          <w:tcPr>
            <w:tcW w:w="120" w:type="dxa"/>
            <w:vAlign w:val="bottom"/>
            <w:tcBorders>
              <w:top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40" w:type="dxa"/>
            <w:vAlign w:val="bottom"/>
            <w:tcBorders>
              <w:top w:val="single" w:sz="8" w:color="0C5990"/>
            </w:tcBorders>
            <w:gridSpan w:val="4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To approve, on an advisory basis, the compensation of named executive officers.</w:t>
            </w:r>
          </w:p>
        </w:tc>
        <w:tc>
          <w:tcPr>
            <w:tcW w:w="480" w:type="dxa"/>
            <w:vAlign w:val="bottom"/>
            <w:tcBorders>
              <w:top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C5990"/>
              <w:right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C5990"/>
            </w:tcBorders>
            <w:vMerge w:val="restart"/>
            <w:shd w:val="clear" w:color="auto" w:fill="F0EFF7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C5990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4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F0EFF7"/>
              <w:right w:val="single" w:sz="8" w:color="0C5990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F0EFF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9840" w:type="dxa"/>
            <w:vAlign w:val="bottom"/>
            <w:tcBorders>
              <w:top w:val="single" w:sz="8" w:color="0C5990"/>
              <w:bottom w:val="single" w:sz="8" w:color="0C5990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> 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C5990"/>
              </w:rPr>
              <w:t>NOTE: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C5990"/>
              </w:rPr>
              <w:t xml:space="preserve"> Such other business as may properly come before the meeting or any adjournment thereof.</w:t>
            </w:r>
          </w:p>
        </w:tc>
        <w:tc>
          <w:tcPr>
            <w:tcW w:w="1180" w:type="dxa"/>
            <w:vAlign w:val="bottom"/>
            <w:tcBorders>
              <w:top w:val="single" w:sz="8" w:color="0C5990"/>
              <w:bottom w:val="single" w:sz="8" w:color="0C599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-1508125</wp:posOffset>
            </wp:positionV>
            <wp:extent cx="6995160" cy="46805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8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54" w:right="43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C5990"/>
        </w:rPr>
        <w:t> 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7A51A1"/>
        </w:rPr>
        <w:t xml:space="preserve">Under New York Stock Exchange rules, brokers may vote “routine” matters at their discretion if your voting instructions are not communicated to us at least 10 days before the meeting.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7A51A1"/>
        </w:rPr>
        <w:t>We will nevertheless follow your instructions, even if the broker’s discretionary vote has already been given,</w:t>
      </w:r>
      <w:r>
        <w:rPr>
          <w:rFonts w:ascii="Times New Roman" w:cs="Times New Roman" w:eastAsia="Times New Roman" w:hAnsi="Times New Roman"/>
          <w:sz w:val="16"/>
          <w:szCs w:val="16"/>
          <w:color w:val="7A51A1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7A51A1"/>
        </w:rPr>
        <w:t>provided your instructions are received prior to the meeting date.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FLASHID-JOB#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60" w:hanging="525"/>
        <w:spacing w:after="0" w:line="26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7A51A1"/>
        </w:rPr>
        <w:t>       1.00000 322,224 148,294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7A51A1"/>
        </w:rPr>
        <w:t> </w:t>
      </w:r>
    </w:p>
    <w:sectPr>
      <w:pgSz w:w="11900" w:h="16838" w:orient="portrait"/>
      <w:cols w:equalWidth="0" w:num="2">
        <w:col w:w="9760" w:space="680"/>
        <w:col w:w="580"/>
      </w:cols>
      <w:pgMar w:left="440" w:top="254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2"/>
    </w:lvl>
  </w:abstractNum>
  <w:abstractNum w:abstractNumId="6">
    <w:nsid w:val="41B71EFB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jpe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2024-03-25T16:29:39Z</dcterms:created>
  <dcterms:modified xsi:type="dcterms:W3CDTF">2024-03-25T16:29:39Z</dcterms:modified>
</cp:coreProperties>
</file>