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ind w:left="3880" w:right="1600" w:hanging="3872"/>
        <w:spacing w:after="0" w:line="336" w:lineRule="auto"/>
        <w:tabs>
          <w:tab w:leader="none" w:pos="46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04"/>
        </w:trPr>
        <w:tc>
          <w:tcPr>
            <w:tcW w:w="35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001-13619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780" w:type="dxa"/>
        <w:tblCellMar>
          <w:top w:w="0" w:type="dxa"/>
          <w:left w:w="0" w:type="dxa"/>
          <w:bottom w:w="0" w:type="dxa"/>
          <w:right w:w="0" w:type="dxa"/>
        </w:tblCellMar>
      </w:tblPr>
      <w:tr>
        <w:trPr>
          <w:trHeight w:val="529"/>
        </w:trPr>
        <w:tc>
          <w:tcPr>
            <w:tcW w:w="7640" w:type="dxa"/>
            <w:vAlign w:val="bottom"/>
            <w:gridSpan w:val="3"/>
          </w:tcPr>
          <w:p>
            <w:pPr>
              <w:jc w:val="center"/>
              <w:ind w:left="1942"/>
              <w:spacing w:after="0"/>
              <w:rPr>
                <w:sz w:val="20"/>
                <w:szCs w:val="20"/>
                <w:color w:val="auto"/>
              </w:rPr>
            </w:pPr>
            <w:r>
              <w:rPr>
                <w:rFonts w:ascii="Times New Roman" w:cs="Times New Roman" w:eastAsia="Times New Roman" w:hAnsi="Times New Roman"/>
                <w:sz w:val="43"/>
                <w:szCs w:val="43"/>
                <w:b w:val="1"/>
                <w:bCs w:val="1"/>
                <w:color w:val="auto"/>
              </w:rPr>
              <w:t>BROWN &amp; BROWN, INC.</w:t>
            </w:r>
          </w:p>
        </w:tc>
        <w:tc>
          <w:tcPr>
            <w:tcW w:w="1640" w:type="dxa"/>
            <w:vAlign w:val="bottom"/>
          </w:tcPr>
          <w:p>
            <w:pPr>
              <w:spacing w:after="0"/>
              <w:rPr>
                <w:sz w:val="24"/>
                <w:szCs w:val="24"/>
                <w:color w:val="auto"/>
              </w:rPr>
            </w:pPr>
          </w:p>
        </w:tc>
      </w:tr>
      <w:tr>
        <w:trPr>
          <w:trHeight w:val="238"/>
        </w:trPr>
        <w:tc>
          <w:tcPr>
            <w:tcW w:w="7640" w:type="dxa"/>
            <w:vAlign w:val="bottom"/>
            <w:gridSpan w:val="3"/>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640" w:type="dxa"/>
            <w:vAlign w:val="bottom"/>
          </w:tcPr>
          <w:p>
            <w:pPr>
              <w:spacing w:after="0"/>
              <w:rPr>
                <w:sz w:val="20"/>
                <w:szCs w:val="20"/>
                <w:color w:val="auto"/>
              </w:rPr>
            </w:pPr>
          </w:p>
        </w:tc>
      </w:tr>
      <w:tr>
        <w:trPr>
          <w:trHeight w:val="94"/>
        </w:trPr>
        <w:tc>
          <w:tcPr>
            <w:tcW w:w="37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333"/>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9"/>
        </w:trPr>
        <w:tc>
          <w:tcPr>
            <w:tcW w:w="7640" w:type="dxa"/>
            <w:vAlign w:val="bottom"/>
            <w:gridSpan w:val="3"/>
          </w:tcPr>
          <w:p>
            <w:pPr>
              <w:jc w:val="center"/>
              <w:ind w:right="52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4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7640" w:type="dxa"/>
            <w:vAlign w:val="bottom"/>
            <w:gridSpan w:val="3"/>
          </w:tcPr>
          <w:p>
            <w:pPr>
              <w:jc w:val="center"/>
              <w:ind w:right="5240"/>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40" w:type="dxa"/>
            <w:vAlign w:val="bottom"/>
          </w:tcPr>
          <w:p>
            <w:pPr>
              <w:jc w:val="center"/>
              <w:ind w:left="1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6"/>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9"/>
              </w:rPr>
              <w:t>300 North Beach Street,</w:t>
            </w:r>
          </w:p>
        </w:tc>
        <w:tc>
          <w:tcPr>
            <w:tcW w:w="1640" w:type="dxa"/>
            <w:vAlign w:val="bottom"/>
          </w:tcPr>
          <w:p>
            <w:pPr>
              <w:spacing w:after="0"/>
              <w:rPr>
                <w:sz w:val="18"/>
                <w:szCs w:val="18"/>
                <w:color w:val="auto"/>
              </w:rPr>
            </w:pPr>
          </w:p>
        </w:tc>
      </w:tr>
      <w:tr>
        <w:trPr>
          <w:trHeight w:val="238"/>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9"/>
              </w:rPr>
              <w:t>Daytona Beach, FL</w:t>
            </w:r>
          </w:p>
        </w:tc>
        <w:tc>
          <w:tcPr>
            <w:tcW w:w="164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233"/>
        </w:trPr>
        <w:tc>
          <w:tcPr>
            <w:tcW w:w="7640" w:type="dxa"/>
            <w:vAlign w:val="bottom"/>
            <w:gridSpan w:val="3"/>
          </w:tcPr>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7640" w:type="dxa"/>
            <w:vAlign w:val="bottom"/>
            <w:gridSpan w:val="3"/>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(386) 252-9601</w:t>
            </w:r>
          </w:p>
        </w:tc>
        <w:tc>
          <w:tcPr>
            <w:tcW w:w="1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-676910</wp:posOffset>
            </wp:positionV>
            <wp:extent cx="177419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4190" cy="24003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5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3"/>
        </w:trPr>
        <w:tc>
          <w:tcPr>
            <w:tcW w:w="50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$0.10 Par Value</w:t>
            </w:r>
          </w:p>
        </w:tc>
        <w:tc>
          <w:tcPr>
            <w:tcW w:w="23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BRO</w:t>
            </w:r>
          </w:p>
        </w:tc>
        <w:tc>
          <w:tcPr>
            <w:tcW w:w="38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ind w:right="60" w:firstLine="4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36" w:lineRule="exact"/>
        <w:rPr>
          <w:sz w:val="24"/>
          <w:szCs w:val="24"/>
          <w:color w:val="auto"/>
        </w:rPr>
      </w:pPr>
    </w:p>
    <w:p>
      <w:pPr>
        <w:jc w:val="both"/>
        <w:ind w:right="20" w:firstLine="4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49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2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 w:lineRule="exact"/>
        <w:rPr>
          <w:sz w:val="24"/>
          <w:szCs w:val="24"/>
          <w:color w:val="auto"/>
        </w:rPr>
      </w:pPr>
    </w:p>
    <w:p>
      <w:pPr>
        <w:ind w:right="300" w:firstLine="49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00" w:right="106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$0.10 par value, outstanding as of July 25, 2025 was 329,842,812.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31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563C1"/>
                <w:w w:val="99"/>
              </w:rPr>
              <w:t>PART I. FINANCIAL INFORMATION</w:t>
            </w:r>
          </w:p>
        </w:tc>
        <w:tc>
          <w:tcPr>
            <w:tcW w:w="6880" w:type="dxa"/>
            <w:vAlign w:val="bottom"/>
            <w:gridSpan w:val="10"/>
            <w:vMerge w:val="restart"/>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4"/>
                <w:szCs w:val="14"/>
                <w:color w:val="auto"/>
              </w:rPr>
            </w:pPr>
          </w:p>
        </w:tc>
        <w:tc>
          <w:tcPr>
            <w:tcW w:w="3100" w:type="dxa"/>
            <w:vAlign w:val="bottom"/>
            <w:tcBorders>
              <w:bottom w:val="single" w:sz="8" w:color="0563C1"/>
            </w:tcBorders>
            <w:gridSpan w:val="9"/>
            <w:vMerge w:val="continue"/>
          </w:tcPr>
          <w:p>
            <w:pPr>
              <w:spacing w:after="0"/>
              <w:rPr>
                <w:sz w:val="14"/>
                <w:szCs w:val="14"/>
                <w:color w:val="auto"/>
              </w:rPr>
            </w:pPr>
          </w:p>
        </w:tc>
        <w:tc>
          <w:tcPr>
            <w:tcW w:w="6880" w:type="dxa"/>
            <w:vAlign w:val="bottom"/>
            <w:gridSpan w:val="10"/>
            <w:vMerge w:val="continue"/>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7"/>
              </w:rPr>
              <w:t>Financial Statements (Unaudited):</w:t>
            </w:r>
          </w:p>
        </w:tc>
        <w:tc>
          <w:tcPr>
            <w:tcW w:w="6380" w:type="dxa"/>
            <w:vAlign w:val="bottom"/>
            <w:gridSpan w:val="9"/>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Income for the three and six months ended June 30, 2025 and 2024</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right w:val="single" w:sz="8" w:color="0563C1"/>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20" w:type="dxa"/>
            <w:vAlign w:val="bottom"/>
            <w:gridSpan w:val="3"/>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76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820" w:type="dxa"/>
            <w:vAlign w:val="bottom"/>
            <w:shd w:val="clear" w:color="auto" w:fill="0563C1"/>
          </w:tcPr>
          <w:p>
            <w:pPr>
              <w:spacing w:after="0" w:line="20" w:lineRule="exact"/>
              <w:rPr>
                <w:sz w:val="1"/>
                <w:szCs w:val="1"/>
                <w:color w:val="auto"/>
              </w:rPr>
            </w:pPr>
          </w:p>
        </w:tc>
        <w:tc>
          <w:tcPr>
            <w:tcW w:w="400" w:type="dxa"/>
            <w:vAlign w:val="bottom"/>
            <w:tcBorders>
              <w:right w:val="single" w:sz="8" w:color="0563C1"/>
            </w:tcBorders>
            <w:shd w:val="clear" w:color="auto" w:fill="0563C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Comprehensive Income for the three and six months ended June 30, 2025 and</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Borders>
              <w:top w:val="single" w:sz="8" w:color="0563C1"/>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83"/>
              </w:rPr>
              <w:t>2024</w:t>
            </w:r>
          </w:p>
        </w:tc>
        <w:tc>
          <w:tcPr>
            <w:tcW w:w="24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40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34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500" w:type="dxa"/>
            <w:vAlign w:val="bottom"/>
            <w:tcBorders>
              <w:top w:val="single" w:sz="8" w:color="0563C1"/>
            </w:tcBorders>
          </w:tcPr>
          <w:p>
            <w:pPr>
              <w:spacing w:after="0"/>
              <w:rPr>
                <w:sz w:val="17"/>
                <w:szCs w:val="17"/>
                <w:color w:val="auto"/>
              </w:rPr>
            </w:pPr>
          </w:p>
        </w:tc>
        <w:tc>
          <w:tcPr>
            <w:tcW w:w="152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1760" w:type="dxa"/>
            <w:vAlign w:val="bottom"/>
            <w:tcBorders>
              <w:top w:val="single" w:sz="8" w:color="0563C1"/>
            </w:tcBorders>
          </w:tcPr>
          <w:p>
            <w:pPr>
              <w:spacing w:after="0"/>
              <w:rPr>
                <w:sz w:val="17"/>
                <w:szCs w:val="17"/>
                <w:color w:val="auto"/>
              </w:rPr>
            </w:pPr>
          </w:p>
        </w:tc>
        <w:tc>
          <w:tcPr>
            <w:tcW w:w="340" w:type="dxa"/>
            <w:vAlign w:val="bottom"/>
            <w:tcBorders>
              <w:top w:val="single" w:sz="8" w:color="0563C1"/>
            </w:tcBorders>
          </w:tcPr>
          <w:p>
            <w:pPr>
              <w:spacing w:after="0"/>
              <w:rPr>
                <w:sz w:val="17"/>
                <w:szCs w:val="17"/>
                <w:color w:val="auto"/>
              </w:rPr>
            </w:pPr>
          </w:p>
        </w:tc>
        <w:tc>
          <w:tcPr>
            <w:tcW w:w="820" w:type="dxa"/>
            <w:vAlign w:val="bottom"/>
            <w:tcBorders>
              <w:top w:val="single" w:sz="8" w:color="0563C1"/>
            </w:tcBorders>
          </w:tcPr>
          <w:p>
            <w:pPr>
              <w:spacing w:after="0"/>
              <w:rPr>
                <w:sz w:val="17"/>
                <w:szCs w:val="17"/>
                <w:color w:val="auto"/>
              </w:rPr>
            </w:pPr>
          </w:p>
        </w:tc>
        <w:tc>
          <w:tcPr>
            <w:tcW w:w="400" w:type="dxa"/>
            <w:vAlign w:val="bottom"/>
            <w:tcBorders>
              <w:top w:val="single" w:sz="8" w:color="0563C1"/>
            </w:tcBorders>
          </w:tcPr>
          <w:p>
            <w:pPr>
              <w:spacing w:after="0"/>
              <w:rPr>
                <w:sz w:val="17"/>
                <w:szCs w:val="17"/>
                <w:color w:val="auto"/>
              </w:rPr>
            </w:pPr>
          </w:p>
        </w:tc>
        <w:tc>
          <w:tcPr>
            <w:tcW w:w="820" w:type="dxa"/>
            <w:vAlign w:val="bottom"/>
            <w:tcBorders>
              <w:top w:val="single" w:sz="8" w:color="0563C1"/>
            </w:tcBorders>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Balance Sheets as of June 30, 2025 and December 31, 2024</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right w:val="single" w:sz="8" w:color="0563C1"/>
            </w:tcBorders>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20" w:type="dxa"/>
            <w:vAlign w:val="bottom"/>
            <w:gridSpan w:val="3"/>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760" w:type="dxa"/>
            <w:vAlign w:val="bottom"/>
            <w:shd w:val="clear" w:color="auto" w:fill="0563C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Equity for the three and six months ended June 30, 2025 and 2024</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60" w:type="dxa"/>
            <w:vAlign w:val="bottom"/>
            <w:tcBorders>
              <w:top w:val="single" w:sz="8" w:color="0563C1"/>
            </w:tcBorders>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Cash Flows for the six months ended June 30, 2025 and 2024</w:t>
            </w:r>
          </w:p>
        </w:tc>
        <w:tc>
          <w:tcPr>
            <w:tcW w:w="116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960" w:type="dxa"/>
            <w:vAlign w:val="bottom"/>
            <w:tcBorders>
              <w:top w:val="single" w:sz="8" w:color="0563C1"/>
              <w:bottom w:val="single" w:sz="8" w:color="0563C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563C1"/>
                <w:w w:val="98"/>
              </w:rPr>
              <w:t>Notes to Condensed Consolidated Financial Statements</w:t>
            </w:r>
          </w:p>
        </w:tc>
        <w:tc>
          <w:tcPr>
            <w:tcW w:w="3300" w:type="dxa"/>
            <w:vAlign w:val="bottom"/>
            <w:tcBorders>
              <w:top w:val="single" w:sz="8" w:color="0563C1"/>
            </w:tcBorders>
            <w:gridSpan w:val="5"/>
          </w:tcPr>
          <w:p>
            <w:pPr>
              <w:spacing w:after="0"/>
              <w:rPr>
                <w:sz w:val="17"/>
                <w:szCs w:val="17"/>
                <w:color w:val="auto"/>
              </w:rPr>
            </w:pPr>
          </w:p>
        </w:tc>
        <w:tc>
          <w:tcPr>
            <w:tcW w:w="156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380" w:type="dxa"/>
            <w:vAlign w:val="bottom"/>
            <w:gridSpan w:val="4"/>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563C1"/>
            </w:tcBorders>
            <w:gridSpan w:val="12"/>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448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7"/>
              </w:rPr>
              <w:t>Controls and Procedures</w:t>
            </w:r>
          </w:p>
        </w:tc>
        <w:tc>
          <w:tcPr>
            <w:tcW w:w="7080" w:type="dxa"/>
            <w:vAlign w:val="bottom"/>
            <w:gridSpan w:val="1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280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b w:val="1"/>
                <w:bCs w:val="1"/>
                <w:color w:val="0563C1"/>
                <w:w w:val="99"/>
              </w:rPr>
              <w:t>PART II. OTHER INFORMATION</w:t>
            </w:r>
          </w:p>
        </w:tc>
        <w:tc>
          <w:tcPr>
            <w:tcW w:w="7180" w:type="dxa"/>
            <w:vAlign w:val="bottom"/>
            <w:gridSpan w:val="12"/>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top w:val="single" w:sz="8" w:color="0563C1"/>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4"/>
              </w:rPr>
              <w:t>Risk Factors</w:t>
            </w:r>
          </w:p>
        </w:tc>
        <w:tc>
          <w:tcPr>
            <w:tcW w:w="420" w:type="dxa"/>
            <w:vAlign w:val="bottom"/>
            <w:tcBorders>
              <w:top w:val="single" w:sz="8" w:color="0563C1"/>
            </w:tcBorders>
            <w:gridSpan w:val="2"/>
          </w:tcPr>
          <w:p>
            <w:pPr>
              <w:spacing w:after="0"/>
              <w:rPr>
                <w:sz w:val="17"/>
                <w:szCs w:val="17"/>
                <w:color w:val="auto"/>
              </w:rPr>
            </w:pPr>
          </w:p>
        </w:tc>
        <w:tc>
          <w:tcPr>
            <w:tcW w:w="7520" w:type="dxa"/>
            <w:vAlign w:val="bottom"/>
            <w:gridSpan w:val="1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20" w:type="dxa"/>
            <w:vAlign w:val="bottom"/>
            <w:tcBorders>
              <w:bottom w:val="single" w:sz="8" w:color="0563C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563C1"/>
                <w:w w:val="98"/>
              </w:rPr>
              <w:t>Unregistered Sales of Equity Securities and Use of Proceeds</w:t>
            </w:r>
          </w:p>
        </w:tc>
        <w:tc>
          <w:tcPr>
            <w:tcW w:w="450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8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540" w:type="dxa"/>
            <w:vAlign w:val="bottom"/>
            <w:gridSpan w:val="1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right w:val="single" w:sz="8" w:color="0563C1"/>
            </w:tcBorders>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8260" w:type="dxa"/>
            <w:vAlign w:val="bottom"/>
            <w:gridSpan w:val="1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99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563C1"/>
              </w:rPr>
              <w:t>SIGNATURES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00" w:type="dxa"/>
            <w:vAlign w:val="bottom"/>
          </w:tcPr>
          <w:p>
            <w:pPr>
              <w:spacing w:after="0"/>
              <w:rPr>
                <w:sz w:val="24"/>
                <w:szCs w:val="24"/>
                <w:color w:val="auto"/>
              </w:rPr>
            </w:pPr>
          </w:p>
        </w:tc>
        <w:tc>
          <w:tcPr>
            <w:tcW w:w="1160" w:type="dxa"/>
            <w:vAlign w:val="bottom"/>
            <w:tcBorders>
              <w:top w:val="single" w:sz="8" w:color="0563C1"/>
            </w:tcBorders>
          </w:tcPr>
          <w:p>
            <w:pPr>
              <w:spacing w:after="0"/>
              <w:rPr>
                <w:sz w:val="24"/>
                <w:szCs w:val="24"/>
                <w:color w:val="auto"/>
              </w:rPr>
            </w:pPr>
          </w:p>
        </w:tc>
        <w:tc>
          <w:tcPr>
            <w:tcW w:w="6100" w:type="dxa"/>
            <w:vAlign w:val="bottom"/>
            <w:gridSpan w:val="13"/>
          </w:tcPr>
          <w:p>
            <w:pPr>
              <w:jc w:val="right"/>
              <w:ind w:right="170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31" w:lineRule="exact"/>
        <w:rPr>
          <w:sz w:val="20"/>
          <w:szCs w:val="20"/>
          <w:color w:val="auto"/>
        </w:rPr>
      </w:pPr>
    </w:p>
    <w:p>
      <w:pPr>
        <w:ind w:firstLine="494"/>
        <w:spacing w:after="0" w:line="251" w:lineRule="auto"/>
        <w:rPr>
          <w:sz w:val="20"/>
          <w:szCs w:val="20"/>
          <w:color w:val="auto"/>
        </w:rPr>
      </w:pPr>
      <w:r>
        <w:rPr>
          <w:rFonts w:ascii="Times New Roman" w:cs="Times New Roman" w:eastAsia="Times New Roman" w:hAnsi="Times New Roman"/>
          <w:sz w:val="18"/>
          <w:szCs w:val="18"/>
          <w:color w:val="auto"/>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Quarterly Report on Form 10-Q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 Item 2 “Management’s Discussion and Analysis of Financial Condition and Results of Operations”:</w:t>
      </w:r>
    </w:p>
    <w:p>
      <w:pPr>
        <w:spacing w:after="0" w:line="98" w:lineRule="exact"/>
        <w:rPr>
          <w:sz w:val="20"/>
          <w:szCs w:val="20"/>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the timing and completion of the acquisition of RSC Topco, Inc. (“RSC” or “Accession”), a Delaware corporation (the “Transaction”);</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including any anticipated costs saving and strategies, of the Transaction are not realized when expected or at all;</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financing of the Transaction, including that financing the Transaction will result in an increase in the Company’s indebtedness;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financial information related to Accession;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Accession’s business, including underwriting risk in connection with certain captive insurance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certain assumptions the Company has made relating to the Transaction prove to be materially inaccurate;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hire, retain and develop qualified employees, as well as the loss of any of our executive officers or other key employees;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attack or any other interruption in information technology and/or data security that may impact our operations or the operations of third parties that support us;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international operations, which may result in additional risks or require more management time and expense than our domestic operations to achieve or maintain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additional resources and time to adequately respond to dynamics resulting from rapid technological change;</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significant change to any of our insurance company or intermediary relationships, which could result in loss of capacity to write business, additional expense, loss of market share or material decrease in our commissions;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natural disasters on our profit-sharing contingent commissions, insurer capacity or claims expenses within our capitalized captive insurance facilities;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political conditions, outbreaks of war, disasters, or regulatory changes in states or countries where we have a concentration of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our culture or a significant change in management, management philosophy or our business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commission revenue as a result of factors outside of our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significant or sustained inflation or higher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 resulting from the limited underwriting risk associated with our participation in capitalized captive insurance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automobile and recreational vehicle finance and incentives dealer services (“F&amp;I”)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termination of, certain programs administered by the U.S. federal government from which we derive revenues;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of our system of disclosure and internal controls and procedures in preventing errors or fraud, or in informing management of all material information in a timely manner;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vendors and other third parties to perform key functions of our business operations and provide services to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control certain shareholders have;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data privacy and protection laws and regulations or any failure to comply with such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confidential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non-U.S. laws, regulations and policies;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 of certain actual or potential claims, regulatory actions or proceedings on our businesses, results of operations, financial condition or liquidity;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business practices and compensation arrangements with insurance carriers due to potential changes in regulations;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changing laws and expectations from regulators, investors and customers with respect to our environmental, social and governance practices and disclosure;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demand for liability insurance as a result of tort reform legislation;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covenants contained in our debt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covenants in our debt agreements could prevent us from engaging in certain potentially beneficial activities;</w:t>
      </w:r>
    </w:p>
    <w:p>
      <w:pPr>
        <w:spacing w:after="0" w:line="117"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to our corporate credit rating, the credit ratings of our outstanding debt or other market speculation;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U.S.-based credit markets that might adversely affect our business, results of operations and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U.S. or global economic conditions, including an extended slowdown in the markets in which we operate;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Disintermediation within the insurance industry, including increased competition from insurance companies, technology companies and the financial services industry, as well as the shift away from traditional insurance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result in reduced insurer capacity;</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annual variations in our commissions that result from the timing of policy renewals and the net effect of new and lost business production;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risk, including the possibility that our goodwill may become impaired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accounting estimates and assumptions;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pandemics, epidemics or outbreaks of infectious diseases, and the resulting governmental and societal responses;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as may be detailed from time to time in our public announcements and Securities and Exchange Commission (“SEC”) filings;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the Company may not have currently identified or quantified.</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and the Company does not undertake any obligation to publicly update or correct any forward-looking statements to reflect events or circumstances that subsequently occur or of which the Company hereafter becomes aware.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and fees</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1,249</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1,154</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2,390</w:t>
            </w:r>
          </w:p>
        </w:tc>
      </w:tr>
      <w:tr>
        <w:trPr>
          <w:trHeight w:val="216"/>
        </w:trPr>
        <w:tc>
          <w:tcPr>
            <w:tcW w:w="4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2,435</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9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1,723</w:t>
            </w:r>
          </w:p>
        </w:tc>
      </w:tr>
      <w:tr>
        <w:trPr>
          <w:trHeight w:val="20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159</w:t>
            </w: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550</w:t>
            </w: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0.79</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0.90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9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0.78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3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-2588260</wp:posOffset>
            </wp:positionV>
            <wp:extent cx="85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-2588260</wp:posOffset>
            </wp:positionV>
            <wp:extent cx="85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-2588260</wp:posOffset>
            </wp:positionV>
            <wp:extent cx="85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-1199515</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-1199515</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-1199515</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-916940</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-916940</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-916940</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-633730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-633730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-633730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3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the Company</w:t>
            </w:r>
          </w:p>
        </w:tc>
        <w:tc>
          <w:tcPr>
            <w:tcW w:w="15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8,893</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cash</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1,827</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receivables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1,116</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Reinsurance recoverable</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6,924</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8,365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7,970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1,814</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25,636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17,612</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Fiduciary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3,238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2,943</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loss adjustment reserve</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1,543</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5,257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6,314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unamortized discount and debt issuance costs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3,599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$0.10 per share; authorized 560 shares; issued 350 shares and outstanding</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330 shares at 2025, issued 306</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and outstanding 286 shares at 2024, respectively</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 at cost 20 shares at 2025 and 2024</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6,604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6,128</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11,617</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6,437</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25,636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17,612</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-4345305</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-3514090</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ed Other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Outstandin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8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w:t>
            </w:r>
          </w:p>
        </w:tc>
        <w:tc>
          <w:tcPr>
            <w:tcW w:w="10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286</w:t>
            </w:r>
          </w:p>
        </w:tc>
        <w:tc>
          <w:tcPr>
            <w:tcW w:w="560" w:type="dxa"/>
            <w:vAlign w:val="bottom"/>
            <w:gridSpan w:val="2"/>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1,118</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6,128</w:t>
            </w:r>
          </w:p>
        </w:tc>
        <w:tc>
          <w:tcPr>
            <w:tcW w:w="22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6,437</w:t>
            </w:r>
          </w:p>
        </w:tc>
        <w:tc>
          <w:tcPr>
            <w:tcW w:w="0" w:type="dxa"/>
            <w:vAlign w:val="bottom"/>
          </w:tcPr>
          <w:p>
            <w:pPr>
              <w:spacing w:after="0"/>
              <w:rPr>
                <w:sz w:val="1"/>
                <w:szCs w:val="1"/>
                <w:color w:val="auto"/>
              </w:rPr>
            </w:pPr>
          </w:p>
        </w:tc>
      </w:tr>
      <w:tr>
        <w:trPr>
          <w:trHeight w:val="156"/>
        </w:trPr>
        <w:tc>
          <w:tcPr>
            <w:tcW w:w="3680" w:type="dxa"/>
            <w:vAlign w:val="bottom"/>
            <w:tcBorders>
              <w:top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331</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48"/>
        </w:trPr>
        <w:tc>
          <w:tcPr>
            <w:tcW w:w="3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 employee stock compensation plans: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36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 incentive plans</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26"/>
        </w:trPr>
        <w:tc>
          <w:tcPr>
            <w:tcW w:w="3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Repurchase shares to fund tax withholdings for non-cash</w:t>
            </w: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paid ($0.15 per share)</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2"/>
        </w:trPr>
        <w:tc>
          <w:tcPr>
            <w:tcW w:w="3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8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287</w:t>
            </w:r>
          </w:p>
        </w:tc>
        <w:tc>
          <w:tcPr>
            <w:tcW w:w="560" w:type="dxa"/>
            <w:vAlign w:val="bottom"/>
            <w:gridSpan w:val="2"/>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1,107</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6,416</w:t>
            </w:r>
          </w:p>
        </w:tc>
        <w:tc>
          <w:tcPr>
            <w:tcW w:w="22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2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6,841</w:t>
            </w:r>
          </w:p>
        </w:tc>
        <w:tc>
          <w:tcPr>
            <w:tcW w:w="0" w:type="dxa"/>
            <w:vAlign w:val="bottom"/>
          </w:tcPr>
          <w:p>
            <w:pPr>
              <w:spacing w:after="0"/>
              <w:rPr>
                <w:sz w:val="1"/>
                <w:szCs w:val="1"/>
                <w:color w:val="auto"/>
              </w:rPr>
            </w:pPr>
          </w:p>
        </w:tc>
      </w:tr>
      <w:tr>
        <w:trPr>
          <w:trHeight w:val="142"/>
        </w:trPr>
        <w:tc>
          <w:tcPr>
            <w:tcW w:w="36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231</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48"/>
        </w:trPr>
        <w:tc>
          <w:tcPr>
            <w:tcW w:w="3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 employee stock compensation plans: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36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 incentive plans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3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issued - public offering</w:t>
            </w:r>
          </w:p>
        </w:tc>
        <w:tc>
          <w:tcPr>
            <w:tcW w:w="8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4,311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4,315</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3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Repurchase shares to fund tax withholdings for non-cash</w:t>
            </w: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($0.15 per share)</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2"/>
        </w:trPr>
        <w:tc>
          <w:tcPr>
            <w:tcW w:w="3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8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330</w:t>
            </w:r>
          </w:p>
        </w:tc>
        <w:tc>
          <w:tcPr>
            <w:tcW w:w="560" w:type="dxa"/>
            <w:vAlign w:val="bottom"/>
            <w:gridSpan w:val="2"/>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5,441</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262</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6,604</w:t>
            </w:r>
          </w:p>
        </w:tc>
        <w:tc>
          <w:tcPr>
            <w:tcW w:w="22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2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11,617</w:t>
            </w:r>
          </w:p>
        </w:tc>
        <w:tc>
          <w:tcPr>
            <w:tcW w:w="0" w:type="dxa"/>
            <w:vAlign w:val="bottom"/>
          </w:tcPr>
          <w:p>
            <w:pPr>
              <w:spacing w:after="0"/>
              <w:rPr>
                <w:sz w:val="1"/>
                <w:szCs w:val="1"/>
                <w:color w:val="auto"/>
              </w:rPr>
            </w:pPr>
          </w:p>
        </w:tc>
      </w:tr>
      <w:tr>
        <w:trPr>
          <w:trHeight w:val="142"/>
        </w:trPr>
        <w:tc>
          <w:tcPr>
            <w:tcW w:w="36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bottom w:val="single" w:sz="8" w:color="CFF0FC"/>
            </w:tcBorders>
            <w:vMerge w:val="restart"/>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bottom w:val="single" w:sz="8" w:color="CFF0FC"/>
            </w:tcBorders>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bottom w:val="single" w:sz="8" w:color="CFF0FC"/>
            </w:tcBorders>
            <w:vMerge w:val="restart"/>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bottom w:val="single" w:sz="8" w:color="CFF0FC"/>
            </w:tcBorders>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bottom w:val="single" w:sz="8" w:color="CFF0FC"/>
            </w:tcBorders>
            <w:vMerge w:val="restart"/>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bottom w:val="single" w:sz="8" w:color="CFF0FC"/>
            </w:tcBorders>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bottom w:val="single" w:sz="8" w:color="CFF0FC"/>
            </w:tcBorders>
            <w:vMerge w:val="restart"/>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8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285</w:t>
            </w:r>
          </w:p>
        </w:tc>
        <w:tc>
          <w:tcPr>
            <w:tcW w:w="100" w:type="dxa"/>
            <w:vAlign w:val="bottom"/>
            <w:vMerge w:val="continue"/>
          </w:tcPr>
          <w:p>
            <w:pPr>
              <w:spacing w:after="0"/>
              <w:rPr>
                <w:sz w:val="12"/>
                <w:szCs w:val="12"/>
                <w:color w:val="auto"/>
              </w:rPr>
            </w:pPr>
          </w:p>
        </w:tc>
        <w:tc>
          <w:tcPr>
            <w:tcW w:w="4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1,027</w:t>
            </w:r>
          </w:p>
        </w:tc>
        <w:tc>
          <w:tcPr>
            <w:tcW w:w="10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1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vMerge w:val="continue"/>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5,289</w:t>
            </w:r>
          </w:p>
        </w:tc>
        <w:tc>
          <w:tcPr>
            <w:tcW w:w="1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5,579</w:t>
            </w:r>
          </w:p>
        </w:tc>
        <w:tc>
          <w:tcPr>
            <w:tcW w:w="0" w:type="dxa"/>
            <w:vAlign w:val="bottom"/>
          </w:tcPr>
          <w:p>
            <w:pPr>
              <w:spacing w:after="0"/>
              <w:rPr>
                <w:sz w:val="1"/>
                <w:szCs w:val="1"/>
                <w:color w:val="auto"/>
              </w:rPr>
            </w:pPr>
          </w:p>
        </w:tc>
      </w:tr>
      <w:tr>
        <w:trPr>
          <w:trHeight w:val="155"/>
        </w:trPr>
        <w:tc>
          <w:tcPr>
            <w:tcW w:w="36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8"/>
        </w:trPr>
        <w:tc>
          <w:tcPr>
            <w:tcW w:w="3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issued - employee stock compensation plans:</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36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 incentive plans</w:t>
            </w:r>
          </w:p>
        </w:tc>
        <w:tc>
          <w:tcPr>
            <w:tcW w:w="8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non-controlling interest acquired (disposed)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26"/>
        </w:trPr>
        <w:tc>
          <w:tcPr>
            <w:tcW w:w="3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Repurchase shares to fund tax withholdings for non-cash</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paid ($0.13 per share)</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2"/>
        </w:trPr>
        <w:tc>
          <w:tcPr>
            <w:tcW w:w="3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8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285</w:t>
            </w:r>
          </w:p>
        </w:tc>
        <w:tc>
          <w:tcPr>
            <w:tcW w:w="560" w:type="dxa"/>
            <w:vAlign w:val="bottom"/>
            <w:gridSpan w:val="2"/>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1,003</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5,544</w:t>
            </w:r>
          </w:p>
        </w:tc>
        <w:tc>
          <w:tcPr>
            <w:tcW w:w="22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5,787</w:t>
            </w:r>
          </w:p>
        </w:tc>
        <w:tc>
          <w:tcPr>
            <w:tcW w:w="0" w:type="dxa"/>
            <w:vAlign w:val="bottom"/>
          </w:tcPr>
          <w:p>
            <w:pPr>
              <w:spacing w:after="0"/>
              <w:rPr>
                <w:sz w:val="1"/>
                <w:szCs w:val="1"/>
                <w:color w:val="auto"/>
              </w:rPr>
            </w:pPr>
          </w:p>
        </w:tc>
      </w:tr>
      <w:tr>
        <w:trPr>
          <w:trHeight w:val="142"/>
        </w:trPr>
        <w:tc>
          <w:tcPr>
            <w:tcW w:w="36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257</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49"/>
        </w:trPr>
        <w:tc>
          <w:tcPr>
            <w:tcW w:w="3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 employee stock compensation plans: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36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 incentive plans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3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($0.13 per share)</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2"/>
        </w:trPr>
        <w:tc>
          <w:tcPr>
            <w:tcW w:w="3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1,027</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5,764</w:t>
            </w:r>
          </w:p>
        </w:tc>
        <w:tc>
          <w:tcPr>
            <w:tcW w:w="22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6,037</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-3900170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-3900170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-3900170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-3900170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-3900170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-3900170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-3900170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-3016885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-3016885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-3016885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-3016885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-3016885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-3016885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-3016885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-1962785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-1962785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-1962785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-1962785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-1962785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-1962785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-1962785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-779145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-779145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-779145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-779145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-779145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-779145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-779145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198"/>
        </w:trPr>
        <w:tc>
          <w:tcPr>
            <w:tcW w:w="7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before non-controlling interests to net cash provided by operating</w:t>
            </w: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activities:</w:t>
            </w: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6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loss/(gain) on sales/disposals of investments, businesses, fixed assets and customer accounts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acquisition earn-outs in excess of original estimated payables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from acquisitions and divestitures: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Commissions, fees and other receivables (increase) decrease</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 (increase) decrease</w:t>
            </w:r>
          </w:p>
        </w:tc>
        <w:tc>
          <w:tcPr>
            <w:tcW w:w="36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 (increase) decrease</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 (increase) decrease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Losses and loss adjustment reserve increase (decrease)</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 increase (decrease)</w:t>
            </w:r>
          </w:p>
        </w:tc>
        <w:tc>
          <w:tcPr>
            <w:tcW w:w="36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increase (decrease)</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 increase (decrease)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 increase (decrease)</w:t>
            </w: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fixed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for businesses acquired, net of cash acquired</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businesses, fixed assets and customer accounts</w:t>
            </w:r>
          </w:p>
        </w:tc>
        <w:tc>
          <w:tcPr>
            <w:tcW w:w="36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Fiduciary receivables and liabilities, net</w:t>
            </w:r>
          </w:p>
        </w:tc>
        <w:tc>
          <w:tcPr>
            <w:tcW w:w="36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acquisition earn-outs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6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expenses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4,315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Repurchase shares to fund tax withholdings for non-cash stock-based compensation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7,981</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 inclusive of fiduciary cash</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inclusive of fiduciary cash</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8,417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inclusive of fiduciary cash at beginning of period</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2,502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Cash and cash equivalents inclusive of fiduciary cash at end of period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10,919</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-3385185</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-2545080</wp:posOffset>
            </wp:positionV>
            <wp:extent cx="1111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-599440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See accompanying Notes to Condensed Consolidated Financial Statements. Refer to Note 10 for the reconciliations of cash and cash equivalents inclusive of fiduciary cash.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121"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three reportable segments. The Retail segment provides a broad range of insurance products and services to commercial, public and quasi-public entities, professional and individual insured customers, and non-insurance risk-mitigating products through our automobile and recreational vehicle dealer services (“F&amp;I”) businesses. The Programs segment, which acts as a managing general underwriter (“MGU”),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a nationwide network of independent agents, including Brown &amp; Brown retail agents. The Wholesale Brokerage segment markets and sells excess and surplus commercial and personal lines insurance, primarily through independent agents and brokers, as well as Brown &amp; Brown retail agents.</w:t>
      </w:r>
    </w:p>
    <w:p>
      <w:pPr>
        <w:spacing w:after="0" w:line="86" w:lineRule="exact"/>
        <w:rPr>
          <w:sz w:val="20"/>
          <w:szCs w:val="20"/>
          <w:color w:val="auto"/>
        </w:rPr>
      </w:pPr>
    </w:p>
    <w:p>
      <w:pPr>
        <w:ind w:right="360" w:firstLine="494"/>
        <w:spacing w:after="0" w:line="256" w:lineRule="auto"/>
        <w:rPr>
          <w:sz w:val="20"/>
          <w:szCs w:val="20"/>
          <w:color w:val="auto"/>
        </w:rPr>
      </w:pPr>
      <w:r>
        <w:rPr>
          <w:rFonts w:ascii="Times New Roman" w:cs="Times New Roman" w:eastAsia="Times New Roman" w:hAnsi="Times New Roman"/>
          <w:sz w:val="18"/>
          <w:szCs w:val="18"/>
          <w:color w:val="auto"/>
        </w:rPr>
        <w:t>The Company primarily operates as an agent or broker not assuming underwriting risks. However, we operate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 The Company also operates two capitalized captive insurance facilities (the "Captives") for the purpose of facilitating additional underwriting capacity, generating incremental revenues and participating in underwriting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Financial Reporting</w:t>
      </w:r>
    </w:p>
    <w:p>
      <w:pPr>
        <w:spacing w:after="0" w:line="121"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for interim financial information and with the instructions for Form 10-Q and Article 10 of Regulation S-X. Accordingly, they do not include all of the information and footnotes required by U.S. GAAP for complete financial statements. In the opinion of management, all adjustments (consisting of recurring accruals) necessary for a fair presentation have been included. These unaudited Condensed Consolidated Financial Statements should be read in conjunction with the audited Consolidated Financial Statements and the Notes thereto set forth in the Company’s Annual Report on Form 10-K for the year ended December 31, 2024.</w:t>
      </w:r>
    </w:p>
    <w:p>
      <w:pPr>
        <w:spacing w:after="0" w:line="79"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U.S. GAAP requires management to make estimates and assumptions that affect the reported amounts of assets and liabilities, as well as disclosures of contingent assets and liabilities, at the date of the Condensed Consolidated Financial Statements, and the reported amounts of revenues and expenses during the reporting period. Actual results may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which requires disclosure of specific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these new disclosure requirements.</w:t>
      </w:r>
    </w:p>
    <w:p>
      <w:pPr>
        <w:spacing w:after="0" w:line="72" w:lineRule="exact"/>
        <w:rPr>
          <w:sz w:val="20"/>
          <w:szCs w:val="20"/>
          <w:color w:val="auto"/>
        </w:rPr>
      </w:pPr>
    </w:p>
    <w:p>
      <w:pPr>
        <w:ind w:right="200" w:firstLine="494"/>
        <w:spacing w:after="0" w:line="261" w:lineRule="auto"/>
        <w:rPr>
          <w:sz w:val="20"/>
          <w:szCs w:val="20"/>
          <w:color w:val="auto"/>
        </w:rPr>
      </w:pPr>
      <w:r>
        <w:rPr>
          <w:rFonts w:ascii="Times New Roman" w:cs="Times New Roman" w:eastAsia="Times New Roman" w:hAnsi="Times New Roman"/>
          <w:sz w:val="18"/>
          <w:szCs w:val="18"/>
          <w:color w:val="auto"/>
        </w:rPr>
        <w:t>On December 14, 2023, the FASB issued ASU 2023-09, "Improvements to Income Tax Disclosures." This ASU improves the transparency of income tax disclosures by requiring consistent categories and greater disaggregation of information in the rate reconciliation and income taxes paid disaggregated by jurisdiction. This ASU is effective for annual periods beginning after December 15, 2024. Early adoption is permitted. The Company is currently evaluating these new disclosure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21" w:lineRule="exact"/>
        <w:rPr>
          <w:sz w:val="20"/>
          <w:szCs w:val="20"/>
          <w:color w:val="auto"/>
        </w:rPr>
      </w:pPr>
    </w:p>
    <w:p>
      <w:pPr>
        <w:ind w:right="180" w:firstLine="49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This ASU requires additional reportable segment disclosures, primarily through enhanced disclosures about significant segment expenses. In addition, the ASU enhances interim disclosure requirements effectively making the current annual requirements a requirement for interim reporting. The Company adopted ASU 2023-07 for fiscal year ending December 31, 2024, and it has been applied retrospectively to the interim disclosures beginning January 1,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 implemented through 2027. The Company is currently assessing its impact on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the revenues disaggregated by revenue source: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8"/>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4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7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3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7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4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7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3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7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-5905500</wp:posOffset>
            </wp:positionV>
            <wp:extent cx="946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-5905500</wp:posOffset>
            </wp:positionV>
            <wp:extent cx="939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-5905500</wp:posOffset>
            </wp:positionV>
            <wp:extent cx="94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-5905500</wp:posOffset>
            </wp:positionV>
            <wp:extent cx="939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-4319905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-4319905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-4319905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-4319905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-2699385</wp:posOffset>
            </wp:positionV>
            <wp:extent cx="946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-2699385</wp:posOffset>
            </wp:positionV>
            <wp:extent cx="93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-2699385</wp:posOffset>
            </wp:positionV>
            <wp:extent cx="946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-2699385</wp:posOffset>
            </wp:positionV>
            <wp:extent cx="93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-1079500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-1079500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-1079500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-1079500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left="380" w:right="20" w:hanging="372"/>
        <w:spacing w:after="0" w:line="25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spacing w:after="0" w:line="3" w:lineRule="exact"/>
        <w:rPr>
          <w:rFonts w:ascii="Times New Roman" w:cs="Times New Roman" w:eastAsia="Times New Roman" w:hAnsi="Times New Roman"/>
          <w:sz w:val="18"/>
          <w:szCs w:val="18"/>
          <w:color w:val="auto"/>
        </w:rPr>
      </w:pPr>
    </w:p>
    <w:p>
      <w:pPr>
        <w:ind w:left="380" w:right="360" w:hanging="37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revenues relate to fees for services other than securing coverage for our customers, including fees negotiated in lieu of commissions, and F&amp;I products and services.</w:t>
      </w:r>
    </w:p>
    <w:p>
      <w:pPr>
        <w:ind w:left="380" w:right="280" w:hanging="37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commissions include additional commissions over base commissions received from insurance carriers based on predetermined growth or production measures. This includes incentive commissions and guaranteed supplemental commissions.</w:t>
      </w:r>
    </w:p>
    <w:p>
      <w:pPr>
        <w:ind w:left="380" w:right="380" w:hanging="37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Profit-sharing contingent commissions are based primarily on underwriting results, but may also reflect considerations for volume, growth and/or retention.</w:t>
      </w: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premium relates to the premiums earned in the Captives.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consists primarily of interest on cash and investments.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consists primarily of other miscellaneous income.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within Other reflect the elimination of intercompany revenues.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revenues disaggregated by geographic area where our services are being performed: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5"/>
                <w:szCs w:val="15"/>
                <w:color w:val="auto"/>
              </w:rPr>
            </w:pPr>
          </w:p>
        </w:tc>
        <w:tc>
          <w:tcPr>
            <w:tcW w:w="274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gridSpan w:val="2"/>
          </w:tcPr>
          <w:p>
            <w:pPr>
              <w:jc w:val="right"/>
              <w:ind w:right="80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-170815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21" w:lineRule="exact"/>
        <w:rPr>
          <w:sz w:val="20"/>
          <w:szCs w:val="20"/>
          <w:color w:val="auto"/>
        </w:rPr>
      </w:pPr>
    </w:p>
    <w:p>
      <w:pPr>
        <w:ind w:right="300" w:firstLine="499"/>
        <w:spacing w:after="0" w:line="282" w:lineRule="auto"/>
        <w:rPr>
          <w:sz w:val="20"/>
          <w:szCs w:val="20"/>
          <w:color w:val="auto"/>
        </w:rPr>
      </w:pPr>
      <w:r>
        <w:rPr>
          <w:rFonts w:ascii="Times New Roman" w:cs="Times New Roman" w:eastAsia="Times New Roman" w:hAnsi="Times New Roman"/>
          <w:sz w:val="18"/>
          <w:szCs w:val="18"/>
          <w:color w:val="auto"/>
        </w:rPr>
        <w:t>The balances of contract assets and contract liabilities arising from contracts with customers as of June 30, 2025 and December 31, 2024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575</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119</w:t>
            </w:r>
          </w:p>
        </w:tc>
      </w:tr>
    </w:tbl>
    <w:p>
      <w:pPr>
        <w:spacing w:after="0" w:line="71" w:lineRule="exact"/>
        <w:rPr>
          <w:sz w:val="20"/>
          <w:szCs w:val="20"/>
          <w:color w:val="auto"/>
        </w:rPr>
      </w:pPr>
    </w:p>
    <w:p>
      <w:pPr>
        <w:ind w:right="200" w:firstLine="494"/>
        <w:spacing w:after="0" w:line="266" w:lineRule="auto"/>
        <w:rPr>
          <w:sz w:val="20"/>
          <w:szCs w:val="20"/>
          <w:color w:val="auto"/>
        </w:rPr>
      </w:pPr>
      <w:r>
        <w:rPr>
          <w:rFonts w:ascii="Times New Roman" w:cs="Times New Roman" w:eastAsia="Times New Roman" w:hAnsi="Times New Roman"/>
          <w:sz w:val="18"/>
          <w:szCs w:val="18"/>
          <w:color w:val="auto"/>
        </w:rPr>
        <w:t>Unbilled receivables (contract assets) arise when the Company recognizes revenue for amounts which have not yet been billed in the Company's systems and are reflected in commissions, fees and other receivables in the Company's Condensed Consolidated Balance Sheets. The increase in contract assets over the balance as of December 31, 2024 is due to normal seasonality, growth in the business and from businesses acquired in the current year.</w:t>
      </w:r>
    </w:p>
    <w:p>
      <w:pPr>
        <w:spacing w:after="0" w:line="68"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twelve months and in other liabilities for those to be recognized more than twelve months from the date presented in the Company's Condensed Consolidated Balance Sheets.</w:t>
      </w:r>
    </w:p>
    <w:p>
      <w:pPr>
        <w:spacing w:after="0" w:line="72" w:lineRule="exact"/>
        <w:rPr>
          <w:sz w:val="20"/>
          <w:szCs w:val="20"/>
          <w:color w:val="auto"/>
        </w:rPr>
      </w:pPr>
    </w:p>
    <w:p>
      <w:pPr>
        <w:jc w:val="both"/>
        <w:ind w:right="320" w:firstLine="494"/>
        <w:spacing w:after="0" w:line="266" w:lineRule="auto"/>
        <w:rPr>
          <w:sz w:val="20"/>
          <w:szCs w:val="20"/>
          <w:color w:val="auto"/>
        </w:rPr>
      </w:pPr>
      <w:r>
        <w:rPr>
          <w:rFonts w:ascii="Times New Roman" w:cs="Times New Roman" w:eastAsia="Times New Roman" w:hAnsi="Times New Roman"/>
          <w:sz w:val="18"/>
          <w:szCs w:val="18"/>
          <w:color w:val="auto"/>
        </w:rPr>
        <w:t>As of June 30, 2025, deferred revenue totaled $115 million and consisted of $75 million and $40 million classified as short term and long term, respectively. As of December 31, 2024, deferred revenue totaled $119 million and consisted of $80 million and $39 million classified as short term and long term, respectively.</w:t>
      </w:r>
    </w:p>
    <w:p>
      <w:pPr>
        <w:spacing w:after="0" w:line="68" w:lineRule="exact"/>
        <w:rPr>
          <w:sz w:val="20"/>
          <w:szCs w:val="20"/>
          <w:color w:val="auto"/>
        </w:rPr>
      </w:pPr>
    </w:p>
    <w:p>
      <w:pPr>
        <w:ind w:right="280" w:firstLine="49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and 2024, the net amount of revenue recognized related to performance obligations satisfied in a previous period was $22 million and $21 million, consisting of additional variable consideration received on our incentive and profit-sharing contingent commissions.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Other Assets and Deferred Cost</w:t>
      </w:r>
    </w:p>
    <w:p>
      <w:pPr>
        <w:spacing w:after="0" w:line="121"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Incremental cost to obtain - The Company defers certain costs to obtain customer contracts primarily as they relate to commission-based compensation plans in the Retail segment, in which the Company pays an incremental amount of compensation on new business. These incremental costs are deferred and amortized over a 15-year period. The cost to obtain balance within the other assets caption in the Company's Condensed Consolidated Balance Sheets was $130 million and $119 million as of June 30, 2025 and December 31, 2024, respectively. For the six months ended June 30, 2025, the Company deferred $16 million of incremental cost to obtain customer contracts. The Company recorded an expense of $5 million associated with the incremental cost to obtain customer contracts for the six months ended June 30, 2025.</w:t>
      </w:r>
    </w:p>
    <w:p>
      <w:pPr>
        <w:spacing w:after="0" w:line="79"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Cost to fulfill - The Company defers certain costs to fulfill contracts and recognizes these costs as the associated performance obligations are fulfilled. The cost to fulfill balance within the other current assets caption in the Company's Condensed Consolidated Balance Sheets was $126 million and $145 million as of June 30, 2025 and December 31, 2024, respectively. For the six months ended June 30, 2025, the Company had net expense of $23 million related to the release of previously deferred contract fulfillment costs associated with performance obligations that were satisfied in the period, net of current year deferrals for costs incurred that related to performance obligations yet to be fulfilled.</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p>
      <w:pPr>
        <w:spacing w:after="0" w:line="121" w:lineRule="exact"/>
        <w:rPr>
          <w:sz w:val="20"/>
          <w:szCs w:val="20"/>
          <w:color w:val="auto"/>
        </w:rPr>
      </w:pPr>
    </w:p>
    <w:p>
      <w:pPr>
        <w:ind w:right="120" w:firstLine="499"/>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 The following is a reconciliation between basic and diluted weighted average shares outstanding: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6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257</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563</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unvested awarded performance stock</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6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228</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254</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197"/>
        </w:trPr>
        <w:tc>
          <w:tcPr>
            <w:tcW w:w="5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4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295</w:t>
            </w: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291</w:t>
            </w: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98"/>
        </w:trPr>
        <w:tc>
          <w:tcPr>
            <w:tcW w:w="538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unvested awarded performance stock included in weighted</w:t>
            </w: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53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average number of common shares outstanding – basic</w:t>
            </w: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 shares outstanding for basic</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potentially issuable common shares</w:t>
            </w:r>
          </w:p>
        </w:tc>
        <w:tc>
          <w:tcPr>
            <w:tcW w:w="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0.79</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0.90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0.78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3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-1482725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-1464945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-1482725</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-1464945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-1482725</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-1464945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-1054100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-1054100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-1054100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-633730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-633730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-633730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Business Combinations</w:t>
      </w:r>
    </w:p>
    <w:p>
      <w:pPr>
        <w:spacing w:after="0" w:line="121"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Brown &amp; Brown acquired all of the stock of nine insurance intermediaries, purchased assets and assumed certain liabilities of 13 insurance intermediaries, and purchased seven books of business (customer accounts) for a total of 29 acquisitions. Additionally, adjustments were recorded to the purchase price allocation of certain prior acquisitions completed within the last twelve months as permitted by Accounting Standards Codification (“ASC”) Topic 805 — Business Combinations (“ASC 805”).</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June 10, 2025, the Company entered into an Agreement and Plan of Merger (the “Merger Agreement”), by and among RSC,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Encore Merger Sub, Inc., a Delaware corporation and wholly owned subsidiary of the Company (“Merger Sub”) and Kelso RSC (Investor), L.P.,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partnership, solely in its capacity as the equityholder representative, pursuant to which the Company will acquire RSC, the 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Accession Risk Management Group, Inc., a North American insurance distribution platform with a family of specialty insurance and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companies, including Risk Strategies, a dynamic specialty brokerage firm, and One80 Intermediaries, a leading insurance wholesaler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manager. The transaction is expected to close in the third quarter of 2025, subject to customary closing conditions and regulatory approvals.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is $9,825 million, payable at closing, subject to certain customary post-closing adjustments. After adjustments, the net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payable at closing is expected to be approximately $9,400 million, composed of approximately $8,100 million in cash and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million in shares of the Company’s common stock, par value $0.10 per share. A portion of the merger consideration will be held in escrow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certain indemnification arrangements. We expect to fund the acquisition using cash raised from our June 2025 follow-on common stock offering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notes issuance.</w:t>
      </w:r>
    </w:p>
    <w:p>
      <w:pPr>
        <w:spacing w:after="0" w:line="139"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The recorded purchase price for all acquisitions includes an estimation of the fair value of liabilities associated with any potential earn-out provisions. Subsequent changes in the fair value of earn-out obligations are recorded in the Condensed Consolidated Statements of Income when incurred. The fair value of earn-out obligations is based on the present value of the expected future payments to be made to the sellers of the acquired businesses in accordance with the provisions outlined in the respective purchase agreements.</w:t>
      </w:r>
    </w:p>
    <w:p>
      <w:pPr>
        <w:spacing w:after="0" w:line="72"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Based on the acquisition date and the complexity of the underlying valuation work, certain amounts included in the Company’s Condensed Consolidated Financial Statements may be provisional and thus subject to further adjustments within the permitted measurement period, as defined in ASC 805.</w:t>
      </w:r>
    </w:p>
    <w:p>
      <w:pPr>
        <w:spacing w:after="0" w:line="68"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adjustments were made within the permitted measurement period, which increased total net assets acquired by $5 million and decreased goodwill by $5 million. These measurement-period adjustments have been reflected as current period adjustments in the six months ended June 30, 2025 in accordance with the guidance in ASC 805. The measurement-period adjustments had no effect on earnings or cash in the current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ind w:right="40"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the aggregate assets and liabilities acquired through the six months ended June 30, 2025 as of the date of each acquisition and adjustments made during the measurement period of the prior year acquisitions.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NBS Insurance</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Tim Parkman, Inc.</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6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Business Segment</w:t>
            </w: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Various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Effective date of acquisition</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160" w:type="dxa"/>
            <w:vAlign w:val="bottom"/>
          </w:tcPr>
          <w:p>
            <w:pPr>
              <w:spacing w:after="0"/>
              <w:rPr>
                <w:sz w:val="15"/>
                <w:szCs w:val="15"/>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May 1, 2025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Various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Recorded earn-out payable</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consideration</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Maximum potential earn-out payable</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equivalents</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Fiduciary cash</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Fiduciary receivables</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Purchased customer accounts and other intangibles </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Fiduciary liabilities</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-2296795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-2296795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-2296795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-2005330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-1988185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-2005330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-1988185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-2005330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-1988185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-882015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-882015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-882015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-316230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-316230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-316230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60" w:right="520" w:hanging="2"/>
        <w:spacing w:after="0" w:line="282" w:lineRule="auto"/>
        <w:tabs>
          <w:tab w:leader="none" w:pos="5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column represents a summarization of current year acquisitions with total consideration of less than $50 million per acquisition and adjustments from prior year acquisitions that were made within the permitted measurement period.</w:t>
      </w:r>
    </w:p>
    <w:p>
      <w:pPr>
        <w:spacing w:after="0" w:line="53" w:lineRule="exact"/>
        <w:rPr>
          <w:rFonts w:ascii="Times New Roman" w:cs="Times New Roman" w:eastAsia="Times New Roman" w:hAnsi="Times New Roman"/>
          <w:sz w:val="18"/>
          <w:szCs w:val="18"/>
          <w:color w:val="auto"/>
        </w:rPr>
      </w:pPr>
    </w:p>
    <w:p>
      <w:pPr>
        <w:ind w:left="520" w:hanging="36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useful life of purchased customer accounts is 15 years.</w:t>
      </w:r>
    </w:p>
    <w:p>
      <w:pPr>
        <w:spacing w:after="0" w:line="117"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For the acquisitions completed during 2025, the results of operations since the acquisition dates have been combined with those of the Company. The total revenues and income before income taxes from acquisitions completed through June 30, 2025 included in the Condensed Consolidated Statement of Income for the six months ended June 30, 2025 were $18 million and $3 million, respectively.</w:t>
      </w:r>
    </w:p>
    <w:p>
      <w:pPr>
        <w:spacing w:after="0" w:line="68" w:lineRule="exact"/>
        <w:rPr>
          <w:sz w:val="20"/>
          <w:szCs w:val="20"/>
          <w:color w:val="auto"/>
        </w:rPr>
      </w:pPr>
    </w:p>
    <w:p>
      <w:pPr>
        <w:ind w:left="20" w:right="20" w:firstLine="494"/>
        <w:spacing w:after="0" w:line="266" w:lineRule="auto"/>
        <w:rPr>
          <w:sz w:val="20"/>
          <w:szCs w:val="20"/>
          <w:color w:val="auto"/>
        </w:rPr>
      </w:pPr>
      <w:r>
        <w:rPr>
          <w:rFonts w:ascii="Times New Roman" w:cs="Times New Roman" w:eastAsia="Times New Roman" w:hAnsi="Times New Roman"/>
          <w:sz w:val="18"/>
          <w:szCs w:val="18"/>
          <w:color w:val="auto"/>
        </w:rPr>
        <w:t>If the Company's 2025 acquisitions had occurred as of the beginning of 2024, the estimated results of operations would be as shown in the following table. These unaudited pro forma results are not necessarily indicative of the actual results of operations that would have occurred had the acquisitions actually been made at the beginning of the respective periods.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68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top w:val="single" w:sz="8" w:color="auto"/>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8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9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920" w:type="dxa"/>
            <w:vAlign w:val="bottom"/>
            <w:gridSpan w:val="2"/>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6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920" w:type="dxa"/>
            <w:vAlign w:val="bottom"/>
            <w:gridSpan w:val="2"/>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9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18"/>
                <w:szCs w:val="18"/>
                <w:color w:val="auto"/>
              </w:rPr>
            </w:pPr>
          </w:p>
        </w:tc>
      </w:tr>
      <w:tr>
        <w:trPr>
          <w:trHeight w:val="648"/>
        </w:trPr>
        <w:tc>
          <w:tcPr>
            <w:tcW w:w="3800" w:type="dxa"/>
            <w:vAlign w:val="bottom"/>
          </w:tcPr>
          <w:p>
            <w:pPr>
              <w:spacing w:after="0"/>
              <w:rPr>
                <w:sz w:val="24"/>
                <w:szCs w:val="24"/>
                <w:color w:val="auto"/>
              </w:rPr>
            </w:pPr>
          </w:p>
        </w:tc>
        <w:tc>
          <w:tcPr>
            <w:tcW w:w="26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-1717675</wp:posOffset>
            </wp:positionV>
            <wp:extent cx="93980" cy="1365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-1717675</wp:posOffset>
            </wp:positionV>
            <wp:extent cx="93980" cy="1365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Acquisition Earn-Out Payables</w:t>
      </w:r>
    </w:p>
    <w:p>
      <w:pPr>
        <w:spacing w:after="0" w:line="121"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2025 and 2024, the fair values of the estimated acquisition earn-out payables were re-evaluated and measured at fair value on a recurring basis using unobservable inputs (Level 3) as defined in ASC 820 -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resulting additions, payments, and net changes, as well as the interest expense accretion on the estimated acquisition earn-out payables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estimated acquisition earn-out payables</w:t>
            </w:r>
          </w:p>
        </w:tc>
        <w:tc>
          <w:tcPr>
            <w:tcW w:w="22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for estimated acquisition earn-out payables</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on estimated acquisition earn-out payables</w:t>
            </w:r>
          </w:p>
        </w:tc>
        <w:tc>
          <w:tcPr>
            <w:tcW w:w="22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accretion</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 during the year</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-1019810</wp:posOffset>
            </wp:positionV>
            <wp:extent cx="1028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-1019810</wp:posOffset>
            </wp:positionV>
            <wp:extent cx="946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-1019810</wp:posOffset>
            </wp:positionV>
            <wp:extent cx="939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-462280</wp:posOffset>
            </wp:positionV>
            <wp:extent cx="1028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-462280</wp:posOffset>
            </wp:positionV>
            <wp:extent cx="946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-462280</wp:posOffset>
            </wp:positionV>
            <wp:extent cx="939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946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93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ind w:right="160" w:firstLine="494"/>
        <w:spacing w:after="0" w:line="261" w:lineRule="auto"/>
        <w:rPr>
          <w:sz w:val="20"/>
          <w:szCs w:val="20"/>
          <w:color w:val="auto"/>
        </w:rPr>
      </w:pPr>
      <w:r>
        <w:rPr>
          <w:rFonts w:ascii="Times New Roman" w:cs="Times New Roman" w:eastAsia="Times New Roman" w:hAnsi="Times New Roman"/>
          <w:sz w:val="18"/>
          <w:szCs w:val="18"/>
          <w:color w:val="auto"/>
        </w:rPr>
        <w:t>Of the $151 million of estimated acquisition earn-out payables as of June 30, 2025, $63 million was recorded as accounts payable and $88 million was recorded as other non-current liabilities. As of June 30, 2025, the maximum future acquisition contingency payments was $429 million. Four of the estimated acquisition earn-out payables include provisions with no maximum potential earn-out amount. The amount recorded for these acquisitions as of June 30, 2025 is $1 million. The Company believes a significant increase to this amount to be unlikely.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six months ended June 30, 2025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5,436</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1,884</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7,970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Goodwill of acquired businesses</w:t>
            </w:r>
          </w:p>
        </w:tc>
        <w:tc>
          <w:tcPr>
            <w:tcW w:w="28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52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Goodwill adjustments during measurement period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Goodwill disposed of relating to sales of businesses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 during the year</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268</w:t>
            </w: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5,665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8,365</w:t>
            </w:r>
          </w:p>
        </w:tc>
      </w:tr>
      <w:tr>
        <w:trPr>
          <w:trHeight w:val="20"/>
        </w:trPr>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-170815</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946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70" w:lineRule="exact"/>
        <w:rPr>
          <w:sz w:val="20"/>
          <w:szCs w:val="20"/>
          <w:color w:val="auto"/>
        </w:rPr>
      </w:pPr>
    </w:p>
    <w:p>
      <w:pPr>
        <w:ind w:left="380" w:right="180" w:hanging="372"/>
        <w:spacing w:after="0" w:line="28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Provisional estimates of fair value of acquired assets and liabilities are established at the time of each acquisition and are subsequently reviewed and finalized within the first year of operations subsequent to the acquisition date to determine the necessity for adjustments to goodwill.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Amortizable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40" w:type="dxa"/>
            <w:vAlign w:val="bottom"/>
          </w:tcPr>
          <w:p>
            <w:pPr>
              <w:spacing w:after="0"/>
              <w:rPr>
                <w:sz w:val="17"/>
                <w:szCs w:val="17"/>
                <w:color w:val="auto"/>
              </w:rPr>
            </w:pPr>
          </w:p>
        </w:tc>
        <w:tc>
          <w:tcPr>
            <w:tcW w:w="1120" w:type="dxa"/>
            <w:vAlign w:val="bottom"/>
            <w:gridSpan w:val="2"/>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17"/>
                <w:szCs w:val="17"/>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98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8"/>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8"/>
                <w:szCs w:val="18"/>
                <w:color w:val="auto"/>
              </w:rPr>
            </w:pPr>
          </w:p>
        </w:tc>
        <w:tc>
          <w:tcPr>
            <w:tcW w:w="110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customer accounts and other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3,544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1,768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3,557</w:t>
            </w:r>
          </w:p>
        </w:tc>
        <w:tc>
          <w:tcPr>
            <w:tcW w:w="4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adjustments during</w:t>
            </w:r>
          </w:p>
        </w:tc>
        <w:tc>
          <w:tcPr>
            <w:tcW w:w="140" w:type="dxa"/>
            <w:vAlign w:val="bottom"/>
          </w:tcPr>
          <w:p>
            <w:pPr>
              <w:spacing w:after="0"/>
              <w:rPr>
                <w:sz w:val="17"/>
                <w:szCs w:val="17"/>
                <w:color w:val="auto"/>
              </w:rPr>
            </w:pP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1"/>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year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3,656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1,866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3,529</w:t>
            </w:r>
          </w:p>
        </w:tc>
        <w:tc>
          <w:tcPr>
            <w:tcW w:w="4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-24765</wp:posOffset>
            </wp:positionV>
            <wp:extent cx="946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946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946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946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946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946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946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946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93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939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ind w:right="360" w:firstLine="499"/>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for the years ending December 31, 2025, 2026, 2027, 2028 and 2029 is estimated to be $194 million, $189 million, $177 million, $171 million, and $154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14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5-year term loan facility expires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3-year term loan facility expires 2025</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5-year term loan facility expires 2027</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portion of long-term debt</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9"/>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 agreements:</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4.600% senior notes, semi-annual interest payments, balloon due 2026</w:t>
            </w: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4.700% senior notes, semi-annual interest payments, balloon due 2028</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4.500% senior notes, semi-annual interest payments, balloon due 2029</w:t>
            </w: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4.900% senior notes, semi-annual interest payments, balloon due 2030</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2.375% senior notes, semi-annual interest payments, balloon due 2031</w:t>
            </w: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4.200% senior notes, semi-annual interest payments, balloon due 2032</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5.250% senior notes, semi-annual interest payments, balloon due 2032</w:t>
            </w: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5.650% senior notes, semi-annual interest payments, balloon due 2034</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5.550% senior notes, semi-annual interest payments, balloon due 2035</w:t>
            </w: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4.950% senior notes, semi-annual interest payments, balloon due 2052</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6.250% senior notes, semi-annual interest payments, balloon due 2055</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notes</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7,050</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09"/>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5-year term loan facility, periodic interest and principal payments, SOFR plus up to</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1.750%, expires October 27, 2026</w:t>
            </w: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98"/>
        </w:trPr>
        <w:tc>
          <w:tcPr>
            <w:tcW w:w="8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5-year revolving loan facility, periodic interest payments, SOFR plus up to 1.525%, plus commitment fees up</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0.225%, expires October 27, 2026</w:t>
            </w:r>
          </w:p>
        </w:tc>
        <w:tc>
          <w:tcPr>
            <w:tcW w:w="1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8"/>
        </w:trPr>
        <w:tc>
          <w:tcPr>
            <w:tcW w:w="82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5-year term loan facility, periodic interest and principal payments, SOFR plus up to 1.750%, expires March</w:t>
            </w:r>
          </w:p>
        </w:tc>
        <w:tc>
          <w:tcPr>
            <w:tcW w:w="16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31, 2027</w:t>
            </w: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credit agreements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0"/>
        </w:trPr>
        <w:tc>
          <w:tcPr>
            <w:tcW w:w="82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Unamortized portion of debt discounts related to note agreements (contra)</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Debt issuance costs (contra)</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82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long-term debt, less unamortized discount and debt issuance costs</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7,470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16"/>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82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7,545</w:t>
            </w:r>
          </w:p>
        </w:tc>
        <w:tc>
          <w:tcPr>
            <w:tcW w:w="68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0"/>
        </w:trPr>
        <w:tc>
          <w:tcPr>
            <w:tcW w:w="8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-1842135</wp:posOffset>
            </wp:positionV>
            <wp:extent cx="1200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-882015</wp:posOffset>
            </wp:positionV>
            <wp:extent cx="1200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1200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120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6" w:lineRule="exact"/>
        <w:rPr>
          <w:sz w:val="20"/>
          <w:szCs w:val="20"/>
          <w:color w:val="auto"/>
        </w:rPr>
      </w:pPr>
    </w:p>
    <w:p>
      <w:pPr>
        <w:ind w:right="40" w:firstLine="49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Note agreements: </w:t>
      </w:r>
      <w:r>
        <w:rPr>
          <w:rFonts w:ascii="Times New Roman" w:cs="Times New Roman" w:eastAsia="Times New Roman" w:hAnsi="Times New Roman"/>
          <w:sz w:val="18"/>
          <w:szCs w:val="18"/>
          <w:color w:val="auto"/>
        </w:rPr>
        <w:t>On June 11, 2025, the Company entered into an Underwriting Agreement (the “Notes Underwriting Agreement”) with BofA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Inc. and J.P. Morgan Securities LLC, as representatives of the several underwriters named therein (collectively, the “Notes Underwriters”), with respect to the offer and sale by the Company of $400 million principal amount of its 4.600% Senior Notes due 2026 (the “2026 Notes”), $500 million principal amount of its 4.700% Senior Notes due 2028 (the “2028 Notes”), $800 million principal amount of its 4.900% Senior Notes due 2030 (the “2030 Notes”), $500 million principal amount of its 5.250% Senior Notes due 2032 (the “2032 Notes”), $1,000 million principal amount of its 5.550% Senior Notes due 2035 (the “2035 Notes”) and $1,000 million principal amount of its 6.250% Senior Notes due 2055 (the “2055 Notes” and, together with the 2026 Notes, the 2028 Notes, the 2030 Notes, the 2032 Notes, and the 2035 Notes, the “Notes”). The Notes Underwriting Agreement contains customary representations, warranties and covenants of the Company, conditions to closing, termination provisions and other terms and conditions customary in agreements of this type. The Notes Underwriting Agreement also contains customary indemnification and contribution rights and obligations of the Company and the Notes Underwriters. The Company intends to use the net proceeds of the offering of the Notes, together with the proceeds from the offering of shares of common stock and cash on hand, to fund the cash consideration payable under the Merger Agreement, and to pay fees and expenses associated with the foregoing. If the acquisition of Accession is not consummated, each of the notes described above has a special mandatory redemption feature and would require repayment except for the 2035 Notes, for which the Company intends to use the proceeds for general corporate purposes. As of June 30, 2025, the aggregate outstanding balance of these notes was $4,200 million exclusive of the associated discount balance.</w:t>
      </w:r>
    </w:p>
    <w:p>
      <w:pPr>
        <w:spacing w:after="0" w:line="81"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The Company maintains notes from other issuances aggregating to a total outstanding debt balance of $2,850 million exclusive of the associated discount balance as of June 30, 2025 and December 31, 2024.</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Credit agreements: </w:t>
      </w:r>
      <w:r>
        <w:rPr>
          <w:rFonts w:ascii="Times New Roman" w:cs="Times New Roman" w:eastAsia="Times New Roman" w:hAnsi="Times New Roman"/>
          <w:sz w:val="18"/>
          <w:szCs w:val="18"/>
          <w:color w:val="auto"/>
        </w:rPr>
        <w:t>On March 31, 2025, the Company repaid the outstanding balance on the 3-year term loan facility of $150 million.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The Company has credit agreements that include term loans and a Revolving Credit Facility of $800 million, all having similar terms and covenants. The outstanding balance on the term loans was $569 million and $756 million as of June 30, 2025 and December 31, 2024, respectively. There were no outstanding balances on the Revolving Credit Facility as of June 30, 2025 and $250 million outstanding as of December 31, 2024.</w:t>
      </w:r>
    </w:p>
    <w:p>
      <w:pPr>
        <w:spacing w:after="0" w:line="68"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The Company is required to maintain certain financial ratios and comply with certain other covenants. The Company was in compliance with all such covenants as of June 30, 2025 and December 31, 2024.</w:t>
      </w:r>
    </w:p>
    <w:p>
      <w:pPr>
        <w:spacing w:after="0" w:line="54"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At June 30, 2025, the 1-month Term SOFR Rate for the term loan due October 2026 and the term loan due March 2027 was 4.427%. These SOFR rates are inclusive of a 0.100% credit-spread adjustment per the terms of the relevant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liabilities that are not measured at fair value on a recurring basis: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80" w:type="dxa"/>
            <w:vAlign w:val="bottom"/>
            <w:gridSpan w:val="2"/>
            <w:shd w:val="clear" w:color="auto" w:fill="CFF0FC"/>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6,961</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right="100" w:firstLine="494"/>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are considered Level 2 financial instruments, as their values are measured by using observable inputs, other than quoted prices in active markets.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operating lease right-of-use assets and operating lease liabilities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 although not necessarily for the same amount of space.</w:t>
      </w:r>
    </w:p>
    <w:p>
      <w:pPr>
        <w:spacing w:after="0" w:line="72" w:lineRule="exact"/>
        <w:rPr>
          <w:sz w:val="20"/>
          <w:szCs w:val="20"/>
          <w:color w:val="auto"/>
        </w:rPr>
      </w:pPr>
    </w:p>
    <w:p>
      <w:pPr>
        <w:ind w:right="440" w:firstLine="494"/>
        <w:spacing w:after="0" w:line="282" w:lineRule="auto"/>
        <w:rPr>
          <w:sz w:val="20"/>
          <w:szCs w:val="20"/>
          <w:color w:val="auto"/>
        </w:rPr>
      </w:pPr>
      <w:r>
        <w:rPr>
          <w:rFonts w:ascii="Times New Roman" w:cs="Times New Roman" w:eastAsia="Times New Roman" w:hAnsi="Times New Roman"/>
          <w:sz w:val="18"/>
          <w:szCs w:val="18"/>
          <w:color w:val="auto"/>
        </w:rPr>
        <w:t>The balances and classification of operating lease right-of-use assets and operating lease liabilities within the Condensed Consolidated Balance Sheets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9"/>
        </w:trPr>
        <w:tc>
          <w:tcPr>
            <w:tcW w:w="408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4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198</w:t>
            </w:r>
          </w:p>
        </w:tc>
        <w:tc>
          <w:tcPr>
            <w:tcW w:w="68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09"/>
        </w:trPr>
        <w:tc>
          <w:tcPr>
            <w:tcW w:w="4080" w:type="dxa"/>
            <w:vAlign w:val="bottom"/>
            <w:tcBorders>
              <w:top w:val="single" w:sz="8" w:color="CFF0FC"/>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4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169"/>
        </w:trPr>
        <w:tc>
          <w:tcPr>
            <w:tcW w:w="408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Liabilities:</w:t>
            </w:r>
          </w:p>
        </w:tc>
        <w:tc>
          <w:tcPr>
            <w:tcW w:w="4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r>
      <w:tr>
        <w:trPr>
          <w:trHeight w:val="20"/>
        </w:trPr>
        <w:tc>
          <w:tcPr>
            <w:tcW w:w="5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3300" w:type="dxa"/>
            <w:vAlign w:val="bottom"/>
            <w:tcBorders>
              <w:top w:val="single" w:sz="8" w:color="CFF0FC"/>
            </w:tcBorders>
            <w:shd w:val="clear" w:color="auto" w:fill="CFF0FC"/>
          </w:tcPr>
          <w:p>
            <w:pPr>
              <w:spacing w:after="0" w:line="20" w:lineRule="exact"/>
              <w:rPr>
                <w:sz w:val="1"/>
                <w:szCs w:val="1"/>
                <w:color w:val="auto"/>
              </w:rPr>
            </w:pPr>
          </w:p>
        </w:tc>
        <w:tc>
          <w:tcPr>
            <w:tcW w:w="4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0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240" w:type="dxa"/>
            <w:vAlign w:val="bottom"/>
            <w:tcBorders>
              <w:bottom w:val="single" w:sz="8" w:color="CFF0FC"/>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10"/>
        </w:trPr>
        <w:tc>
          <w:tcPr>
            <w:tcW w:w="4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4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232</w:t>
            </w:r>
          </w:p>
        </w:tc>
        <w:tc>
          <w:tcPr>
            <w:tcW w:w="68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-736600</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939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for operating leases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60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Operating leases:</w:t>
            </w: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 cost</w:t>
            </w:r>
          </w:p>
        </w:tc>
        <w:tc>
          <w:tcPr>
            <w:tcW w:w="2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2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2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lease cost net</w:t>
            </w:r>
          </w:p>
        </w:tc>
        <w:tc>
          <w:tcPr>
            <w:tcW w:w="2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260" w:type="dxa"/>
            <w:vAlign w:val="bottom"/>
            <w:tcBorders>
              <w:top w:val="single" w:sz="8" w:color="CFF0FC"/>
            </w:tcBorders>
          </w:tcPr>
          <w:p>
            <w:pPr>
              <w:spacing w:after="0"/>
              <w:rPr>
                <w:sz w:val="24"/>
                <w:szCs w:val="24"/>
                <w:color w:val="auto"/>
              </w:rPr>
            </w:pPr>
          </w:p>
        </w:tc>
        <w:tc>
          <w:tcPr>
            <w:tcW w:w="2340" w:type="dxa"/>
            <w:vAlign w:val="bottom"/>
            <w:tcBorders>
              <w:top w:val="single" w:sz="8" w:color="CFF0FC"/>
            </w:tcBorders>
          </w:tcPr>
          <w:p>
            <w:pPr>
              <w:spacing w:after="0"/>
              <w:rPr>
                <w:sz w:val="24"/>
                <w:szCs w:val="24"/>
                <w:color w:val="auto"/>
              </w:rPr>
            </w:pPr>
          </w:p>
        </w:tc>
        <w:tc>
          <w:tcPr>
            <w:tcW w:w="2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-1362075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-1362075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-1362075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-933450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-916305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-933450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-916305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-933450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-916305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50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operating leases as of June 30, 2025 were: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4.00%</w:t>
            </w:r>
          </w:p>
        </w:tc>
        <w:tc>
          <w:tcPr>
            <w:tcW w:w="0" w:type="dxa"/>
            <w:vAlign w:val="bottom"/>
          </w:tcPr>
          <w:p>
            <w:pPr>
              <w:spacing w:after="0"/>
              <w:rPr>
                <w:sz w:val="1"/>
                <w:szCs w:val="1"/>
                <w:color w:val="auto"/>
              </w:rPr>
            </w:pPr>
          </w:p>
        </w:tc>
      </w:tr>
      <w:tr>
        <w:trPr>
          <w:trHeight w:val="306"/>
        </w:trPr>
        <w:tc>
          <w:tcPr>
            <w:tcW w:w="9940" w:type="dxa"/>
            <w:vAlign w:val="bottom"/>
            <w:gridSpan w:val="11"/>
          </w:tcPr>
          <w:p>
            <w:pPr>
              <w:ind w:left="500"/>
              <w:spacing w:after="0"/>
              <w:rPr>
                <w:sz w:val="20"/>
                <w:szCs w:val="20"/>
                <w:color w:val="auto"/>
              </w:rPr>
            </w:pPr>
            <w:r>
              <w:rPr>
                <w:rFonts w:ascii="Times New Roman" w:cs="Times New Roman" w:eastAsia="Times New Roman" w:hAnsi="Times New Roman"/>
                <w:sz w:val="18"/>
                <w:szCs w:val="18"/>
                <w:color w:val="auto"/>
              </w:rPr>
              <w:t>Maturities of the operating lease liabilities by fiscal year at June 30, 2025 for the Company's operating leases are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6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305"/>
        </w:trPr>
        <w:tc>
          <w:tcPr>
            <w:tcW w:w="5640" w:type="dxa"/>
            <w:vAlign w:val="bottom"/>
            <w:tcBorders>
              <w:top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for operating leases is as follows:</w:t>
            </w: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liabilities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liabilities</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Disclosures of Cash Flow Information and Non-Cash Financing and Investing Activities</w:t>
      </w:r>
    </w:p>
    <w:p>
      <w:pPr>
        <w:spacing w:after="0" w:line="121" w:lineRule="exact"/>
        <w:rPr>
          <w:sz w:val="20"/>
          <w:szCs w:val="20"/>
          <w:color w:val="auto"/>
        </w:rPr>
      </w:pPr>
    </w:p>
    <w:p>
      <w:pPr>
        <w:jc w:val="both"/>
        <w:ind w:right="280" w:firstLine="7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had an impact of $85 million from foreign exchange rate changes on cash and cash equivalents inclusive of fiduciary cash reported on its Condensed Consolidated Statements of Cash Flows due to the change in currency exchange rates.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paid during the period for interest and income taxes are summarized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96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112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2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1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2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280" w:type="dxa"/>
            <w:vAlign w:val="bottom"/>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00" w:firstLine="494"/>
        <w:spacing w:after="0" w:line="282" w:lineRule="auto"/>
        <w:rPr>
          <w:sz w:val="20"/>
          <w:szCs w:val="20"/>
          <w:color w:val="auto"/>
        </w:rPr>
      </w:pPr>
      <w:r>
        <w:rPr>
          <w:rFonts w:ascii="Times New Roman" w:cs="Times New Roman" w:eastAsia="Times New Roman" w:hAnsi="Times New Roman"/>
          <w:sz w:val="18"/>
          <w:szCs w:val="18"/>
          <w:color w:val="auto"/>
        </w:rPr>
        <w:t>During 2024, the Company accrued for and deferred approximately $90 million related to certain federal income tax payments due to Hurricanes Debby and Milton tax relief. These deferrals of income tax payments were paid by the deadline of May 1, 2025.</w:t>
      </w:r>
    </w:p>
    <w:p>
      <w:pPr>
        <w:spacing w:after="0" w:line="54" w:lineRule="exact"/>
        <w:rPr>
          <w:sz w:val="20"/>
          <w:szCs w:val="20"/>
          <w:color w:val="auto"/>
        </w:rPr>
      </w:pPr>
    </w:p>
    <w:p>
      <w:pPr>
        <w:ind w:right="200" w:firstLine="49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paid $91 million related to certain federal income tax payments that were deferred from 2023 due to Hurricane Idalia tax relief and paid approximately $30 million of tax payments associated with the gain on disposal of certain third-party claims administration and adjusting services businesses sold in the fourth quarter of 2023.</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non-cash investing and financing activities are summarized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7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payables issued for agency acquisitions and purchased customer accounts</w:t>
            </w: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Estimated acquisition earn-out payables issued for agency acquisitions</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630"/>
        </w:trPr>
        <w:tc>
          <w:tcPr>
            <w:tcW w:w="676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9" w:name="page20"/>
    <w:bookmarkEnd w:id="19"/>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The Company's restricted cash balance is composed of funds held in separate premium trust accounts as required by state law or, in some cases, by agreement with carrier partners. The following is a reconciliation of cash and cash equivalents inclusive of restricted cash as of June 30, 2025 and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Table to reconcile restricted and non-restricted fiduciary cash</w:t>
            </w:r>
          </w:p>
        </w:tc>
        <w:tc>
          <w:tcPr>
            <w:tcW w:w="7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fiduciary cash</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Non-restricted fiduciary cash</w:t>
            </w:r>
          </w:p>
        </w:tc>
        <w:tc>
          <w:tcPr>
            <w:tcW w:w="7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restricted and non-restricted fiduciary cash at the end of the period</w:t>
            </w:r>
          </w:p>
        </w:tc>
        <w:tc>
          <w:tcPr>
            <w:tcW w:w="7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as of June 30,</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40" w:type="dxa"/>
            <w:vAlign w:val="bottom"/>
            <w:vMerge w:val="continue"/>
          </w:tcPr>
          <w:p>
            <w:pPr>
              <w:spacing w:after="0"/>
              <w:rPr>
                <w:sz w:val="12"/>
                <w:szCs w:val="12"/>
                <w:color w:val="auto"/>
              </w:rPr>
            </w:pPr>
          </w:p>
        </w:tc>
        <w:tc>
          <w:tcPr>
            <w:tcW w:w="880" w:type="dxa"/>
            <w:vAlign w:val="bottom"/>
            <w:gridSpan w:val="2"/>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Table to reconcile cash and cash equivalents inclusive of fiduciary cash</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gridSpan w:val="3"/>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8,893</w:t>
            </w:r>
          </w:p>
        </w:tc>
        <w:tc>
          <w:tcPr>
            <w:tcW w:w="80" w:type="dxa"/>
            <w:vAlign w:val="bottom"/>
          </w:tcPr>
          <w:p>
            <w:pPr>
              <w:spacing w:after="0"/>
              <w:rPr>
                <w:sz w:val="18"/>
                <w:szCs w:val="18"/>
                <w:color w:val="auto"/>
              </w:rPr>
            </w:pPr>
          </w:p>
        </w:tc>
        <w:tc>
          <w:tcPr>
            <w:tcW w:w="6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Fiduciary cash</w:t>
            </w:r>
          </w:p>
        </w:tc>
        <w:tc>
          <w:tcPr>
            <w:tcW w:w="7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0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 inclusive of restricted cash at the end of the period</w:t>
            </w:r>
          </w:p>
        </w:tc>
        <w:tc>
          <w:tcPr>
            <w:tcW w:w="1860" w:type="dxa"/>
            <w:vAlign w:val="bottom"/>
            <w:gridSpan w:val="3"/>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10,919</w:t>
            </w:r>
          </w:p>
        </w:tc>
        <w:tc>
          <w:tcPr>
            <w:tcW w:w="80" w:type="dxa"/>
            <w:vAlign w:val="bottom"/>
          </w:tcPr>
          <w:p>
            <w:pPr>
              <w:spacing w:after="0"/>
              <w:rPr>
                <w:sz w:val="18"/>
                <w:szCs w:val="18"/>
                <w:color w:val="auto"/>
              </w:rPr>
            </w:pPr>
          </w:p>
        </w:tc>
        <w:tc>
          <w:tcPr>
            <w:tcW w:w="6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-1233805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-1233805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Legal and Regulatory Proceedings</w:t>
      </w:r>
    </w:p>
    <w:p>
      <w:pPr>
        <w:spacing w:after="0" w:line="121"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The Company is involved in numerous pending or threatened proceedings by or against Brown &amp; Brown, Inc. or one or more of its subsidiaries that arise in the ordinary course of business. The damages that may be claimed against the Company in these various proceedings are in some cases substantial, including in certain instances claims for punitive or extraordinary damages. Some of these claims and lawsuits have been resolved; others are in the process of being resolved and others are still in the investigation or discovery phase. The Company will continue to respond appropriately to these claims and lawsuits and vigorously protect its interests.</w:t>
      </w:r>
    </w:p>
    <w:p>
      <w:pPr>
        <w:spacing w:after="0" w:line="75"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The Company continues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and other factors, management does not believe there is a substantial risk of an insurer’s material non-performance related to any current insured claims.</w:t>
      </w:r>
    </w:p>
    <w:p>
      <w:pPr>
        <w:spacing w:after="0" w:line="80" w:lineRule="exact"/>
        <w:rPr>
          <w:sz w:val="20"/>
          <w:szCs w:val="20"/>
          <w:color w:val="auto"/>
        </w:rPr>
      </w:pPr>
    </w:p>
    <w:p>
      <w:pPr>
        <w:ind w:right="120" w:firstLine="494"/>
        <w:spacing w:after="0" w:line="266" w:lineRule="auto"/>
        <w:rPr>
          <w:sz w:val="20"/>
          <w:szCs w:val="20"/>
          <w:color w:val="auto"/>
        </w:rPr>
      </w:pPr>
      <w:r>
        <w:rPr>
          <w:rFonts w:ascii="Times New Roman" w:cs="Times New Roman" w:eastAsia="Times New Roman" w:hAnsi="Times New Roman"/>
          <w:sz w:val="18"/>
          <w:szCs w:val="18"/>
          <w:color w:val="auto"/>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21"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Brown &amp; Brown’s business is divided into three reportable segments: (i) the Retail segment, which provides a broad range of insurance products and services to commercial, public and quasi-public entities, and to professional and individual customers, and non-insurance risk-mitigating products through our F&amp;I businesses; (ii) the Programs segment, which primarily acts as MGUs,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nationwide networks of independent agents, and Brown &amp; Brown retail agents; and (iii) the Wholesale Brokerage segment, which markets and sells excess and surplus commercial and personal lines insurance, primarily through independent agents and brokers, as well as Brown &amp; Brown retail agents.</w:t>
      </w:r>
    </w:p>
    <w:p>
      <w:pPr>
        <w:spacing w:after="0" w:line="81" w:lineRule="exact"/>
        <w:rPr>
          <w:sz w:val="20"/>
          <w:szCs w:val="20"/>
          <w:color w:val="auto"/>
        </w:rPr>
      </w:pPr>
    </w:p>
    <w:p>
      <w:pPr>
        <w:ind w:right="40" w:firstLine="494"/>
        <w:spacing w:after="0" w:line="256" w:lineRule="auto"/>
        <w:rPr>
          <w:sz w:val="20"/>
          <w:szCs w:val="20"/>
          <w:color w:val="auto"/>
        </w:rPr>
      </w:pPr>
      <w:r>
        <w:rPr>
          <w:rFonts w:ascii="Times New Roman" w:cs="Times New Roman" w:eastAsia="Times New Roman" w:hAnsi="Times New Roman"/>
          <w:sz w:val="18"/>
          <w:szCs w:val="18"/>
          <w:color w:val="auto"/>
        </w:rPr>
        <w:t>Brown &amp; Brown conducts most of its operations within the U.S. International operations include retail operations based in Bermuda, Canada, Cayman Islands, the Netherlands, Republic of Ireland and the United Kingdom; programs operations in Canada, France, Germany, Hong Kong, Italy, Malaysia, the Netherlands, Singapore, United Arab Emirates and the United Kingdom; and wholesale brokerage operations based in Belgium, Hong Kong, Italy and the United Kingdom. These international operations earned $212 million and $172 million of total revenues for the three months ended June 30, 2025 and 2024, respectively. These international operations earned $442 million and $330 million of total revenues for the six months ended June 30, 2025 and 2024,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140" w:firstLine="494"/>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the president and chief executive officer, regularly receives information regarding total revenue, income before income taxes and earnings before interest, income taxes, depreciation, amortization and change in estimated acquisition earn-out payables ("EBITDAC"). The metrics are used to review operating trends, to perform analytical comparisons between periods and to monitor budget to actual variances. The Company's CODM does not use segment assets to make resource allocation decisions; and therefore, segment assets have not been presented.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Summarized financial information concerning the Company’s reportable segments is shown in the following tables.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1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960" w:type="dxa"/>
            <w:vAlign w:val="bottom"/>
          </w:tcPr>
          <w:p>
            <w:pPr>
              <w:jc w:val="right"/>
              <w:ind w:right="80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49"/>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8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2"/>
        </w:trPr>
        <w:tc>
          <w:tcPr>
            <w:tcW w:w="4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4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1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5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8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jc w:val="right"/>
              <w:ind w:right="80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top w:val="single" w:sz="8" w:color="CFF0FC"/>
            </w:tcBorders>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49"/>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8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-3179445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-3179445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-3179445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-590550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-590550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-590550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640" w:hanging="138"/>
        <w:spacing w:after="0"/>
        <w:tabs>
          <w:tab w:leader="none" w:pos="640" w:val="left"/>
        </w:tabs>
        <w:numPr>
          <w:ilvl w:val="0"/>
          <w:numId w:val="8"/>
        </w:numPr>
        <w:rPr>
          <w:rFonts w:ascii="Times New Roman" w:cs="Times New Roman" w:eastAsia="Times New Roman" w:hAnsi="Times New Roman"/>
          <w:sz w:val="8"/>
          <w:szCs w:val="8"/>
          <w:color w:val="auto"/>
        </w:rPr>
      </w:pPr>
      <w:r>
        <w:rPr>
          <w:rFonts w:ascii="Times New Roman" w:cs="Times New Roman" w:eastAsia="Times New Roman" w:hAnsi="Times New Roman"/>
          <w:sz w:val="18"/>
          <w:szCs w:val="18"/>
          <w:color w:val="auto"/>
        </w:rPr>
        <w:t>"Other" includes any income and expenses not allocated to reportable segments and corporate-related items.</w:t>
      </w:r>
    </w:p>
    <w:p>
      <w:pPr>
        <w:spacing w:after="0" w:line="117" w:lineRule="exact"/>
        <w:rPr>
          <w:rFonts w:ascii="Times New Roman" w:cs="Times New Roman" w:eastAsia="Times New Roman" w:hAnsi="Times New Roman"/>
          <w:sz w:val="8"/>
          <w:szCs w:val="8"/>
          <w:color w:val="auto"/>
        </w:rPr>
      </w:pPr>
    </w:p>
    <w:p>
      <w:pPr>
        <w:ind w:left="640" w:hanging="138"/>
        <w:spacing w:after="0"/>
        <w:tabs>
          <w:tab w:leader="none" w:pos="640" w:val="left"/>
        </w:tabs>
        <w:numPr>
          <w:ilvl w:val="0"/>
          <w:numId w:val="8"/>
        </w:numPr>
        <w:rPr>
          <w:rFonts w:ascii="Times New Roman" w:cs="Times New Roman" w:eastAsia="Times New Roman" w:hAnsi="Times New Roman"/>
          <w:sz w:val="8"/>
          <w:szCs w:val="8"/>
          <w:color w:val="auto"/>
        </w:rPr>
      </w:pPr>
      <w:r>
        <w:rPr>
          <w:rFonts w:ascii="Times New Roman" w:cs="Times New Roman" w:eastAsia="Times New Roman" w:hAnsi="Times New Roman"/>
          <w:sz w:val="18"/>
          <w:szCs w:val="18"/>
          <w:color w:val="auto"/>
        </w:rPr>
        <w:t>Significant expense categories and amounts align with the segment-level information that is regularly provided to the CODM.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Pr>
          <w:p>
            <w:pPr>
              <w:spacing w:after="0"/>
              <w:rPr>
                <w:sz w:val="15"/>
                <w:szCs w:val="15"/>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1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tcPr>
          <w:p>
            <w:pPr>
              <w:spacing w:after="0"/>
              <w:rPr>
                <w:sz w:val="18"/>
                <w:szCs w:val="18"/>
                <w:color w:val="auto"/>
              </w:rPr>
            </w:pPr>
          </w:p>
        </w:tc>
        <w:tc>
          <w:tcPr>
            <w:tcW w:w="960" w:type="dxa"/>
            <w:vAlign w:val="bottom"/>
          </w:tcPr>
          <w:p>
            <w:pPr>
              <w:jc w:val="right"/>
              <w:ind w:right="80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49"/>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8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2"/>
        </w:trPr>
        <w:tc>
          <w:tcPr>
            <w:tcW w:w="4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4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Pr>
          <w:p>
            <w:pPr>
              <w:spacing w:after="0"/>
              <w:rPr>
                <w:sz w:val="15"/>
                <w:szCs w:val="15"/>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1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5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8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jc w:val="right"/>
              <w:ind w:right="80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top w:val="single" w:sz="8" w:color="CFF0FC"/>
            </w:tcBorders>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8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-3179445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-3179445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-3179445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-591185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-591185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-591185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640" w:hanging="138"/>
        <w:spacing w:after="0"/>
        <w:tabs>
          <w:tab w:leader="none" w:pos="640" w:val="left"/>
        </w:tabs>
        <w:numPr>
          <w:ilvl w:val="0"/>
          <w:numId w:val="9"/>
        </w:numPr>
        <w:rPr>
          <w:rFonts w:ascii="Times New Roman" w:cs="Times New Roman" w:eastAsia="Times New Roman" w:hAnsi="Times New Roman"/>
          <w:sz w:val="8"/>
          <w:szCs w:val="8"/>
          <w:color w:val="auto"/>
        </w:rPr>
      </w:pPr>
      <w:r>
        <w:rPr>
          <w:rFonts w:ascii="Times New Roman" w:cs="Times New Roman" w:eastAsia="Times New Roman" w:hAnsi="Times New Roman"/>
          <w:sz w:val="18"/>
          <w:szCs w:val="18"/>
          <w:color w:val="auto"/>
        </w:rPr>
        <w:t>"Other" includes any income and expenses not allocated to reportable segments and corporate-related items.</w:t>
      </w:r>
    </w:p>
    <w:p>
      <w:pPr>
        <w:spacing w:after="0" w:line="117" w:lineRule="exact"/>
        <w:rPr>
          <w:rFonts w:ascii="Times New Roman" w:cs="Times New Roman" w:eastAsia="Times New Roman" w:hAnsi="Times New Roman"/>
          <w:sz w:val="8"/>
          <w:szCs w:val="8"/>
          <w:color w:val="auto"/>
        </w:rPr>
      </w:pPr>
    </w:p>
    <w:p>
      <w:pPr>
        <w:ind w:left="640" w:hanging="138"/>
        <w:spacing w:after="0"/>
        <w:tabs>
          <w:tab w:leader="none" w:pos="640" w:val="left"/>
        </w:tabs>
        <w:numPr>
          <w:ilvl w:val="0"/>
          <w:numId w:val="9"/>
        </w:numPr>
        <w:rPr>
          <w:rFonts w:ascii="Times New Roman" w:cs="Times New Roman" w:eastAsia="Times New Roman" w:hAnsi="Times New Roman"/>
          <w:sz w:val="8"/>
          <w:szCs w:val="8"/>
          <w:color w:val="auto"/>
        </w:rPr>
      </w:pPr>
      <w:r>
        <w:rPr>
          <w:rFonts w:ascii="Times New Roman" w:cs="Times New Roman" w:eastAsia="Times New Roman" w:hAnsi="Times New Roman"/>
          <w:sz w:val="18"/>
          <w:szCs w:val="18"/>
          <w:color w:val="auto"/>
        </w:rPr>
        <w:t>Significant expense categories and amounts align with the segment-level information that is regularly provided to the CODM.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13 Insurance Company Subsidiary Operations</w:t>
      </w:r>
    </w:p>
    <w:p>
      <w:pPr>
        <w:spacing w:after="0" w:line="121"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The National Flood Insurance Program is a program administered by FEMA whereby the Company sells and services NFIP flood insurance policies on behalf of FEMA and receives fees for its services. Congressional authorization for the NFIP is periodically evaluated and may be subject to potential government shutdowns. The Company sells excess flood policies which are 100% ceded to a highly rated reinsurance carrier. The Company also operates two Captives for the purpose of facilitating additional underwriting capacity and to participate in a portion of the underwriting results. One Captive participates on a quota share basis for policies placed by certain of our MGU businesses that are currently focused on property insurance for earthquake and wind exposed properties with a portion of premiums ceded to reinsurance companies, limiting, but not fully eliminating the Company's exposure to underwriting losses. The other Captive participates through excess of loss reinsurance layers associated with one of our MGU businesses focused on placements of personal property, excluding flood, primarily in the southeastern United States with one layer of per risk excess reinsurance and three layers of catastrophe per occurrence reinsurance. All four layers have limited reinstatements and therefore have capped, maximum aggregate limits. The effects of reinsurance on premiums written and earned are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premiums - WNFIC</w:t>
            </w:r>
          </w:p>
        </w:tc>
        <w:tc>
          <w:tcPr>
            <w:tcW w:w="1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516</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Ceded premiums - WNFIC</w:t>
            </w:r>
          </w:p>
        </w:tc>
        <w:tc>
          <w:tcPr>
            <w:tcW w:w="1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premiums - WNFIC</w:t>
            </w:r>
          </w:p>
        </w:tc>
        <w:tc>
          <w:tcPr>
            <w:tcW w:w="1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 Quota share captive and excess of loss layer captive</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Ceded premiums - Quota share captive</w:t>
            </w:r>
          </w:p>
        </w:tc>
        <w:tc>
          <w:tcPr>
            <w:tcW w:w="1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 Quota share captive and excess of loss layer captive</w:t>
            </w:r>
          </w:p>
        </w:tc>
        <w:tc>
          <w:tcPr>
            <w:tcW w:w="1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premiums - Total</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80</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-599440</wp:posOffset>
            </wp:positionV>
            <wp:extent cx="1111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-316230</wp:posOffset>
            </wp:positionV>
            <wp:extent cx="1111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ind w:right="220" w:firstLine="494"/>
        <w:spacing w:after="0" w:line="266" w:lineRule="auto"/>
        <w:rPr>
          <w:sz w:val="20"/>
          <w:szCs w:val="20"/>
          <w:color w:val="auto"/>
        </w:rPr>
      </w:pPr>
      <w:r>
        <w:rPr>
          <w:rFonts w:ascii="Times New Roman" w:cs="Times New Roman" w:eastAsia="Times New Roman" w:hAnsi="Times New Roman"/>
          <w:sz w:val="18"/>
          <w:szCs w:val="18"/>
          <w:color w:val="auto"/>
        </w:rPr>
        <w:t>All premiums written by the Company under NFIP are 100% ceded to FEMA, for which WNFIC received a 29.1% gross expense allowance from January 1, 2025 through June 30, 2025. For the same period, the Company ceded $514 million of written premiums to FEMA for NFIP policies and $2 million to highly rated carriers for excess flood policies.</w:t>
      </w:r>
    </w:p>
    <w:p>
      <w:pPr>
        <w:spacing w:after="0" w:line="68"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As of June 30, 2025 the Condensed Consolidated Balance Sheets contained reinsurance recoverable of $383 million and prepaid reinsurance premiums of $529 million, which are related to the WNFIC business. For flood policies, there was no change in the balance in the reserve for losses and loss adjustment expense net of reinsurance recoverable during the period January 1, 2025 through June 30, 2025, as the Company's direct premiums written were 100% ceded to two reinsurers. The balance of the reserve for losses and loss adjustment expense for the WNFIC, excluding related reinsurance recoverable, as of June 30, 2025 was $383 million. These balances primarily relate to claims activity from hurricane activity in 2024.</w:t>
      </w:r>
    </w:p>
    <w:p>
      <w:pPr>
        <w:spacing w:after="0" w:line="75" w:lineRule="exact"/>
        <w:rPr>
          <w:sz w:val="20"/>
          <w:szCs w:val="20"/>
          <w:color w:val="auto"/>
        </w:rPr>
      </w:pPr>
    </w:p>
    <w:p>
      <w:pPr>
        <w:ind w:right="40" w:firstLine="494"/>
        <w:spacing w:after="0" w:line="255" w:lineRule="auto"/>
        <w:rPr>
          <w:sz w:val="20"/>
          <w:szCs w:val="20"/>
          <w:color w:val="auto"/>
        </w:rPr>
      </w:pPr>
      <w:r>
        <w:rPr>
          <w:rFonts w:ascii="Times New Roman" w:cs="Times New Roman" w:eastAsia="Times New Roman" w:hAnsi="Times New Roman"/>
          <w:sz w:val="18"/>
          <w:szCs w:val="18"/>
          <w:color w:val="auto"/>
        </w:rPr>
        <w:t>WNFIC maintains capital in excess of the minimum statutory amount of $8 million as required by regulatory authorities. The statutory capital and surplus of WNFIC was $36 million at June 30, 2025 and $44 million as of December 31, 2024. For the period from January 1, 2025 through June 30, 2025, WNFIC generated minimal statutory net income. For the period from January 1, 2024 through December 31, 2024, WNFIC generated statutory net income of $9 million. The maximum amount of ordinary dividends that WNFIC can pay in a rolling twelve month period is limited to the greater of 10% of statutory adjusted capital and surplus or 100% of adjusted net income. On June 27, 2025, WNFIC paid an ordinary dividend of $9 million. The dividend was declared and approved by the WNFIC Board of Directors on May 30, 2025. The maximum dividend payout that may be made in 2025 without prior approval is $9 million.</w:t>
      </w:r>
    </w:p>
    <w:p>
      <w:pPr>
        <w:spacing w:after="0" w:line="8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December 2021, the initial funding to capitalize the quota share Captive was $6 million. This capital in addition to earnings of $31 million through June 30, 2025 is considered at risk for loss. Assumed net written and net earned premiums for the quota share Captive for the six months ended June 30, 2025, were $79 million and $36 million, respectively. For the six months ended June 30, 2025, the ultimate loss expense inclusive of incurred but not reported ("IBNR") claims was $24 million. As of June 30, 2025, the Condensed Consolidated Balance Sheet contained deferred acquisitions costs of $78 million, reinsurance payable for $5 million, and the reserve for losses and loss adjustment expense, excluding related reinsurance recoverable, was $14 million. The first collateral release was received in March 2024 and is based on an IBNR factor times earned premium compared to the current collateral balance.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excess of loss layer Captive was renewed in June 2025 with underlying reinsurance treaties effective from June 1, 2025 through May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Captive’s maximum aggregate annual underwriting exposure is $2 million per occurrence, up to $4 million.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14 Shareholders’ Equity</w:t>
      </w:r>
    </w:p>
    <w:p>
      <w:pPr>
        <w:spacing w:after="0" w:line="121"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$100 million each (unless otherwise approved by the Board of Directors), negotiated private transactions or pursuant to any trading plan that may be adopted in accordance with Rule 10b5-1 of the Securities Exchange Act of 1934.</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outstanding approval to purchase up to approximately $249 million, in the aggregate, of the Company's outstanding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99" w:lineRule="exact"/>
        <w:rPr>
          <w:sz w:val="20"/>
          <w:szCs w:val="20"/>
          <w:color w:val="auto"/>
        </w:rPr>
      </w:pPr>
    </w:p>
    <w:p>
      <w:pPr>
        <w:jc w:val="both"/>
        <w:ind w:right="140" w:firstLine="494"/>
        <w:spacing w:after="0" w:line="266" w:lineRule="auto"/>
        <w:rPr>
          <w:sz w:val="20"/>
          <w:szCs w:val="20"/>
          <w:color w:val="auto"/>
        </w:rPr>
      </w:pPr>
      <w:r>
        <w:rPr>
          <w:rFonts w:ascii="Times New Roman" w:cs="Times New Roman" w:eastAsia="Times New Roman" w:hAnsi="Times New Roman"/>
          <w:sz w:val="18"/>
          <w:szCs w:val="18"/>
          <w:color w:val="auto"/>
        </w:rPr>
        <w:t>During the first quarter, the Company paid a dividend of $0.15 per share, which was approved by the Board of Directors on January 22, 2025 and paid on February 12, 2025 for a total of $43 million. During the second quarter, the Company paid a dividend of $0.15 per share, which was approved by the Board of Directors on April 28, 2025 and paid on May 21, 2025 for a total of $43 million.</w:t>
      </w:r>
    </w:p>
    <w:p>
      <w:pPr>
        <w:spacing w:after="0" w:line="68"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On June 10, 2025, the Company entered into an Underwriting Agreement (the “Common Stock Underwriting Agreement”) with J.P. Morgan Securities LLC and BofA Securities, Inc., as representatives of the several underwriters named therein (collectively, the “Common Stock Underwriters”), with respect to the offer and sale by the Company of 43,137,254 shares of the Company’s common stock, par value $0.10 (the “Common Stock”) at a per share offering price of $102.00 for an aggregate purchase price for net proceeds of $4,315 million after underwriting discounts and fees and expenses. The Company closed the offering of the shares of Common Stock on June 12, 2025. The Company intends to use the net proceeds of the offerings of the shares of Common Stock and the Notes, together with cash on hand, to fund the cash consideration payable under the Merger Agreement and to pay fees and expenses associated with the foregoing. If the acquisition of Accession is not consummated, the Company intends to use the proceeds from the offerings of shares of common stock for general corporate purposes.</w:t>
      </w:r>
    </w:p>
    <w:p>
      <w:pPr>
        <w:spacing w:after="0" w:line="84"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Additionally, as part of the consideration for the acquisition of Accession, the Company intends to issue approximately $1,300 million of additional shares of the Company’s common stock, par value $0.10 per share (the “Common Stock Consideration”) to the selling shareholders. The number of shares comprising the Common Stock Consideration will be determined using the $110.57 per share closing price of the Company’s common stock on June 6, 2025.</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July 23, 2025, the Board of Directors approved a quarterly cash dividend of $0.15 per share to be paid on August 20, 2025.</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340" w:firstLine="499"/>
        <w:spacing w:after="0" w:line="282" w:lineRule="auto"/>
        <w:rPr>
          <w:sz w:val="20"/>
          <w:szCs w:val="20"/>
          <w:color w:val="auto"/>
        </w:rPr>
      </w:pPr>
      <w:r>
        <w:rPr>
          <w:rFonts w:ascii="Times New Roman" w:cs="Times New Roman" w:eastAsia="Times New Roman" w:hAnsi="Times New Roman"/>
          <w:sz w:val="18"/>
          <w:szCs w:val="18"/>
          <w:color w:val="auto"/>
        </w:rPr>
        <w:t>The following discussion updates the Management’s Discussion and Analysis of Financial Condition and Results of Operations contained in the Company’s Annual Report on Form 10-K for the fiscal year ended December 31, 2024, and the two discussions should be read together.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 Second Quarter of 2025</w:t>
      </w:r>
    </w:p>
    <w:p>
      <w:pPr>
        <w:spacing w:after="0" w:line="121"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and the related Notes to those Financial Statements included elsewhere in this Quarterly Report on Form 10-Q, which are prepared in accordance with accounting principles generally accepted in the United States ("GAAP"). In addition, please see “Information Regarding Non-GAAP Financial Measures” below concerning important information on non-GAAP financial measures contained in our discussion and analysis.</w:t>
      </w:r>
    </w:p>
    <w:p>
      <w:pPr>
        <w:spacing w:after="0" w:line="72"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We are a diversified insurance agency, wholesale brokerage, insurance programs and service organization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participate in capitalized captive insurance facilities (the "Captives") for the purpose of having additional capacity to place coverage, drive additional revenues and to participate in underwriting results. The Captives focus on property insurance for earthquake and wind exposed properties underwritten by certain of our MGUs and limit the Company's exposure to claims expenses through reinsurance or by only participating in certain tranches of the underwriting.</w:t>
      </w:r>
    </w:p>
    <w:p>
      <w:pPr>
        <w:spacing w:after="0" w:line="86" w:lineRule="exact"/>
        <w:rPr>
          <w:sz w:val="20"/>
          <w:szCs w:val="20"/>
          <w:color w:val="auto"/>
        </w:rPr>
      </w:pPr>
    </w:p>
    <w:p>
      <w:pPr>
        <w:ind w:right="40" w:firstLine="499"/>
        <w:spacing w:after="0" w:line="274" w:lineRule="auto"/>
        <w:rPr>
          <w:sz w:val="20"/>
          <w:szCs w:val="20"/>
          <w:color w:val="auto"/>
        </w:rPr>
      </w:pPr>
      <w:r>
        <w:rPr>
          <w:rFonts w:ascii="Times New Roman" w:cs="Times New Roman" w:eastAsia="Times New Roman" w:hAnsi="Times New Roman"/>
          <w:sz w:val="17"/>
          <w:szCs w:val="17"/>
          <w:color w:val="auto"/>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an increase in the value of insurable exposure units or a general decline in economic activity, could increase or decrease the value of insurable exposure units. Conversely, increasing costs of litigation settlements and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spacing w:after="0" w:line="65" w:lineRule="exact"/>
        <w:rPr>
          <w:sz w:val="20"/>
          <w:szCs w:val="20"/>
          <w:color w:val="auto"/>
        </w:rPr>
      </w:pPr>
    </w:p>
    <w:p>
      <w:pPr>
        <w:ind w:right="40" w:firstLine="499"/>
        <w:spacing w:after="0" w:line="258" w:lineRule="auto"/>
        <w:rPr>
          <w:sz w:val="20"/>
          <w:szCs w:val="20"/>
          <w:color w:val="auto"/>
        </w:rPr>
      </w:pPr>
      <w:r>
        <w:rPr>
          <w:rFonts w:ascii="Times New Roman" w:cs="Times New Roman" w:eastAsia="Times New Roman" w:hAnsi="Times New Roman"/>
          <w:sz w:val="18"/>
          <w:szCs w:val="18"/>
          <w:color w:val="auto"/>
        </w:rPr>
        <w:t>The term “core commissions and fees” excludes profit-sharing contingent commissions, and therefore, it represents the revenues earned directly from specific insurance policies sold, and specific fee-based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spacing w:after="0" w:line="75" w:lineRule="exact"/>
        <w:rPr>
          <w:sz w:val="20"/>
          <w:szCs w:val="20"/>
          <w:color w:val="auto"/>
        </w:rPr>
      </w:pPr>
    </w:p>
    <w:p>
      <w:pPr>
        <w:ind w:right="80" w:firstLine="499"/>
        <w:spacing w:after="0" w:line="255" w:lineRule="auto"/>
        <w:rPr>
          <w:sz w:val="20"/>
          <w:szCs w:val="20"/>
          <w:color w:val="auto"/>
        </w:rPr>
      </w:pPr>
      <w:r>
        <w:rPr>
          <w:rFonts w:ascii="Times New Roman" w:cs="Times New Roman" w:eastAsia="Times New Roman" w:hAnsi="Times New Roman"/>
          <w:sz w:val="18"/>
          <w:szCs w:val="18"/>
          <w:color w:val="auto"/>
        </w:rPr>
        <w:t>We also earn profit-sharing contingent commissions, which are commissions based primarily on underwriting results, but in select situations may reflect additional considerations for volume, growth and/or retention. These commissions, which are included in our commissions and fees in the Consolidated Statements of Income, are estimated and accrued throughout the year based on actual premiums written and knowledge, to the extent it is available, of losses incurred. Payments are primarily received in the first and second quarters of each subsequent year, based upon the aforementioned considerations for the prior year(s), but may differ from the amount estimated and accrued due to the lack of complete visibility regarding loss information until they are received. Over the last three years, profit-sharing contingent commissions have averaged approximately 3.6% of commissions and fee revenues.</w:t>
      </w:r>
    </w:p>
    <w:p>
      <w:pPr>
        <w:spacing w:after="0" w:line="81" w:lineRule="exact"/>
        <w:rPr>
          <w:sz w:val="20"/>
          <w:szCs w:val="20"/>
          <w:color w:val="auto"/>
        </w:rPr>
      </w:pPr>
    </w:p>
    <w:p>
      <w:pPr>
        <w:ind w:right="40" w:firstLine="499"/>
        <w:spacing w:after="0" w:line="256" w:lineRule="auto"/>
        <w:rPr>
          <w:sz w:val="20"/>
          <w:szCs w:val="20"/>
          <w:color w:val="auto"/>
        </w:rPr>
      </w:pPr>
      <w:r>
        <w:rPr>
          <w:rFonts w:ascii="Times New Roman" w:cs="Times New Roman" w:eastAsia="Times New Roman" w:hAnsi="Times New Roman"/>
          <w:sz w:val="18"/>
          <w:szCs w:val="18"/>
          <w:color w:val="auto"/>
        </w:rPr>
        <w:t>Fee revenues primarily relate to services other than securing coverage for our customers, and for fees negotiated in lieu of commissions. Fee revenues are generated by: (i) our Programs and Wholesale Brokerage segments, which earn fees primarily for the issuance of insurance policies on behalf of insurance carriers and (ii) our Retail segment in our large-account customer base, where we primarily earn fees for securing insurance for our customers, in our F&amp;I businesses where we earn fees for assisting our customers with creating and selling warranty and service risk management programs and fees for Medicare Set-aside services, Social Security disability services and Medicare benefits advocacy services. Fee revenues as a percentage of our total commissions and fees, represented 21.1% in 2024 and 23.9% in 2023.</w:t>
      </w:r>
    </w:p>
    <w:p>
      <w:pPr>
        <w:spacing w:after="0" w:line="79" w:lineRule="exact"/>
        <w:rPr>
          <w:sz w:val="20"/>
          <w:szCs w:val="20"/>
          <w:color w:val="auto"/>
        </w:rPr>
      </w:pPr>
    </w:p>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our total commissions and fees growth rate was 8.2%, and our consolidated Organic Revenue growth rate was 3.6%.</w:t>
      </w:r>
    </w:p>
    <w:p>
      <w:pPr>
        <w:spacing w:after="0" w:line="54"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Historically, investment and other income has consisted primarily of interest earnings on operating cash and where permitted, on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r>
    </w:p>
    <w:p>
      <w:pPr>
        <w:spacing w:after="0" w:line="72" w:lineRule="exact"/>
        <w:rPr>
          <w:sz w:val="20"/>
          <w:szCs w:val="20"/>
          <w:color w:val="auto"/>
        </w:rPr>
      </w:pPr>
    </w:p>
    <w:p>
      <w:pPr>
        <w:ind w:right="220" w:firstLine="494"/>
        <w:spacing w:after="0" w:line="282" w:lineRule="auto"/>
        <w:rPr>
          <w:sz w:val="20"/>
          <w:szCs w:val="20"/>
          <w:color w:val="auto"/>
        </w:rPr>
      </w:pPr>
      <w:r>
        <w:rPr>
          <w:rFonts w:ascii="Times New Roman" w:cs="Times New Roman" w:eastAsia="Times New Roman" w:hAnsi="Times New Roman"/>
          <w:sz w:val="18"/>
          <w:szCs w:val="18"/>
          <w:color w:val="auto"/>
        </w:rPr>
        <w:t>Income before income taxes for the three months ended June 30, 2025 decreased from the second quarter of 2024 by $35 million or 10.1%, due to the gain on disposal recorded in the second quarter of 2024 related to the sale of certain third-party claims administration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right="120"/>
        <w:spacing w:after="0" w:line="282" w:lineRule="auto"/>
        <w:rPr>
          <w:sz w:val="20"/>
          <w:szCs w:val="20"/>
          <w:color w:val="auto"/>
        </w:rPr>
      </w:pPr>
      <w:r>
        <w:rPr>
          <w:rFonts w:ascii="Times New Roman" w:cs="Times New Roman" w:eastAsia="Times New Roman" w:hAnsi="Times New Roman"/>
          <w:sz w:val="18"/>
          <w:szCs w:val="18"/>
          <w:color w:val="auto"/>
        </w:rPr>
        <w:t>adjusting services businesses and Acquisition/Integration Costs associated with the pending acquisition of Accession, partially offset by Organic Revenue growth, leveraging our expense base, net new business and acquisitions completed in the past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Non-GAAP Financial Measures</w:t>
      </w:r>
    </w:p>
    <w:p>
      <w:pPr>
        <w:spacing w:after="0" w:line="121"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In the discussion and analysis of our results of operations, in addition to reporting financial results in accordance with generally accepted accounting principles (“GAAP”), we provide references to the following non-GAAP financial measures as defined in Regulation G of the SEC rules: Organic Revenue, EBITDAC, EBITDAC Margin, EBITDAC - Adjusted and EBITDAC Margin - Adjusted. We present these measures because we believe such information is of interest to the investment community.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non-GAAP financial information to our most comparable GAAP information are contained in this Quarterly Report on Form 10-Q under “Results of Operations - Segment Information.”</w:t>
      </w:r>
    </w:p>
    <w:p>
      <w:pPr>
        <w:spacing w:after="0" w:line="86" w:lineRule="exact"/>
        <w:rPr>
          <w:sz w:val="20"/>
          <w:szCs w:val="20"/>
          <w:color w:val="auto"/>
        </w:rPr>
      </w:pPr>
    </w:p>
    <w:p>
      <w:pPr>
        <w:ind w:right="100" w:firstLine="494"/>
        <w:spacing w:after="0" w:line="255" w:lineRule="auto"/>
        <w:rPr>
          <w:sz w:val="20"/>
          <w:szCs w:val="20"/>
          <w:color w:val="auto"/>
        </w:rPr>
      </w:pPr>
      <w:r>
        <w:rPr>
          <w:rFonts w:ascii="Times New Roman" w:cs="Times New Roman" w:eastAsia="Times New Roman" w:hAnsi="Times New Roman"/>
          <w:sz w:val="18"/>
          <w:szCs w:val="18"/>
          <w:color w:val="auto"/>
        </w:rPr>
        <w:t>We view Organic Revenue and Organic Revenue growth as important indicators when assessing and evaluating our performance on a consolidated basis and for each of our three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Revenue Measures</w:t>
      </w:r>
    </w:p>
    <w:p>
      <w:pPr>
        <w:spacing w:after="0" w:line="117" w:lineRule="exact"/>
        <w:rPr>
          <w:sz w:val="20"/>
          <w:szCs w:val="20"/>
          <w:color w:val="auto"/>
        </w:rPr>
      </w:pPr>
    </w:p>
    <w:p>
      <w:pPr>
        <w:ind w:left="1020" w:right="4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is our core commissions and fees less: (i) the core commissions and fees earned for the first twelve months by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117" w:lineRule="exact"/>
        <w:rPr>
          <w:sz w:val="20"/>
          <w:szCs w:val="20"/>
          <w:color w:val="auto"/>
        </w:rPr>
      </w:pPr>
    </w:p>
    <w:p>
      <w:pPr>
        <w:ind w:left="1020" w:right="24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w:t>
      </w:r>
      <w:r>
        <w:rPr>
          <w:rFonts w:ascii="Times New Roman" w:cs="Times New Roman" w:eastAsia="Times New Roman" w:hAnsi="Times New Roman"/>
          <w:sz w:val="18"/>
          <w:szCs w:val="18"/>
          <w:color w:val="auto"/>
        </w:rPr>
        <w:t>is defined as income before interest, income taxes, depreciation, amortization and the change in estimated acquisition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w:t>
      </w:r>
      <w:r>
        <w:rPr>
          <w:rFonts w:ascii="Times New Roman" w:cs="Times New Roman" w:eastAsia="Times New Roman" w:hAnsi="Times New Roman"/>
          <w:sz w:val="18"/>
          <w:szCs w:val="18"/>
          <w:color w:val="auto"/>
        </w:rPr>
        <w:t>is defined as EBITDAC divided by total revenues.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 Adjusted </w:t>
      </w:r>
      <w:r>
        <w:rPr>
          <w:rFonts w:ascii="Times New Roman" w:cs="Times New Roman" w:eastAsia="Times New Roman" w:hAnsi="Times New Roman"/>
          <w:sz w:val="18"/>
          <w:szCs w:val="18"/>
          <w:color w:val="auto"/>
        </w:rPr>
        <w:t>is defined as EBITDAC, excluding (i) (gain)/loss on disposal (as defined below), and (ii) Acquisition/Integration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(as defined below)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18"/>
          <w:szCs w:val="18"/>
          <w:color w:val="auto"/>
        </w:rPr>
        <w:t>is defined as EBITDAC - Adjusted divided by total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Related to Certain Components of Non-GAAP Measures</w:t>
      </w:r>
    </w:p>
    <w:p>
      <w:pPr>
        <w:spacing w:after="0" w:line="117" w:lineRule="exact"/>
        <w:rPr>
          <w:sz w:val="20"/>
          <w:szCs w:val="20"/>
          <w:color w:val="auto"/>
        </w:rPr>
      </w:pPr>
    </w:p>
    <w:p>
      <w:pPr>
        <w:ind w:left="1020" w:right="4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“Acquisition/Integration Costs” </w:t>
      </w:r>
      <w:r>
        <w:rPr>
          <w:rFonts w:ascii="Times New Roman" w:cs="Times New Roman" w:eastAsia="Times New Roman" w:hAnsi="Times New Roman"/>
          <w:sz w:val="18"/>
          <w:szCs w:val="18"/>
          <w:color w:val="auto"/>
        </w:rPr>
        <w:t>means the acquisition and integration costs (e.g., costs associated with regulatory filings; costs for third-party professional services, including legal, accounting, consulting, financial advisory and due diligence; costs and fees associated with entry into the bridge financing commitment; costs of integrating or streamlining processes and information technology systems, including data migration and system integration; costs associated with optimizing vendor agreements and leased office space, including exit costs related to location combinations; and employment-related costs, including severance payments, costs associated with the transition of certain legacy compensation programs and retention-related compensation expenses) arising out of our pending acquisition of Accession, which are not considered to be normal, recurring or part of ongoing operations.</w:t>
      </w:r>
    </w:p>
    <w:p>
      <w:pPr>
        <w:spacing w:after="0" w:line="74" w:lineRule="exact"/>
        <w:rPr>
          <w:rFonts w:ascii="Times New Roman" w:cs="Times New Roman" w:eastAsia="Times New Roman" w:hAnsi="Times New Roman"/>
          <w:sz w:val="18"/>
          <w:szCs w:val="18"/>
          <w:color w:val="auto"/>
        </w:rPr>
      </w:pPr>
    </w:p>
    <w:p>
      <w:pPr>
        <w:ind w:left="1020" w:right="60" w:hanging="503"/>
        <w:spacing w:after="0" w:line="26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means the period-over period impact of foreign currency translation, which is calculated by applying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current-year foreign exchange rates to the various functional currencies in our business to our reporting currency of U.S. dollars for the same period in the prior year.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left="1020" w:right="10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“(Gain)/loss on disposal” </w:t>
      </w:r>
      <w:r>
        <w:rPr>
          <w:rFonts w:ascii="Times New Roman" w:cs="Times New Roman" w:eastAsia="Times New Roman" w:hAnsi="Times New Roman"/>
          <w:sz w:val="18"/>
          <w:szCs w:val="18"/>
          <w:color w:val="auto"/>
        </w:rPr>
        <w:t>a caption on our consolidated statements of income which reflects net proceeds received as compared to net book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related to sales of books of business and other divestiture transactions, such as the disposal of a business through sale or closure.</w:t>
      </w:r>
    </w:p>
    <w:p>
      <w:pPr>
        <w:spacing w:after="0" w:line="15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Condensed Consolidated Financial Statements.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Part of our business strategy is to attract high-quality insurance intermediaries and service organizations to join our operations. From 1993 through the second quarter of 2025, we acquired 702 insurance intermediary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We have had no changes to our Critical Accounting Policies as described in our most recent Form 10-K for the year ended December 31, 2024. We believe that of our significant accounting and reporting policies, the more critical policies include our accounting for revenue recognition, business combinations and purchase price allocations, intangible asset impairments, non-cash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 Refer to Note 1 in the “Notes to Consolidated Financial Statements” in our Annual Report on Form 10-K for the year ended December 31, 2024 for details regarding our critical and significant accounting policies.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2025 AND 2024</w:t>
      </w:r>
    </w:p>
    <w:p>
      <w:pPr>
        <w:spacing w:after="0" w:line="121" w:lineRule="exact"/>
        <w:rPr>
          <w:sz w:val="20"/>
          <w:szCs w:val="20"/>
          <w:color w:val="auto"/>
        </w:rPr>
      </w:pPr>
    </w:p>
    <w:p>
      <w:pPr>
        <w:ind w:right="220" w:firstLine="494"/>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regarding results of operations and liquidity and capital resources should be considered in conjunction with the accompanying Condensed Consolidated Financial Statements and related Notes.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condensed consolidated financial results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Core commissions and fees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0"/>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2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payables</w:t>
            </w:r>
          </w:p>
        </w:tc>
        <w:tc>
          <w:tcPr>
            <w:tcW w:w="22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NMF</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9"/>
        </w:trPr>
        <w:tc>
          <w:tcPr>
            <w:tcW w:w="31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1"/>
        </w:trPr>
        <w:tc>
          <w:tcPr>
            <w:tcW w:w="3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before non-controlling</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w:t>
            </w: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1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attributable to the</w:t>
            </w:r>
          </w:p>
        </w:tc>
        <w:tc>
          <w:tcPr>
            <w:tcW w:w="22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shd w:val="clear" w:color="auto" w:fill="CFF0FC"/>
          </w:tcPr>
          <w:p>
            <w:pPr>
              <w:spacing w:after="0"/>
              <w:rPr>
                <w:sz w:val="16"/>
                <w:szCs w:val="16"/>
                <w:color w:val="auto"/>
              </w:rPr>
            </w:pP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vMerge w:val="continue"/>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300" w:type="dxa"/>
            <w:vAlign w:val="bottom"/>
            <w:gridSpan w:val="2"/>
            <w:vMerge w:val="continue"/>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gridSpan w:val="2"/>
            <w:vMerge w:val="continue"/>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58"/>
        </w:trPr>
        <w:tc>
          <w:tcPr>
            <w:tcW w:w="3120" w:type="dxa"/>
            <w:vAlign w:val="bottom"/>
            <w:tcBorders>
              <w:top w:val="single" w:sz="8" w:color="CFF0FC"/>
            </w:tcBorders>
          </w:tcPr>
          <w:p>
            <w:pPr>
              <w:spacing w:after="0" w:line="158" w:lineRule="exact"/>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940" w:type="dxa"/>
            <w:vAlign w:val="bottom"/>
            <w:tcBorders>
              <w:top w:val="single" w:sz="8" w:color="CFF0FC"/>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12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relative</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total revenues</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-2493645</wp:posOffset>
            </wp:positionV>
            <wp:extent cx="1117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-2493645</wp:posOffset>
            </wp:positionV>
            <wp:extent cx="1111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-2493645</wp:posOffset>
            </wp:positionV>
            <wp:extent cx="1111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-2493645</wp:posOffset>
            </wp:positionV>
            <wp:extent cx="1111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-1259840</wp:posOffset>
            </wp:positionV>
            <wp:extent cx="1117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-1242695</wp:posOffset>
            </wp:positionV>
            <wp:extent cx="1117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-1259840</wp:posOffset>
            </wp:positionV>
            <wp:extent cx="1111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-1242695</wp:posOffset>
            </wp:positionV>
            <wp:extent cx="1111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-1259840</wp:posOffset>
            </wp:positionV>
            <wp:extent cx="1111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-1242695</wp:posOffset>
            </wp:positionV>
            <wp:extent cx="1111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-1259840</wp:posOffset>
            </wp:positionV>
            <wp:extent cx="1111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-1242695</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19030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94"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Fees</w:t>
      </w:r>
    </w:p>
    <w:p>
      <w:pPr>
        <w:spacing w:after="0" w:line="121"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Commissions and fees, including profit-sharing contingent commissions and earned premiums, for the three months ended June 30, 2025 increased $95 million to $1,249 million, or 8.2%, over the same period in 2024. Core commissions and fees revenue for the second quarter of 2025 increased $86 million or 7.7%, composed of: (i) approximately $40 million of net new and renewal business, which reflects an Organic Revenue growth rate of 3.6%; (ii) $42 million from acquisitions that had no comparable revenues in the same period of 2024; (iii) an increase from the impact of Foreign Currency Translation of $8 million and an offsetting decrease from (iv) $4 million related to commissions and fees revenue from businesses or books of business divested in the preceding twelve months. Profit-sharing contingent commissions for the second quarter of 2025 increased by $9 million, or 25%, compared to the same period in 2024. This increase was driven primarily by (i) improved underwriting results and qualifying for certain profit-sharing contingent commissions that we did not qualify for in the prior year and (ii) recent acquisitions.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Commissions and fees, including profit-sharing contingent commissions and earned premiums, for the six months ended June 30, 2025, increased $244 million to $2,634 million, or 10.2%, over the same period in 2024. Core commissions and fees revenue for the six months ended June 30, 2025 increased $238 million or 10.3%, composed of: (i) approximately $118 million of net new and renewal business, which reflects an Organic Revenue growth rate of 5.1%; (ii) $121 million from acquisitions that had no comparable revenues in the same period of 2024; (iii) an increase from the impact of Foreign Currency Translation of $6 million and (iv) an offsetting decrease of $7 million related to commissions and fees revenue from businesses or books of business divested in the preceding twelve months. Profit-sharing contingent commissions for the six months ended June 30, 2025 increased by $6 million, or 7.3%, compared to the same period in 2024. This increase was driven primarily by (i) improved underwriting results and qualifying for certain profit-sharing contingent commissions that we did not qualify for in the prior year and (ii) recent acquisitions.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121"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Investment and other income for the three months ended June 30, 2025 increased $12 million from the same period in 2024. Investment income for the six months ended June 30, 2025 increased $10 million, from the same period in 2024. The increase was primarily driven by approximately $13 million of interest income generated by the proceeds received in June 2025 from our follow-on common stock offering and senior notes issuance in connection with the pending acquisition of Accession, which was partially offset by lower average interest rates as compared to the prior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Compensation and Benefits</w:t>
      </w:r>
    </w:p>
    <w:p>
      <w:pPr>
        <w:spacing w:after="0" w:line="121"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Employee compensation and benefits expense as a percentage of total revenues was 49.8% for the three months ended June 30, 2025 as compared to 49.7% for the three months ended June 30, 2024, an increase of 9.4%, or $55 million. This increase included $21 million of compensation costs related to acquisitions that had no comparable costs in the same period of 2024. Therefore, employee compensation and benefits expense attributable to those offices that existed in the same time periods of 2025 and 2024 increased by $34 million. This underlying employee compensation and benefits expense increase was primarily related to: (i) an increase in staff costs attributable to new hires; (ii) the increased cost of health insurance; (iii) an increase in producer compensation associated with revenue growth; and (iv) the year-over-year increase of approximately $14 million in the value of deferred compensation liabilities driven by changes in the market prices of our deferred compensation plan, with such amount substantially offset within other operating expenses as we hold assets to fund these liabilities.</w:t>
      </w:r>
    </w:p>
    <w:p>
      <w:pPr>
        <w:spacing w:after="0" w:line="84"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Employee compensation and benefits expense as a percentage of total revenues was 49.2% for the six months ended June 30, 2025 as compared to 49.9% for the six months ended June 30, 2024, and increased 8.8%, or $107 million. This increase included $54 million of compensation costs related to acquisitions that had no comparable costs in the same period of 2024. Therefore, employee compensation and benefits expense attributable to those offices that existed in the same time periods of 2025 and 2024 increased by $53 million. This underlying employee compensation and benefits expense increase was primarily related to: (i) an increase in staff costs attributable to new hires; (ii) the increased cost of health insurance; and (iii) an increase in producer compensation associated with revenue growth.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21"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Other operating expenses represented 16.4% of total revenues for the second quarter of 2025, as compared to 14.7% for the second quarter of 2024. Other operating expenses for the second quarter of 2025 increased $38 million, or 22.0%, from the same period of 2024. This change includes: (i) $9 million of other operating expenses related to acquisitions that had no comparable costs in the same period of 2024; (ii) $37 million of Acquisition/Integration Costs associated with the pending acquisition of Accession; (iii) increased information technology-related costs; and partially offset by (iv) the year-over-year decrease of approximately $14 million in the value of assets held to fund the associated liabilities within our deferred compensation plan, which was substantially offset within employee compensation and benefits, as noted above.</w:t>
      </w:r>
    </w:p>
    <w:p>
      <w:pPr>
        <w:spacing w:after="0" w:line="79"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Other operating expenses represented 14.8% of total revenues for the six months ended June 30, 2025, as compared to 13.7% for the six months ended June 30, 2024. Other operating expenses for the first six months of 2025 increased $64 million, or 19.2%, from the same period of 2024. This change includes: (i) $17 million of other operating expenses related to acquisitions that had no comparable costs in the same period of 2024; (ii) $37 million of Acquisition/Integration Costs associated with the pending acquisition of Accession; and (iii) increased information technology-related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(Gain)/Loss on Disposal</w:t>
      </w:r>
    </w:p>
    <w:p>
      <w:pPr>
        <w:spacing w:after="0" w:line="121"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Gain on disposal for the second quarter of 2025 decreased $31 million from the second quarter of 2024. Gain on disposal for the six months ended June 30, 2025 decreased $30 million from the six months ended June 30, 2024. These decreases were primarily attributable to the prior year finalization of the gain associated with selling certain third-party claims administration and adjusting services businesses in the fourth quarter of 2023.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121"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Amortization expense for the second quarter of 2025 increased $6 million, or 13.6%, compared to the second quarter of 2024. Amortization expense for the six months ended June 30, 2025 increased $17 million, or 19.8%, compared to the six months ended June 30,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right="400"/>
        <w:spacing w:after="0" w:line="282" w:lineRule="auto"/>
        <w:rPr>
          <w:sz w:val="20"/>
          <w:szCs w:val="20"/>
          <w:color w:val="auto"/>
        </w:rPr>
      </w:pPr>
      <w:r>
        <w:rPr>
          <w:rFonts w:ascii="Times New Roman" w:cs="Times New Roman" w:eastAsia="Times New Roman" w:hAnsi="Times New Roman"/>
          <w:sz w:val="18"/>
          <w:szCs w:val="18"/>
          <w:color w:val="auto"/>
        </w:rPr>
        <w:t>2024. This change reflects the amortization of new intangibles from businesses acquired within the past twelve months, net of certain intangible assets becoming fully amortized or written off in the (Gain)/Loss on disposal.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2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Depreciation expense for the second quarter of 2025 remained flat, compared to the second quarter of 2024. Depreciation expense for the six months ended June 30, 2025 increased $2 million, or 9.5%, compared to the six months ended June 30, 2024. Changes in depreciation expense reflect net additions of fixed assets resulting from businesses acquired in the past twelve months and the addition of fixed assets resulting from business initiatives, partially offset by the impact of fixed assets that became fully depreciated or written off in the gain or loss on disposal.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200" w:firstLine="494"/>
        <w:spacing w:after="0" w:line="261" w:lineRule="auto"/>
        <w:rPr>
          <w:sz w:val="20"/>
          <w:szCs w:val="20"/>
          <w:color w:val="auto"/>
        </w:rPr>
      </w:pPr>
      <w:r>
        <w:rPr>
          <w:rFonts w:ascii="Times New Roman" w:cs="Times New Roman" w:eastAsia="Times New Roman" w:hAnsi="Times New Roman"/>
          <w:sz w:val="18"/>
          <w:szCs w:val="18"/>
          <w:color w:val="auto"/>
        </w:rPr>
        <w:t>Interest expense for the second quarter of 2025 increased $2 million, or 4.1%, compared to the second quarter of 2024. Interest expense for the six months ended June 30, 2025 decreased $1 million, or 1.0%, compared to the first six months of 2024. Underlying interest expense for both the second quarter and the six-month period ended June 30, 2025 would have decreased by excluding approximately $5 million related to the issuance and sale of notes in June 2025 in connection with the pending acquisition of Accession.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Estimated Acquisition Earn-Out Payables</w:t>
      </w:r>
    </w:p>
    <w:p>
      <w:pPr>
        <w:spacing w:after="0" w:line="121" w:lineRule="exact"/>
        <w:rPr>
          <w:sz w:val="20"/>
          <w:szCs w:val="20"/>
          <w:color w:val="auto"/>
        </w:rPr>
      </w:pPr>
    </w:p>
    <w:p>
      <w:pPr>
        <w:ind w:right="40" w:firstLine="494"/>
        <w:spacing w:after="0" w:line="255" w:lineRule="auto"/>
        <w:rPr>
          <w:sz w:val="20"/>
          <w:szCs w:val="20"/>
          <w:color w:val="auto"/>
        </w:rPr>
      </w:pPr>
      <w:r>
        <w:rPr>
          <w:rFonts w:ascii="Times New Roman" w:cs="Times New Roman" w:eastAsia="Times New Roman" w:hAnsi="Times New Roman"/>
          <w:sz w:val="18"/>
          <w:szCs w:val="18"/>
          <w:color w:val="auto"/>
        </w:rPr>
        <w:t>Accounting Standards Codification (“ASC”) Topic 805 - Business Combinations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includes an estimation of the fair value of liabilities associated with any potential earn-out provisions. Subsequent changes in these earn-out obligations are required to be recorded in the Condensed Consolidated Statements of Income when incurred or reasonably estimated. Estimations of potential earn-out obligations are typically based upon future earnings of the acquired operations or entities, usually for periods ranging from one to three years.</w:t>
      </w:r>
    </w:p>
    <w:p>
      <w:pPr>
        <w:spacing w:after="0" w:line="81" w:lineRule="exact"/>
        <w:rPr>
          <w:sz w:val="20"/>
          <w:szCs w:val="20"/>
          <w:color w:val="auto"/>
        </w:rPr>
      </w:pPr>
    </w:p>
    <w:p>
      <w:pPr>
        <w:ind w:right="260" w:firstLine="494"/>
        <w:spacing w:after="0" w:line="282" w:lineRule="auto"/>
        <w:rPr>
          <w:sz w:val="20"/>
          <w:szCs w:val="20"/>
          <w:color w:val="auto"/>
        </w:rPr>
      </w:pPr>
      <w:r>
        <w:rPr>
          <w:rFonts w:ascii="Times New Roman" w:cs="Times New Roman" w:eastAsia="Times New Roman" w:hAnsi="Times New Roman"/>
          <w:sz w:val="18"/>
          <w:szCs w:val="18"/>
          <w:color w:val="auto"/>
        </w:rPr>
        <w:t>The net charge or credit to the Consolidated Statements of Income for the period is the combination of the net change in the estimated acquisition earn-out payables liability, and the accretion of the present value discount on those liabilities.</w:t>
      </w:r>
    </w:p>
    <w:p>
      <w:pPr>
        <w:spacing w:after="0" w:line="54"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As of June 30, 2025 and 2024, the fair values of the estimated acquisition earn-out payables were re-evaluated based upon projected operating results and measured at fair value on a recurring basis using unobservable inputs (Level 3) as defined in ASC 820-</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resulting net changes, as well as the interest expense accretion on the estimated acquisition earn-out payables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8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Pr>
          <w:p>
            <w:pPr>
              <w:spacing w:after="0"/>
              <w:rPr>
                <w:sz w:val="18"/>
                <w:szCs w:val="18"/>
                <w:color w:val="auto"/>
              </w:rPr>
            </w:pPr>
          </w:p>
        </w:tc>
        <w:tc>
          <w:tcPr>
            <w:tcW w:w="8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estimated acquisition earn-out payables</w:t>
            </w:r>
          </w:p>
        </w:tc>
        <w:tc>
          <w:tcPr>
            <w:tcW w:w="1260" w:type="dxa"/>
            <w:vAlign w:val="bottom"/>
            <w:gridSpan w:val="2"/>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accretion</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40" w:firstLine="494"/>
        <w:spacing w:after="0" w:line="282" w:lineRule="auto"/>
        <w:rPr>
          <w:sz w:val="20"/>
          <w:szCs w:val="20"/>
          <w:color w:val="auto"/>
        </w:rPr>
      </w:pPr>
      <w:r>
        <w:rPr>
          <w:rFonts w:ascii="Times New Roman" w:cs="Times New Roman" w:eastAsia="Times New Roman" w:hAnsi="Times New Roman"/>
          <w:sz w:val="18"/>
          <w:szCs w:val="18"/>
          <w:color w:val="auto"/>
        </w:rPr>
        <w:t>For the three months and six months ended June 30, 2025, the fair value of estimated earn-out payables was re-evaluated and resulted in increases of $9 million and $4 million, respectively, which resulted in charges to the Condensed Consolidated Statements of Income.</w:t>
      </w:r>
    </w:p>
    <w:p>
      <w:pPr>
        <w:spacing w:after="0" w:line="54"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As of June 30, 2025, estimated acquisition earn-out payables totaled $151 million, of which $63 million was recorded as accounts payable and $88 million was recorded as other non-current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The effective tax rate on income from operations for the three months ended June 30, 2025 and 2024 was 24.8% and 25.1%, respectively. The effective tax rate on income from operations for the six months ended June 30, 2025 and 2024 was 22.9% and 22.3%, respectively. The increase for the six months ended June 30, 2025 was driven primarily by the lower tax benefit associated with vesting of restricted stock awards and restricted stock units in 2025 as compared to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INFORMATION</w:t>
      </w:r>
    </w:p>
    <w:p>
      <w:pPr>
        <w:spacing w:after="0" w:line="121" w:lineRule="exact"/>
        <w:rPr>
          <w:sz w:val="20"/>
          <w:szCs w:val="20"/>
          <w:color w:val="auto"/>
        </w:rPr>
      </w:pPr>
    </w:p>
    <w:p>
      <w:pPr>
        <w:ind w:right="380" w:firstLine="494"/>
        <w:spacing w:after="0" w:line="281" w:lineRule="auto"/>
        <w:rPr>
          <w:sz w:val="20"/>
          <w:szCs w:val="20"/>
          <w:color w:val="auto"/>
        </w:rPr>
      </w:pPr>
      <w:r>
        <w:rPr>
          <w:rFonts w:ascii="Times New Roman" w:cs="Times New Roman" w:eastAsia="Times New Roman" w:hAnsi="Times New Roman"/>
          <w:sz w:val="17"/>
          <w:szCs w:val="17"/>
          <w:color w:val="auto"/>
        </w:rPr>
        <w:t>As discussed in Note 12 to the Condensed Consolidated Financial Statements, we operate three reportable segments: Retail, Programs and Wholesale Brokerage. On a segmented basis, changes in amortization, depreciation and interest expenses generally result from activity associated with acquisitions. Likewise, other income consists primarily of miscellaneous income and therefore can fluctuate between comparable periods. As such, management primarily focuses on the Organic Revenue growth rate and EBITDAC Margin when evaluating the operational efficiency of a segment.</w:t>
      </w:r>
    </w:p>
    <w:p>
      <w:pPr>
        <w:spacing w:after="0" w:line="56"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 non-GAAP financial measure, for the three months ended June 30, 2025 and 2024, and the growth rates for Organic Revenue for the three months ended June 30, 2025, including by segment,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Wholesale Brokerage</w:t>
            </w:r>
          </w:p>
        </w:tc>
        <w:tc>
          <w:tcPr>
            <w:tcW w:w="180" w:type="dxa"/>
            <w:vAlign w:val="bottom"/>
          </w:tcPr>
          <w:p>
            <w:pPr>
              <w:spacing w:after="0"/>
              <w:rPr>
                <w:sz w:val="21"/>
                <w:szCs w:val="21"/>
                <w:color w:val="auto"/>
              </w:rPr>
            </w:pPr>
          </w:p>
        </w:tc>
        <w:tc>
          <w:tcPr>
            <w:tcW w:w="11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Profit-sharing contingent</w:t>
            </w:r>
          </w:p>
        </w:tc>
        <w:tc>
          <w:tcPr>
            <w:tcW w:w="18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16"/>
                <w:szCs w:val="16"/>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16"/>
                <w:szCs w:val="16"/>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2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commissions</w:t>
            </w: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Organic Revenue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growth rate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0" w:firstLine="8"/>
        <w:spacing w:after="0" w:line="261"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as “Other” in the Segment Information table in Note 12 of this Quarterly Report on Form 10-Q of the Notes to the Condensed Consolidated Financial Statements, which includes corporate and consolidation items.</w:t>
      </w: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7" w:lineRule="exact"/>
        <w:rPr>
          <w:sz w:val="20"/>
          <w:szCs w:val="20"/>
          <w:color w:val="auto"/>
        </w:rPr>
      </w:pPr>
    </w:p>
    <w:p>
      <w:pPr>
        <w:ind w:right="380" w:firstLine="629"/>
        <w:spacing w:after="0" w:line="266"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 non-GAAP financial measure, for the three months ended June 30, 2024 and 2023, including by segment, and the growth rates for Organic Revenue for the three months ended June 30, 2024, including by segment,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Wholesale Brokerage</w:t>
            </w:r>
          </w:p>
        </w:tc>
        <w:tc>
          <w:tcPr>
            <w:tcW w:w="180" w:type="dxa"/>
            <w:vAlign w:val="bottom"/>
          </w:tcPr>
          <w:p>
            <w:pPr>
              <w:spacing w:after="0"/>
              <w:rPr>
                <w:sz w:val="20"/>
                <w:szCs w:val="20"/>
                <w:color w:val="auto"/>
              </w:rPr>
            </w:pPr>
          </w:p>
        </w:tc>
        <w:tc>
          <w:tcPr>
            <w:tcW w:w="11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14.6%</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13.7%</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Profit-sharing contingent</w:t>
            </w:r>
          </w:p>
        </w:tc>
        <w:tc>
          <w:tcPr>
            <w:tcW w:w="18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16"/>
                <w:szCs w:val="16"/>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6"/>
                <w:szCs w:val="16"/>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2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commissions</w:t>
            </w: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Organic Revenue </w:t>
            </w:r>
            <w:r>
              <w:rPr>
                <w:rFonts w:ascii="Times New Roman" w:cs="Times New Roman" w:eastAsia="Times New Roman" w:hAnsi="Times New Roman"/>
                <w:sz w:val="21"/>
                <w:szCs w:val="21"/>
                <w:color w:val="auto"/>
                <w:vertAlign w:val="superscript"/>
              </w:rPr>
              <w:t>(2)</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growth rate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15.4%</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0" w:firstLine="8"/>
        <w:spacing w:after="0" w:line="261"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as “Other” in the Segment Information table in Note 12 of this Quarterly Report on Form 10-Q of the Notes to the Condensed Consolidated Financial Statements, which includes corporate and consolidation items.</w:t>
      </w: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ind w:right="240" w:firstLine="629"/>
        <w:spacing w:after="0" w:line="266"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 non-GAAP financial measure, for the six months ended June 30, 2025 and 2024, including by segment, and the growth rates for Organic Revenue for the six months ended June 30, 2025, including by segment,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Wholesale Brokerage</w:t>
            </w:r>
          </w:p>
        </w:tc>
        <w:tc>
          <w:tcPr>
            <w:tcW w:w="180" w:type="dxa"/>
            <w:vAlign w:val="bottom"/>
          </w:tcPr>
          <w:p>
            <w:pPr>
              <w:spacing w:after="0"/>
              <w:rPr>
                <w:sz w:val="21"/>
                <w:szCs w:val="21"/>
                <w:color w:val="auto"/>
              </w:rPr>
            </w:pPr>
          </w:p>
        </w:tc>
        <w:tc>
          <w:tcPr>
            <w:tcW w:w="11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10.2%</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Profit-sharing contingent</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commissions</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99"/>
        </w:trPr>
        <w:tc>
          <w:tcPr>
            <w:tcW w:w="26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Organic Revenue </w:t>
            </w:r>
            <w:r>
              <w:rPr>
                <w:rFonts w:ascii="Times New Roman" w:cs="Times New Roman" w:eastAsia="Times New Roman" w:hAnsi="Times New Roman"/>
                <w:sz w:val="21"/>
                <w:szCs w:val="21"/>
                <w:color w:val="auto"/>
                <w:vertAlign w:val="superscript"/>
              </w:rPr>
              <w:t>(2)</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growth %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-916305</wp:posOffset>
            </wp:positionV>
            <wp:extent cx="946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-916305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-916305</wp:posOffset>
            </wp:positionV>
            <wp:extent cx="946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-916305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-916305</wp:posOffset>
            </wp:positionV>
            <wp:extent cx="93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-916305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939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0" w:firstLine="8"/>
        <w:spacing w:after="0" w:line="26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as “Other” in the Segment Information table in Note 12 of this Quarterly Report on Form 10-Q of the Notes to the Condensed Consolidated Financial Statements, which includes corporate and consolidation items.</w:t>
      </w: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7" w:lineRule="exact"/>
        <w:rPr>
          <w:sz w:val="20"/>
          <w:szCs w:val="20"/>
          <w:color w:val="auto"/>
        </w:rPr>
      </w:pPr>
    </w:p>
    <w:p>
      <w:pPr>
        <w:ind w:right="240" w:firstLine="629"/>
        <w:spacing w:after="0" w:line="266"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 non-GAAP financial measure, for the six months ended June 30, 2024 and 2023, including by segment, and the growth rates for Organic Revenue for the six months ended June 30, 2024, including by segment,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Wholesale Brokerage</w:t>
            </w:r>
          </w:p>
        </w:tc>
        <w:tc>
          <w:tcPr>
            <w:tcW w:w="180" w:type="dxa"/>
            <w:vAlign w:val="bottom"/>
          </w:tcPr>
          <w:p>
            <w:pPr>
              <w:spacing w:after="0"/>
              <w:rPr>
                <w:sz w:val="20"/>
                <w:szCs w:val="20"/>
                <w:color w:val="auto"/>
              </w:rPr>
            </w:pPr>
          </w:p>
        </w:tc>
        <w:tc>
          <w:tcPr>
            <w:tcW w:w="11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66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11.5%</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Profit-sharing contingent</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commissions</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99"/>
        </w:trPr>
        <w:tc>
          <w:tcPr>
            <w:tcW w:w="26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Organic Revenue </w:t>
            </w:r>
            <w:r>
              <w:rPr>
                <w:rFonts w:ascii="Times New Roman" w:cs="Times New Roman" w:eastAsia="Times New Roman" w:hAnsi="Times New Roman"/>
                <w:sz w:val="21"/>
                <w:szCs w:val="21"/>
                <w:color w:val="auto"/>
                <w:vertAlign w:val="superscript"/>
              </w:rPr>
              <w:t>(2)</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growth %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13.5%</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-916305</wp:posOffset>
            </wp:positionV>
            <wp:extent cx="946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-916305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-916305</wp:posOffset>
            </wp:positionV>
            <wp:extent cx="946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-916305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-916305</wp:posOffset>
            </wp:positionV>
            <wp:extent cx="939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-916305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939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0" w:firstLine="8"/>
        <w:spacing w:after="0" w:line="261"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as “Other” in the Segment Information table in Note 12 of this Quarterly Report on Form 10-Q of the Notes to the Condensed Consolidated Financial Statements, which includes corporate and consolidation items.</w:t>
      </w: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right="26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June 30, 2025, including by segment,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2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earn-out payables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disposal</w:t>
            </w: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40"/>
              <w:spacing w:after="0" w:line="210"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 xml:space="preserve">36.7% </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-1799590</wp:posOffset>
            </wp:positionV>
            <wp:extent cx="1111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-1799590</wp:posOffset>
            </wp:positionV>
            <wp:extent cx="1111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-1799590</wp:posOffset>
            </wp:positionV>
            <wp:extent cx="1117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-1799590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-1799590</wp:posOffset>
            </wp:positionV>
            <wp:extent cx="1117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-839470</wp:posOffset>
            </wp:positionV>
            <wp:extent cx="1111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-839470</wp:posOffset>
            </wp:positionV>
            <wp:extent cx="1111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-839470</wp:posOffset>
            </wp:positionV>
            <wp:extent cx="1117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-839470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-839470</wp:posOffset>
            </wp:positionV>
            <wp:extent cx="1117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rFonts w:ascii="Times New Roman" w:cs="Times New Roman" w:eastAsia="Times New Roman" w:hAnsi="Times New Roman"/>
          <w:sz w:val="18"/>
          <w:szCs w:val="18"/>
          <w:color w:val="auto"/>
        </w:rPr>
      </w:pPr>
    </w:p>
    <w:p>
      <w:pPr>
        <w:ind w:right="260" w:firstLine="8"/>
        <w:spacing w:after="0" w:line="250"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positive impact of approximately $13 million of interest income earned from the proceeds of the Company’s follow-on common stock offering and senior notes issuance in June 2025, held in preparation for the closing of the Company’s pending acquisition of Accession.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26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June 30, 2024, including by segment,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5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180"/>
              <w:spacing w:after="0" w:line="157" w:lineRule="exact"/>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5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4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earn-out payables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00" w:type="dxa"/>
            <w:vAlign w:val="bottom"/>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6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5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451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5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4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disposal</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64"/>
        </w:trPr>
        <w:tc>
          <w:tcPr>
            <w:tcW w:w="3500" w:type="dxa"/>
            <w:vAlign w:val="bottom"/>
          </w:tcPr>
          <w:p>
            <w:pPr>
              <w:ind w:left="40"/>
              <w:spacing w:after="0" w:line="164" w:lineRule="exact"/>
              <w:rPr>
                <w:sz w:val="20"/>
                <w:szCs w:val="20"/>
                <w:color w:val="auto"/>
              </w:rPr>
            </w:pPr>
            <w:r>
              <w:rPr>
                <w:rFonts w:ascii="Times New Roman" w:cs="Times New Roman" w:eastAsia="Times New Roman" w:hAnsi="Times New Roman"/>
                <w:sz w:val="18"/>
                <w:szCs w:val="18"/>
                <w:color w:val="auto"/>
              </w:rPr>
              <w:t>Acquisition/Integration Costs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2"/>
        </w:trPr>
        <w:tc>
          <w:tcPr>
            <w:tcW w:w="3500" w:type="dxa"/>
            <w:vAlign w:val="bottom"/>
            <w:vMerge w:val="restart"/>
          </w:tcPr>
          <w:p>
            <w:pPr>
              <w:ind w:left="40"/>
              <w:spacing w:after="0" w:line="229"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660" w:type="dxa"/>
            <w:vAlign w:val="bottom"/>
            <w:vMerge w:val="restart"/>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5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jc w:val="right"/>
              <w:ind w:right="56"/>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240" w:type="dxa"/>
            <w:vAlign w:val="bottom"/>
          </w:tcPr>
          <w:p>
            <w:pPr>
              <w:jc w:val="right"/>
              <w:ind w:right="5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3"/>
                <w:szCs w:val="13"/>
                <w:color w:val="auto"/>
              </w:rPr>
            </w:pPr>
          </w:p>
        </w:tc>
        <w:tc>
          <w:tcPr>
            <w:tcW w:w="240" w:type="dxa"/>
            <w:vAlign w:val="bottom"/>
          </w:tcPr>
          <w:p>
            <w:pPr>
              <w:jc w:val="right"/>
              <w:ind w:right="76"/>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5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4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-1799590</wp:posOffset>
            </wp:positionV>
            <wp:extent cx="1111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-1799590</wp:posOffset>
            </wp:positionV>
            <wp:extent cx="1111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-1799590</wp:posOffset>
            </wp:positionV>
            <wp:extent cx="111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-1799590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-1799590</wp:posOffset>
            </wp:positionV>
            <wp:extent cx="1117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132320" cy="274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0"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460" w:firstLine="494"/>
        <w:spacing w:after="0" w:line="282"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right="580"/>
        <w:spacing w:after="0" w:line="282" w:lineRule="auto"/>
        <w:rPr>
          <w:sz w:val="20"/>
          <w:szCs w:val="20"/>
          <w:color w:val="auto"/>
        </w:rPr>
      </w:pPr>
      <w:r>
        <w:rPr>
          <w:rFonts w:ascii="Times New Roman" w:cs="Times New Roman" w:eastAsia="Times New Roman" w:hAnsi="Times New Roman"/>
          <w:sz w:val="18"/>
          <w:szCs w:val="18"/>
          <w:color w:val="auto"/>
        </w:rPr>
        <w:t>non-GAAP measure, and EBITDAC Margin - Adjusted, a non-GAAP measure, for the six months ended June 30, 2025, including by segment,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3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2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earn-out payables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disposal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40"/>
              <w:spacing w:after="0" w:line="210"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 xml:space="preserve">37.4% </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-1799590</wp:posOffset>
            </wp:positionV>
            <wp:extent cx="1111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-1799590</wp:posOffset>
            </wp:positionV>
            <wp:extent cx="1111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-1799590</wp:posOffset>
            </wp:positionV>
            <wp:extent cx="1117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-1799590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-1799590</wp:posOffset>
            </wp:positionV>
            <wp:extent cx="1117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-839470</wp:posOffset>
            </wp:positionV>
            <wp:extent cx="1111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-839470</wp:posOffset>
            </wp:positionV>
            <wp:extent cx="1111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-839470</wp:posOffset>
            </wp:positionV>
            <wp:extent cx="1117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-839470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-839470</wp:posOffset>
            </wp:positionV>
            <wp:extent cx="1117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rFonts w:ascii="Times New Roman" w:cs="Times New Roman" w:eastAsia="Times New Roman" w:hAnsi="Times New Roman"/>
          <w:sz w:val="18"/>
          <w:szCs w:val="18"/>
          <w:color w:val="auto"/>
        </w:rPr>
      </w:pPr>
    </w:p>
    <w:p>
      <w:pPr>
        <w:ind w:right="260" w:firstLine="8"/>
        <w:spacing w:after="0" w:line="250"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positive impact of approximately $13 million of interest income earned from the proceeds of the Company’s follow-on common stock offering and senior notes issuance in June 2025, held in preparation for the closing of the Company’s pending acquisition of Accession.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260" w:firstLine="494"/>
        <w:spacing w:after="0" w:line="254"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six months ended June 30, 2024, including by segment, is as follows:</w:t>
      </w:r>
    </w:p>
    <w:tbl>
      <w:tblPr>
        <w:tblLayout w:type="fixed"/>
        <w:tblInd w:w="0" w:type="dxa"/>
        <w:tblCellMar>
          <w:top w:w="0" w:type="dxa"/>
          <w:left w:w="0" w:type="dxa"/>
          <w:bottom w:w="0" w:type="dxa"/>
          <w:right w:w="0" w:type="dxa"/>
        </w:tblCellMar>
      </w:tblPr>
      <w:tr>
        <w:trPr>
          <w:trHeight w:val="133"/>
        </w:trPr>
        <w:tc>
          <w:tcPr>
            <w:tcW w:w="3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500"/>
              <w:spacing w:after="0" w:line="133"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3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earn-out payables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FF0FC"/>
            </w:tcBorders>
          </w:tcPr>
          <w:p>
            <w:pPr>
              <w:spacing w:after="0" w:line="210"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6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disposal</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line="210"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66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-1799590</wp:posOffset>
            </wp:positionV>
            <wp:extent cx="1111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-1799590</wp:posOffset>
            </wp:positionV>
            <wp:extent cx="1111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-1799590</wp:posOffset>
            </wp:positionV>
            <wp:extent cx="1111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-1799590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-1799590</wp:posOffset>
            </wp:positionV>
            <wp:extent cx="1117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-839470</wp:posOffset>
            </wp:positionV>
            <wp:extent cx="1111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-839470</wp:posOffset>
            </wp:positionV>
            <wp:extent cx="1111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-839470</wp:posOffset>
            </wp:positionV>
            <wp:extent cx="1111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-839470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-839470</wp:posOffset>
            </wp:positionV>
            <wp:extent cx="1117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121" w:lineRule="exact"/>
        <w:rPr>
          <w:sz w:val="20"/>
          <w:szCs w:val="20"/>
          <w:color w:val="auto"/>
        </w:rPr>
      </w:pPr>
    </w:p>
    <w:p>
      <w:pPr>
        <w:jc w:val="both"/>
        <w:ind w:right="140" w:firstLine="499"/>
        <w:spacing w:after="0" w:line="266" w:lineRule="auto"/>
        <w:rPr>
          <w:sz w:val="20"/>
          <w:szCs w:val="20"/>
          <w:color w:val="auto"/>
        </w:rPr>
      </w:pPr>
      <w:r>
        <w:rPr>
          <w:rFonts w:ascii="Times New Roman" w:cs="Times New Roman" w:eastAsia="Times New Roman" w:hAnsi="Times New Roman"/>
          <w:sz w:val="18"/>
          <w:szCs w:val="18"/>
          <w:color w:val="auto"/>
        </w:rPr>
        <w:t>The Retail segment provides a broad range of insurance products and services to commercial, public and quasi-public, professional and individual insured customers, and non-insurance risk-mitigating products through our F&amp;I businesses. Approximately 78% of the Retail segment’s commissions and fees revenue is commission based.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Retail segment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Core commissions and fees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2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3"/>
            <w:vMerge w:val="restart"/>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payables</w:t>
            </w:r>
          </w:p>
        </w:tc>
        <w:tc>
          <w:tcPr>
            <w:tcW w:w="22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NMF</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9"/>
        </w:trPr>
        <w:tc>
          <w:tcPr>
            <w:tcW w:w="31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45"/>
        </w:trPr>
        <w:tc>
          <w:tcPr>
            <w:tcW w:w="3120" w:type="dxa"/>
            <w:vAlign w:val="bottom"/>
            <w:tcBorders>
              <w:top w:val="single" w:sz="8" w:color="CFF0FC"/>
            </w:tcBorders>
          </w:tcPr>
          <w:p>
            <w:pPr>
              <w:spacing w:after="0" w:line="145" w:lineRule="exact"/>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940" w:type="dxa"/>
            <w:vAlign w:val="bottom"/>
            <w:tcBorders>
              <w:top w:val="single" w:sz="8" w:color="CFF0FC"/>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relative</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total revenues</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-1550670</wp:posOffset>
            </wp:positionV>
            <wp:extent cx="1117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-1550670</wp:posOffset>
            </wp:positionV>
            <wp:extent cx="1111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-1550670</wp:posOffset>
            </wp:positionV>
            <wp:extent cx="1111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-1550670</wp:posOffset>
            </wp:positionV>
            <wp:extent cx="1111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-1259840</wp:posOffset>
            </wp:positionV>
            <wp:extent cx="1117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-1242060</wp:posOffset>
            </wp:positionV>
            <wp:extent cx="1117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-1259840</wp:posOffset>
            </wp:positionV>
            <wp:extent cx="1111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-1242060</wp:posOffset>
            </wp:positionV>
            <wp:extent cx="1111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-1259840</wp:posOffset>
            </wp:positionV>
            <wp:extent cx="1111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-1242060</wp:posOffset>
            </wp:positionV>
            <wp:extent cx="1111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-1259840</wp:posOffset>
            </wp:positionV>
            <wp:extent cx="1111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-1242060</wp:posOffset>
            </wp:positionV>
            <wp:extent cx="1111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90309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6"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315" w:lineRule="exact"/>
        <w:rPr>
          <w:sz w:val="20"/>
          <w:szCs w:val="20"/>
          <w:color w:val="auto"/>
        </w:rPr>
      </w:pPr>
    </w:p>
    <w:p>
      <w:pPr>
        <w:ind w:right="140" w:firstLine="494"/>
        <w:spacing w:after="0" w:line="254" w:lineRule="auto"/>
        <w:rPr>
          <w:sz w:val="20"/>
          <w:szCs w:val="20"/>
          <w:color w:val="auto"/>
        </w:rPr>
      </w:pPr>
      <w:r>
        <w:rPr>
          <w:rFonts w:ascii="Times New Roman" w:cs="Times New Roman" w:eastAsia="Times New Roman" w:hAnsi="Times New Roman"/>
          <w:sz w:val="18"/>
          <w:szCs w:val="18"/>
          <w:color w:val="auto"/>
        </w:rPr>
        <w:t>The Retail segment’s total revenues for the three months ended June 30, 2025 increased 7.9%, or $51 million, as compared to the same period in 2024, to $697 million. The $50 million increase in core commissions and fees revenue was driven by: (i) approximately $29 million related to the core commissions and fees revenue from acquisitions that had no comparable revenues in the same period of 2024; (ii) an increase of $19 million related to net new and renewal business; (iii) an increase from the impact of Foreign Currency Translation of $6 million and (iv) an offsetting decrease of $3 million related to commissions and fees recorded in 2024 from businesses since divested. Profit-sharing contingent commissions for the second quarter of 2025 remained flat at $7 million, as compared to the same period in 2024. The Retail segment’s total commissions and fees increased by 7.8%, and the Organic Revenue growth rate was 3.0% for the second quarter of 2025. The Organic Revenue growth rate was driven by net new business written during the preceding twelve months and growth on renewals of existing customers. Growth for renewal business was moderated by slowing rate increases, rate decreases for certain lines and the timing of certain non-recurring revenue.</w:t>
      </w:r>
    </w:p>
    <w:p>
      <w:pPr>
        <w:spacing w:after="0" w:line="80" w:lineRule="exact"/>
        <w:rPr>
          <w:sz w:val="20"/>
          <w:szCs w:val="20"/>
          <w:color w:val="auto"/>
        </w:rPr>
      </w:pPr>
    </w:p>
    <w:p>
      <w:pPr>
        <w:ind w:right="240" w:firstLine="494"/>
        <w:spacing w:after="0" w:line="261" w:lineRule="auto"/>
        <w:rPr>
          <w:sz w:val="20"/>
          <w:szCs w:val="20"/>
          <w:color w:val="auto"/>
        </w:rPr>
      </w:pPr>
      <w:r>
        <w:rPr>
          <w:rFonts w:ascii="Times New Roman" w:cs="Times New Roman" w:eastAsia="Times New Roman" w:hAnsi="Times New Roman"/>
          <w:sz w:val="18"/>
          <w:szCs w:val="18"/>
          <w:color w:val="auto"/>
        </w:rPr>
        <w:t>Income before income taxes for the three months ended June 30, 2025 decreased 1.6%, or $2 million, as compared to the same period in 2024, to $127 million. The primary factors driving this decrease were: (i) an increase in estimated acquisition earn-out payables, and (ii) amortization and depreciation expense growing faster than total revenues, partially offset by (iii) a decrease in intercompany interest expense and (iv) the profit associated with the net increase in revenue as described above.</w:t>
      </w:r>
    </w:p>
    <w:p>
      <w:pPr>
        <w:spacing w:after="0" w:line="72"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EBITDAC - Adjusted for the three months ended June 30, 2025 increased 6.1%, or $11 million, as compared to the same period in 2024, to $192 million. EBITDAC Margin - Adjusted for the three months ended June 30, 2025 decreased to 27.5% from 28.0% in the same period in 2024. The change in EBITDAC Margin - Adjusted was primarily driven by: (i) the timing of revenues and profit associated with certain recent acquisitions; and (ii) the impact of Foreign Currency Translation, which was partially offset by; (iii) leveraging our expense base.</w:t>
      </w:r>
    </w:p>
    <w:p>
      <w:pPr>
        <w:spacing w:after="0" w:line="72"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The Retail segment’s total revenues for the six months ended June 30, 2025 increased 10.5%, or $152 million, as compared to the same period in 2024, to $1,604 million. The $150 million increase in core commissions and fees revenue was driven by: (i) approximately $102 million related to the core commissions and fees revenue from acquisitions that had no comparable revenues in the same period of 2024; (ii) 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line="256" w:lineRule="auto"/>
        <w:rPr>
          <w:sz w:val="20"/>
          <w:szCs w:val="20"/>
          <w:color w:val="auto"/>
        </w:rPr>
      </w:pPr>
      <w:r>
        <w:rPr>
          <w:rFonts w:ascii="Times New Roman" w:cs="Times New Roman" w:eastAsia="Times New Roman" w:hAnsi="Times New Roman"/>
          <w:sz w:val="18"/>
          <w:szCs w:val="18"/>
          <w:color w:val="auto"/>
        </w:rPr>
        <w:t>increase of $51 million related to net new and renewal business; (iii) an increase from the impact of Foreign Currency Translation of $5 million; and (iv) an offsetting decrease of $7 million related to commissions and fees recorded in 2024 from businesses since divested. Profit-sharing contingent commissions for the six months of 2025 increased 4.8%, or $1 million, as compared to the same period in 2024, to $22 million. The Retail segment’s total commissions and fees increased by 10.4%, and the Organic Revenue growth rate was 3.6% for the first six months of 2025. The Organic Revenue growth rate was driven by net new business written during the preceding twelve months and growth on renewals of existing customers. Renewal business was impacted by timing of certain nonrecurring revenue as well as rate and exposure unit growth.</w:t>
      </w:r>
    </w:p>
    <w:p>
      <w:pPr>
        <w:spacing w:after="0" w:line="79" w:lineRule="exact"/>
        <w:rPr>
          <w:sz w:val="20"/>
          <w:szCs w:val="20"/>
          <w:color w:val="auto"/>
        </w:rPr>
      </w:pPr>
    </w:p>
    <w:p>
      <w:pPr>
        <w:ind w:right="300" w:firstLine="494"/>
        <w:spacing w:after="0" w:line="261" w:lineRule="auto"/>
        <w:rPr>
          <w:sz w:val="20"/>
          <w:szCs w:val="20"/>
          <w:color w:val="auto"/>
        </w:rPr>
      </w:pPr>
      <w:r>
        <w:rPr>
          <w:rFonts w:ascii="Times New Roman" w:cs="Times New Roman" w:eastAsia="Times New Roman" w:hAnsi="Times New Roman"/>
          <w:sz w:val="18"/>
          <w:szCs w:val="18"/>
          <w:color w:val="auto"/>
        </w:rPr>
        <w:t>Income before income taxes for the six months ended June 30, 2025 increased 12.0%, or $44 million, as compared to the same period in 2024, to $411 million. The primary factors driving this increase were: (i) a decrease in intercompany interest expense; and (ii) the profit associated with the net increase in revenue as described above, partially offset by (iii) an increase in estimated acquisition earn-out payables, and (iv) amortization and depreciation expense growing faster than total revenues.</w:t>
      </w:r>
    </w:p>
    <w:p>
      <w:pPr>
        <w:spacing w:after="0" w:line="72"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EBITDAC - Adjusted for the six months ended June 30, 2025 increased 12.3%, or $58 million, as compared to the same period in 2024, to $530 million. EBITDAC Margin - Adjusted for the six months ended June 30, 2025 increased to 33.0% from 32.5% in the same period in 2024. The increase in EBITDAC Margin - Adjusted was primarily driven by: (i) the net increase in revenue as described above; (ii) the timing of revenues associated with recent acquisitions; and (iii) leveraging our expense base.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 Segment</w:t>
      </w:r>
    </w:p>
    <w:p>
      <w:pPr>
        <w:spacing w:after="0" w:line="121"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The Programs segment manages over 60 programs supported by over 100 well-capitalized carrier partners. In most cases, the insurance carriers that support these programs have delegated underwriting and, in many instances, claims-handling authority to our programs operations. These programs are generally distributed through a nationwide network of independent agents and Brown &amp; Brown retail agents, and offer targeted products and services designed for specific industries, trade groups, professions, public entities and market niches. This segment also operates our write-your-own flood insurance carrier, WNFIC and operates two Captives. WNFIC’s underwriting business consists of policies written on behalf of and fully ceded to the NFIP, as well as excess flood policies, which are fully reinsured in the private market. The Captives provide additional underwriting capacity that enable growth in core commissions and fees, and allow us to participate in underwriting results with limited exposure to claims expenses. The Company has traditionally participated in underwriting profits through profit-sharing contingent commissions. These Captives give us another way to continue to participate in underwriting results while limiting exposure to claims expenses. The Captives focus on property insurance for earthquake and wind exposed properties underwritten by certain of our MGUs. The Captives limit the Company's exposure to claims expenses either through reinsurance or by participating in limited tranches of the underwriting risk.</w:t>
      </w:r>
    </w:p>
    <w:p>
      <w:pPr>
        <w:spacing w:after="0" w:line="84" w:lineRule="exact"/>
        <w:rPr>
          <w:sz w:val="20"/>
          <w:szCs w:val="20"/>
          <w:color w:val="auto"/>
        </w:rPr>
      </w:pPr>
    </w:p>
    <w:p>
      <w:pPr>
        <w:ind w:right="480" w:firstLine="494"/>
        <w:spacing w:after="0" w:line="266" w:lineRule="auto"/>
        <w:rPr>
          <w:sz w:val="20"/>
          <w:szCs w:val="20"/>
          <w:color w:val="auto"/>
        </w:rPr>
      </w:pPr>
      <w:r>
        <w:rPr>
          <w:rFonts w:ascii="Times New Roman" w:cs="Times New Roman" w:eastAsia="Times New Roman" w:hAnsi="Times New Roman"/>
          <w:sz w:val="18"/>
          <w:szCs w:val="18"/>
          <w:color w:val="auto"/>
        </w:rPr>
        <w:t>The Programs segment operations can be grouped into five broad categories: Professional Programs, Personal Lines Programs, Commercial Programs, Public Entity-Related Programs and Specialty Programs. Approximately 80% of the Programs segment’s commissions and fees revenue is commission based.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Programs segment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Core commissions and fees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220" w:type="dxa"/>
            <w:vAlign w:val="bottom"/>
            <w:shd w:val="clear" w:color="auto" w:fill="CFF0FC"/>
          </w:tcPr>
          <w:p>
            <w:pPr>
              <w:spacing w:after="0"/>
              <w:rPr>
                <w:sz w:val="17"/>
                <w:szCs w:val="17"/>
                <w:color w:val="auto"/>
              </w:rPr>
            </w:pPr>
          </w:p>
        </w:tc>
        <w:tc>
          <w:tcPr>
            <w:tcW w:w="11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payables</w:t>
            </w:r>
          </w:p>
        </w:tc>
        <w:tc>
          <w:tcPr>
            <w:tcW w:w="22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31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58"/>
        </w:trPr>
        <w:tc>
          <w:tcPr>
            <w:tcW w:w="3120" w:type="dxa"/>
            <w:vAlign w:val="bottom"/>
            <w:tcBorders>
              <w:top w:val="single" w:sz="8" w:color="CFF0FC"/>
            </w:tcBorders>
          </w:tcPr>
          <w:p>
            <w:pPr>
              <w:spacing w:after="0" w:line="158" w:lineRule="exact"/>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940" w:type="dxa"/>
            <w:vAlign w:val="bottom"/>
            <w:tcBorders>
              <w:top w:val="single" w:sz="8" w:color="CFF0FC"/>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12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relative</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total revenues</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-1550670</wp:posOffset>
            </wp:positionV>
            <wp:extent cx="1117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-1550670</wp:posOffset>
            </wp:positionV>
            <wp:extent cx="1111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-1550670</wp:posOffset>
            </wp:positionV>
            <wp:extent cx="1111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-1550670</wp:posOffset>
            </wp:positionV>
            <wp:extent cx="1111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-1259205</wp:posOffset>
            </wp:positionV>
            <wp:extent cx="1117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-1242695</wp:posOffset>
            </wp:positionV>
            <wp:extent cx="1117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-1259205</wp:posOffset>
            </wp:positionV>
            <wp:extent cx="1111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-1242695</wp:posOffset>
            </wp:positionV>
            <wp:extent cx="1111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-1259205</wp:posOffset>
            </wp:positionV>
            <wp:extent cx="1111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-1242695</wp:posOffset>
            </wp:positionV>
            <wp:extent cx="1111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-1259205</wp:posOffset>
            </wp:positionV>
            <wp:extent cx="1111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-1242695</wp:posOffset>
            </wp:positionV>
            <wp:extent cx="1111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19030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94"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60" w:firstLine="494"/>
        <w:spacing w:after="0" w:line="258" w:lineRule="auto"/>
        <w:rPr>
          <w:sz w:val="20"/>
          <w:szCs w:val="20"/>
          <w:color w:val="auto"/>
        </w:rPr>
      </w:pPr>
      <w:r>
        <w:rPr>
          <w:rFonts w:ascii="Times New Roman" w:cs="Times New Roman" w:eastAsia="Times New Roman" w:hAnsi="Times New Roman"/>
          <w:sz w:val="18"/>
          <w:szCs w:val="18"/>
          <w:color w:val="auto"/>
        </w:rPr>
        <w:t>The Programs segment’s total revenues for the three months ended June 30, 2025 increased 6.1%, or $22 million, as compared to the same period in 2024, to $381 million. The $16 million increased in core commissions and fees revenue was driven by: (i) approximately $1 million related to the core commissions and fees revenue from acquisitions that had no comparable revenues in the same period of 2024; and (ii) approximately $15 million of net new business, renewal business, and fee revenues. Profit-sharing contingent commissions for the second quarter of 2025 increased approximately $5 million as compared to the second quarter of 2024. This increase is a result of increased premiums and favorable loss ratios.</w:t>
      </w:r>
    </w:p>
    <w:p>
      <w:pPr>
        <w:spacing w:after="0" w:line="75" w:lineRule="exact"/>
        <w:rPr>
          <w:sz w:val="20"/>
          <w:szCs w:val="20"/>
          <w:color w:val="auto"/>
        </w:rPr>
      </w:pPr>
    </w:p>
    <w:p>
      <w:pPr>
        <w:ind w:right="100" w:firstLine="494"/>
        <w:spacing w:after="0" w:line="266" w:lineRule="auto"/>
        <w:rPr>
          <w:sz w:val="20"/>
          <w:szCs w:val="20"/>
          <w:color w:val="auto"/>
        </w:rPr>
      </w:pPr>
      <w:r>
        <w:rPr>
          <w:rFonts w:ascii="Times New Roman" w:cs="Times New Roman" w:eastAsia="Times New Roman" w:hAnsi="Times New Roman"/>
          <w:sz w:val="18"/>
          <w:szCs w:val="18"/>
          <w:color w:val="auto"/>
        </w:rPr>
        <w:t>The Programs segment’s total commissions and fees increased by 5.9%, and the Organic Revenue growth rate was 4.6% for the three months ended June 30, 2025. The Organic Revenue growth was driven by good retention, net new business, and exposure unit expansion, but was partially offset by declining rates on catastrophe CAT property and a growth incentive received in 2024.</w:t>
      </w:r>
    </w:p>
    <w:p>
      <w:pPr>
        <w:spacing w:after="0" w:line="68" w:lineRule="exact"/>
        <w:rPr>
          <w:sz w:val="20"/>
          <w:szCs w:val="20"/>
          <w:color w:val="auto"/>
        </w:rPr>
      </w:pPr>
    </w:p>
    <w:p>
      <w:pPr>
        <w:ind w:right="160" w:firstLine="494"/>
        <w:spacing w:after="0" w:line="266" w:lineRule="auto"/>
        <w:rPr>
          <w:sz w:val="20"/>
          <w:szCs w:val="20"/>
          <w:color w:val="auto"/>
        </w:rPr>
      </w:pPr>
      <w:r>
        <w:rPr>
          <w:rFonts w:ascii="Times New Roman" w:cs="Times New Roman" w:eastAsia="Times New Roman" w:hAnsi="Times New Roman"/>
          <w:sz w:val="18"/>
          <w:szCs w:val="18"/>
          <w:color w:val="auto"/>
        </w:rPr>
        <w:t>Income before income taxes for the three months ended June 30, 2025 decreased 1.6%, or $3 million, as compared to the same period in 2024, to $180 million. Income before income taxes decreased due to a gain on disposal recorded in the prior year and partially offset by the drivers of EBITDAC - Adjusted described below.</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EBITDAC - Adjusted for the three months ended June 30, 2025 increased 12.9%, or $23 million, from the same period in 2024, to $201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EBITDAC Margin - Adjusted for the three months ended June 30, 2025 increased to 52.8% from 49.6% in the same period in 2024. EBITDAC Margin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increased due to Organic Revenue growth, increase in profit-sharing contingent commissions and leveraging our expense base.</w:t>
      </w:r>
    </w:p>
    <w:p>
      <w:pPr>
        <w:spacing w:after="0" w:line="99" w:lineRule="exact"/>
        <w:rPr>
          <w:sz w:val="20"/>
          <w:szCs w:val="20"/>
          <w:color w:val="auto"/>
        </w:rPr>
      </w:pPr>
    </w:p>
    <w:p>
      <w:pPr>
        <w:ind w:right="220" w:firstLine="494"/>
        <w:spacing w:after="0" w:line="266" w:lineRule="auto"/>
        <w:rPr>
          <w:sz w:val="20"/>
          <w:szCs w:val="20"/>
          <w:color w:val="auto"/>
        </w:rPr>
      </w:pPr>
      <w:r>
        <w:rPr>
          <w:rFonts w:ascii="Times New Roman" w:cs="Times New Roman" w:eastAsia="Times New Roman" w:hAnsi="Times New Roman"/>
          <w:sz w:val="18"/>
          <w:szCs w:val="18"/>
          <w:color w:val="auto"/>
        </w:rPr>
        <w:t>The Programs segment’s total revenues for the six months ended June 30, 2025 increased 7.9%, or $52 million, as compared to the same period in 2024, to $709 million. The $54 million increase in core commissions and fees revenue was driven by: (i) approximately $2 million related to the core commissions and fees revenue from acquisitions that had no comparable revenues in the same period of 2024; and (ii)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approximately $52 million of net new business, renewal business and fee revenues. Profit-sharing contingent commissions for the six months ended June 30, 2024 decreased approximately $2 million, or by 3.9%, as compared to the same period in 2024.</w:t>
      </w:r>
    </w:p>
    <w:p>
      <w:pPr>
        <w:spacing w:after="0" w:line="54" w:lineRule="exact"/>
        <w:rPr>
          <w:sz w:val="20"/>
          <w:szCs w:val="20"/>
          <w:color w:val="auto"/>
        </w:rPr>
      </w:pPr>
    </w:p>
    <w:p>
      <w:pPr>
        <w:jc w:val="both"/>
        <w:ind w:right="200" w:firstLine="494"/>
        <w:spacing w:after="0" w:line="266" w:lineRule="auto"/>
        <w:rPr>
          <w:sz w:val="20"/>
          <w:szCs w:val="20"/>
          <w:color w:val="auto"/>
        </w:rPr>
      </w:pPr>
      <w:r>
        <w:rPr>
          <w:rFonts w:ascii="Times New Roman" w:cs="Times New Roman" w:eastAsia="Times New Roman" w:hAnsi="Times New Roman"/>
          <w:sz w:val="18"/>
          <w:szCs w:val="18"/>
          <w:color w:val="auto"/>
        </w:rPr>
        <w:t>The Programs segment’s total commissions and fees increased by 8.1%, and the Organic Revenue growth rate was 8.8%, for the six months ended June 30, 2025. The Organic Revenue growth was driven by hurricane claims revenue, good retention, net new business and exposure unit expansion, but was partially offset by declining rates on catastrophe ("CAT") property.</w:t>
      </w:r>
    </w:p>
    <w:p>
      <w:pPr>
        <w:spacing w:after="0" w:line="68" w:lineRule="exact"/>
        <w:rPr>
          <w:sz w:val="20"/>
          <w:szCs w:val="20"/>
          <w:color w:val="auto"/>
        </w:rPr>
      </w:pPr>
    </w:p>
    <w:p>
      <w:pPr>
        <w:jc w:val="both"/>
        <w:ind w:right="80" w:firstLine="494"/>
        <w:spacing w:after="0" w:line="266" w:lineRule="auto"/>
        <w:rPr>
          <w:sz w:val="20"/>
          <w:szCs w:val="20"/>
          <w:color w:val="auto"/>
        </w:rPr>
      </w:pPr>
      <w:r>
        <w:rPr>
          <w:rFonts w:ascii="Times New Roman" w:cs="Times New Roman" w:eastAsia="Times New Roman" w:hAnsi="Times New Roman"/>
          <w:sz w:val="18"/>
          <w:szCs w:val="18"/>
          <w:color w:val="auto"/>
        </w:rPr>
        <w:t>Income before income taxes for the six months ended June 30, 2025 increased 6.0%, or $17 million to $302 million, from the same period in 2024. Income before income taxes increased due to the drivers of EBITDAC - Adjusted described below partially offset by gain on disposal recorded in the prior year.</w:t>
      </w:r>
    </w:p>
    <w:p>
      <w:pPr>
        <w:spacing w:after="0" w:line="68"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EBITDAC - Adjusted for the six months ended June 30, 2025 increased 13.8%, or $42 million to $347 million, as compared to the same period in 2024. EBITDAC Margin - Adjusted for the six months ended June 30, 2025 increased to 48.9% from 46.4% in the same period in 2024. EBITDAC Margin - Adjusted increased due to strong Organic Revenue growth and leveraging our expense base.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Brokerage Segment</w:t>
      </w:r>
    </w:p>
    <w:p>
      <w:pPr>
        <w:spacing w:after="0" w:line="121"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The Wholesale Brokerage segment markets and sells excess and surplus commercial and personal lines insurance, primarily through independent agents and brokers, including Brown &amp; Brown retail agents. Approximately 84% of the Wholesale Brokerage segment’s commissions and fees revenue is commission based.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Wholesale Brokerage segment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Core commissions and fees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payables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NMF</w:t>
            </w:r>
          </w:p>
        </w:tc>
        <w:tc>
          <w:tcPr>
            <w:tcW w:w="24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0"/>
        </w:trPr>
        <w:tc>
          <w:tcPr>
            <w:tcW w:w="296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5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8"/>
        </w:trPr>
        <w:tc>
          <w:tcPr>
            <w:tcW w:w="2960" w:type="dxa"/>
            <w:vAlign w:val="bottom"/>
            <w:tcBorders>
              <w:top w:val="single" w:sz="8" w:color="CFF0FC"/>
            </w:tcBorders>
          </w:tcPr>
          <w:p>
            <w:pPr>
              <w:spacing w:after="0" w:line="158" w:lineRule="exact"/>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940" w:type="dxa"/>
            <w:vAlign w:val="bottom"/>
            <w:tcBorders>
              <w:top w:val="single" w:sz="8" w:color="CFF0FC"/>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96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9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relative to</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-1551305</wp:posOffset>
            </wp:positionV>
            <wp:extent cx="1111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-1551305</wp:posOffset>
            </wp:positionV>
            <wp:extent cx="1117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-1551305</wp:posOffset>
            </wp:positionV>
            <wp:extent cx="1111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-1551305</wp:posOffset>
            </wp:positionV>
            <wp:extent cx="1111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-1259205</wp:posOffset>
            </wp:positionV>
            <wp:extent cx="1111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-1242060</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-1259205</wp:posOffset>
            </wp:positionV>
            <wp:extent cx="1117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-1242060</wp:posOffset>
            </wp:positionV>
            <wp:extent cx="1117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-1259205</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-1242060</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-1259205</wp:posOffset>
            </wp:positionV>
            <wp:extent cx="1111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-1242060</wp:posOffset>
            </wp:positionV>
            <wp:extent cx="1111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19030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94"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220" w:firstLine="494"/>
        <w:spacing w:after="0" w:line="282" w:lineRule="auto"/>
        <w:rPr>
          <w:sz w:val="20"/>
          <w:szCs w:val="20"/>
          <w:color w:val="auto"/>
        </w:rPr>
      </w:pPr>
      <w:r>
        <w:rPr>
          <w:rFonts w:ascii="Times New Roman" w:cs="Times New Roman" w:eastAsia="Times New Roman" w:hAnsi="Times New Roman"/>
          <w:sz w:val="18"/>
          <w:szCs w:val="18"/>
          <w:color w:val="auto"/>
        </w:rPr>
        <w:t>The Wholesale Brokerage segment’s total revenues for the three months ended June 30, 2025 increased 14.5%, or $23 million, as compared to the same period in 2024, to $182 million. The $19 million net increase in core commissions and fees revenue was driven primarily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160"/>
        <w:spacing w:after="0" w:line="274" w:lineRule="auto"/>
        <w:rPr>
          <w:sz w:val="20"/>
          <w:szCs w:val="20"/>
          <w:color w:val="auto"/>
        </w:rPr>
      </w:pPr>
      <w:r>
        <w:rPr>
          <w:rFonts w:ascii="Times New Roman" w:cs="Times New Roman" w:eastAsia="Times New Roman" w:hAnsi="Times New Roman"/>
          <w:sz w:val="17"/>
          <w:szCs w:val="17"/>
          <w:color w:val="auto"/>
        </w:rPr>
        <w:t>by: (i) $6 million related to net new and renewal business (ii) $12 million related to the core commissions and fees revenue from acquisitions that had no comparable revenues in the same period of 2024; and (iii) an increase from the impact of Foreign Currency Translation of $1 million. Profit-sharing contingent commissions for the second quarter of 2025 increased $4 million compared to the second quarter of 2024, driven by improved underwriting results, increased written premium and finalization of prior year estimates of profit-sharing contingent commissions. The Wholesale Brokerage segment’s growth rate for total commissions and fees was 14.6%, and the Organic Revenue growth rate was 3.9% for the second quarter of 2025. The Organic Revenue growth rate was driven by net new business and exposure unit increases, while being partially offset by rate decreases for CAT property.</w:t>
      </w:r>
    </w:p>
    <w:p>
      <w:pPr>
        <w:spacing w:after="0" w:line="65" w:lineRule="exact"/>
        <w:rPr>
          <w:sz w:val="20"/>
          <w:szCs w:val="20"/>
          <w:color w:val="auto"/>
        </w:rPr>
      </w:pPr>
    </w:p>
    <w:p>
      <w:pPr>
        <w:ind w:right="120" w:firstLine="494"/>
        <w:spacing w:after="0" w:line="266" w:lineRule="auto"/>
        <w:rPr>
          <w:sz w:val="20"/>
          <w:szCs w:val="20"/>
          <w:color w:val="auto"/>
        </w:rPr>
      </w:pPr>
      <w:r>
        <w:rPr>
          <w:rFonts w:ascii="Times New Roman" w:cs="Times New Roman" w:eastAsia="Times New Roman" w:hAnsi="Times New Roman"/>
          <w:sz w:val="18"/>
          <w:szCs w:val="18"/>
          <w:color w:val="auto"/>
        </w:rPr>
        <w:t>Income before income taxes for the three months ended June 30, 2025 increased 12.8%, or $6 million, as compared to the same period in 2024, to $53 million due to: (i) the growth of EBITDAC - Adjusted described below, partially offset by (ii) an increase in the change in estimated acquisition earn-out payables.</w:t>
      </w:r>
    </w:p>
    <w:p>
      <w:pPr>
        <w:spacing w:after="0" w:line="68"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EBITDAC - Adjusted for the three months ended June 30, 2025 increased 17.0%, or $9 million, as compared to the same period in 2024, to $62 million. EBITDAC Margin - Adjusted for the three months ended June 30, 2025 increased to 34.1% from 33.3%, as compared to the same period in 2024. EBITDAC Margin - Adjusted increased due to: (i) increased profit-sharing contingent commissions; and (ii) leveraging our expense base with total revenue growth, both of which were partially offset by a business acquired within the last twelve months that has lower margins than our average segment margins and higher non-cash stock based compensation.</w:t>
      </w:r>
    </w:p>
    <w:p>
      <w:pPr>
        <w:spacing w:after="0" w:line="75"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The Wholesale Brokerage segment’s total revenues for the six months ended June 30, 2025 increased 13.3%, or $40 million, as compared to the same period in 2024, to $341 million. The $33 million net increase in core commissions and fees revenue was driven primarily by: (i) $15 million related to net new and renewal business and (ii) $17 million related to the core commissions and fees revenue from acquisitions that had no comparable revenues in the same period of 2024. Profit-sharing contingent commissions for the first six months of 2025 increased approximately $7 million compared to the same period of 2024 driven by improved underwriting results, increased written premium and finalization of prior year estimates of profit-sharing contingent commissions. The Wholesale Brokerage segment’s growth rate for total commissions and fees was 13.4%, and the Organic Revenue growth rate was 5.2% for the first six months of 2025. The Organic Revenue growth rate was driven by net new business and exposure unit increases, which were partially offset by rate decreases for CAT property.</w:t>
      </w:r>
    </w:p>
    <w:p>
      <w:pPr>
        <w:spacing w:after="0" w:line="84"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Income before income taxes for the six months ended June 30, 2025 increased 10.2%, or $9 million, as compared to the same period in 2024, to $97 million due to: (i) the growth of EBITDAC - Adjusted described below and partially offset by (ii) an increase in the change in estimated acquisition earn-out payables.</w:t>
      </w:r>
    </w:p>
    <w:p>
      <w:pPr>
        <w:spacing w:after="0" w:line="68"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EBITDAC - Adjusted for the six months ended June 30, 2025 increased 14.1%, or $14 million, as compared to the same period in 2024, to $113 million. EBITDAC Margin - Adjusted for the six months ended June 30, 2025 increased to 33.1% from 32.9% in the same period in 2024 due to leveraging our expense base which were partially offset by: (i) business acquired within the last twelve months; and (ii) higher non-cash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160" w:firstLine="494"/>
        <w:spacing w:after="0" w:line="266" w:lineRule="auto"/>
        <w:rPr>
          <w:sz w:val="20"/>
          <w:szCs w:val="20"/>
          <w:color w:val="auto"/>
        </w:rPr>
      </w:pPr>
      <w:r>
        <w:rPr>
          <w:rFonts w:ascii="Times New Roman" w:cs="Times New Roman" w:eastAsia="Times New Roman" w:hAnsi="Times New Roman"/>
          <w:sz w:val="18"/>
          <w:szCs w:val="18"/>
          <w:color w:val="auto"/>
        </w:rPr>
        <w:t>As discussed in Note 12 of the Notes to Condensed Consolidated Financial Statements, the “Other” line items in the Segment Information table includes any revenue and expenses not allocated to reportable segments, and corporate-related items, including the intercompany interest expense charges to reporting segments.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under the Second Amended and Restated Credit Agreement (the “Second Amended and Restated Credit Agreement”), which as of June 30, 2025 provided up to $800 million in available cash. We believe that we have access to additional funds, if needed, through the capital markets or private placements to obtain further debt financing under the current market conditions. The Company believes that its existing cash, cash equivalents, short-term investment portfolio and funds generated from operations, together with the funds available under the Revolving Credit Facility and the Loan Agreement, dated March 31, 2022, which provided term loan capacity of $800 million (the “Loan Agreement”), will be sufficient to satisfy its normal liquidity needs, including principal payments on our long-term debt, for the next twelve months and in the long term.</w:t>
      </w:r>
    </w:p>
    <w:p>
      <w:pPr>
        <w:spacing w:after="0" w:line="80" w:lineRule="exact"/>
        <w:rPr>
          <w:sz w:val="20"/>
          <w:szCs w:val="20"/>
          <w:color w:val="auto"/>
        </w:rPr>
      </w:pPr>
    </w:p>
    <w:p>
      <w:pPr>
        <w:ind w:right="160" w:firstLine="494"/>
        <w:spacing w:after="0" w:line="258" w:lineRule="auto"/>
        <w:rPr>
          <w:sz w:val="20"/>
          <w:szCs w:val="20"/>
          <w:color w:val="auto"/>
        </w:rPr>
      </w:pPr>
      <w:r>
        <w:rPr>
          <w:rFonts w:ascii="Times New Roman" w:cs="Times New Roman" w:eastAsia="Times New Roman" w:hAnsi="Times New Roman"/>
          <w:sz w:val="18"/>
          <w:szCs w:val="18"/>
          <w:color w:val="auto"/>
        </w:rPr>
        <w:t>The Revolving Credit Facility contains an expansion option for up to an additional $500 million of borrowing capacity, subject to the approval of participating lenders. Additionally, the Company may, subject to satisfaction of certain conditions, including receipt of additional term loan commitments by new or existing lenders, increase either Term Loan Commitment under the existing Loan Agreement or the term loans issued thereunder or issue new tranches of term loans in an aggregate additional amount of up to $400 million. Including the expansion options under all existing credit agreements, the Company has access to up to $1,700 million of incremental borrowing capacity as of June 30, 2025.</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420" w:firstLine="494"/>
        <w:spacing w:after="0" w:line="266" w:lineRule="auto"/>
        <w:rPr>
          <w:sz w:val="20"/>
          <w:szCs w:val="20"/>
          <w:color w:val="auto"/>
        </w:rPr>
      </w:pPr>
      <w:r>
        <w:rPr>
          <w:rFonts w:ascii="Times New Roman" w:cs="Times New Roman" w:eastAsia="Times New Roman" w:hAnsi="Times New Roman"/>
          <w:sz w:val="18"/>
          <w:szCs w:val="18"/>
          <w:color w:val="auto"/>
        </w:rPr>
        <w:t>Cash and cash equivalents totaled $8,893 million at June 30, 2025 reflecting an increase of $8,218 million from the $675 million balance at December 31, 2024. This increase is due to the proceeds from the follow-on common stock offering and senior notes issuance in the second quarter in connection with the pending acquisition of Accession.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Flows</w:t>
      </w:r>
    </w:p>
    <w:p>
      <w:pPr>
        <w:spacing w:after="0" w:line="121"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Our operating cash flows are primarily derived from the net income generated during the period adjusted for non-cash expenses, which include depreciation, amortization, changes in estimated earnout payables, non-cash stock based compensation and deferred income taxes while excluding gains and losses on sales/disposals of investments, businesses, fixed assets and customer accounts, payments on acquisition earn-outs in excess of original estimated payables and changes in working capital which relate primarily to the timing of payments of accrued liabilities and receipts of receivables from commissions and fees related to our revenues. Our ratio of current assets to current liabilities (the “current ratio”) was 2.75 and 1.10 for June 30, 2025 and December 31, 2024, respectively.</w:t>
      </w:r>
    </w:p>
    <w:p>
      <w:pPr>
        <w:spacing w:after="0" w:line="79"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Cash flows generated from operating activities totaled $538 million and $373 million for the six months ended June 30, 2025 and 2024, respectively, representing an increase of $165 million. Operating cash flows generated in 2025 included $569 million from net income before non-controlling interests with $186 million of non-cash adjustments, offset by $217 million from changes in working capital. The growth in cash from operations is primarily due to higher operating margins resulting from strong Organic Revenue growth and continued improvements in our working capital over the same period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Flows</w:t>
      </w:r>
    </w:p>
    <w:p>
      <w:pPr>
        <w:spacing w:after="0" w:line="121" w:lineRule="exact"/>
        <w:rPr>
          <w:sz w:val="20"/>
          <w:szCs w:val="20"/>
          <w:color w:val="auto"/>
        </w:rPr>
      </w:pPr>
    </w:p>
    <w:p>
      <w:pPr>
        <w:ind w:right="640" w:firstLine="494"/>
        <w:spacing w:after="0" w:line="282" w:lineRule="auto"/>
        <w:rPr>
          <w:sz w:val="20"/>
          <w:szCs w:val="20"/>
          <w:color w:val="auto"/>
        </w:rPr>
      </w:pPr>
      <w:r>
        <w:rPr>
          <w:rFonts w:ascii="Times New Roman" w:cs="Times New Roman" w:eastAsia="Times New Roman" w:hAnsi="Times New Roman"/>
          <w:sz w:val="18"/>
          <w:szCs w:val="18"/>
          <w:color w:val="auto"/>
        </w:rPr>
        <w:t>Cash flows used for investing activities were $187 million and $77 million for the six months ended June 30, 2025 and 2024, respectively, a decrease of $110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completed 29 acquisitions (including book purchases) and paid $161 million, net of cash, and cash and cash equivalents held in a fiduciary capacity acquired, most notably for the purchase of NBS Insurance Agency for $54 million and Tim Parkman, Inc. for $69 million. Net cash paid for acquisitions increased $63 million in the six months ended June 30, 2025, up from $98 million during the same period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19"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The Company received cash proceeds from the sale of businesses, fixed assets and customer accounts totaling $10 million during the six months ended June 30, 2025, compared to $58 million proceeds received in the same period in 2024. The decrease is attributed to the proceeds received during the second quarter of 2024 of $57 million from the settlement of two of the contingent payments related to the sale of certain third-party claims administration and adjusting services businesses in the fourth quarter of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Capital expenditures amounted to $32 million and $39 million in the six months ended June 30, 2025 and 2024, respectively, and included purchases of furniture and fixtures, leasehold improvements related to office moves and hardware and software purchases related to information technology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Flows</w:t>
      </w:r>
    </w:p>
    <w:p>
      <w:pPr>
        <w:spacing w:after="0" w:line="121" w:lineRule="exact"/>
        <w:rPr>
          <w:sz w:val="20"/>
          <w:szCs w:val="20"/>
          <w:color w:val="auto"/>
        </w:rPr>
      </w:pPr>
    </w:p>
    <w:p>
      <w:pPr>
        <w:ind w:right="860" w:firstLine="494"/>
        <w:spacing w:after="0" w:line="282" w:lineRule="auto"/>
        <w:rPr>
          <w:sz w:val="20"/>
          <w:szCs w:val="20"/>
          <w:color w:val="auto"/>
        </w:rPr>
      </w:pPr>
      <w:r>
        <w:rPr>
          <w:rFonts w:ascii="Times New Roman" w:cs="Times New Roman" w:eastAsia="Times New Roman" w:hAnsi="Times New Roman"/>
          <w:sz w:val="18"/>
          <w:szCs w:val="18"/>
          <w:color w:val="auto"/>
        </w:rPr>
        <w:t>Net cash flows provided by financing activities totaled $7,981 million and $375 million in the six months ended June 30, 2025 and 2024, respectively, an increase of $7,606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Fiduciary Receivables and Liabilities</w:t>
      </w:r>
    </w:p>
    <w:p>
      <w:pPr>
        <w:spacing w:after="0" w:line="119"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Fiduciary cash represents funds in the Company's possession collected from customers to be remitted to insurance companies and funds from insurance companies to be distributed to insureds for the settlement of claims or refunds. The net change in fiduciary cash is represented by the net change in fiduciary liabilities and fiduciary receivables and is presented as cash flows from financing activities in the statement of cash flows. Financing cash flows reflect an increase of $119 million and $248 million in the six months ended June 30, 2025 and 2024, respectively, related to fiduciary receivables and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Earn-outs</w:t>
      </w:r>
    </w:p>
    <w:p>
      <w:pPr>
        <w:spacing w:after="0" w:line="119"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Payments on acquisition earn-outs related to the original acquisition date estimates totaled $45 million and $65 million in the six months ended June 30, 2025 and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80" w:firstLine="49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paid cash dividends of $86 million and $75 million, respectively, an increase of $11 million, or 14.7%. On July 23, 2025, the Board of Directors approved a quarterly cash dividend of $0.15 per share to be paid on August 20,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right="40" w:firstLine="494"/>
        <w:spacing w:after="0" w:line="282" w:lineRule="auto"/>
        <w:rPr>
          <w:sz w:val="20"/>
          <w:szCs w:val="20"/>
          <w:color w:val="auto"/>
        </w:rPr>
      </w:pPr>
      <w:r>
        <w:rPr>
          <w:rFonts w:ascii="Times New Roman" w:cs="Times New Roman" w:eastAsia="Times New Roman" w:hAnsi="Times New Roman"/>
          <w:sz w:val="18"/>
          <w:szCs w:val="18"/>
          <w:color w:val="auto"/>
        </w:rPr>
        <w:t>Net cash proceeds from long term debt totaled $3,718 million in the six months ended June 30, 2025, compared to net cash proceeds of $319 million in the same period of 2024.</w:t>
      </w:r>
    </w:p>
    <w:p>
      <w:pPr>
        <w:spacing w:after="0" w:line="54"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Total debt at June 30, 2025 was $7,545 million net of unamortized discount and debt issuance costs, which was an increase of $3,721 million compared to December 31, 2024. The increase includes the issuance of $4,192 million of senior notes net of the unamortized debt discounts and the amortization of discounted debt related to our various unsecured senior notes and debt issuance cost amortization of $2 million, offset by the net repayment of the Revolving Credit Facility of $250 million, the addition of deferred debt issuance costs of $36 million and $188 million of payments on outstanding term loan balances.</w:t>
      </w:r>
    </w:p>
    <w:p>
      <w:pPr>
        <w:spacing w:after="0" w:line="75" w:lineRule="exact"/>
        <w:rPr>
          <w:sz w:val="20"/>
          <w:szCs w:val="20"/>
          <w:color w:val="auto"/>
        </w:rPr>
      </w:pPr>
    </w:p>
    <w:p>
      <w:pPr>
        <w:ind w:right="320" w:firstLine="49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repaid $13 million of principal related to the Second Amended and Restated Credit Agreement term loan through the quarterly scheduled principal payments. The Second Amended and Restated Credit Agreement term loan had an outstanding balance of $181 million as of June 30, 2025. The Company's next scheduled principal payment is due in September 2025 and is equal to $6 million.</w:t>
      </w:r>
    </w:p>
    <w:p>
      <w:pPr>
        <w:spacing w:after="0" w:line="72"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repaid $24 million of principal related to the Term Loans issued under the Term A-2 Loan Commitment (“Term A-2 Loans”) through quarterly scheduled principal payments. The Term A-2 Loans had an outstanding balance of $388 million as of June 30, 2025. The Company’s next scheduled principal payment is $13 million due in September 2025.</w:t>
      </w:r>
    </w:p>
    <w:p>
      <w:pPr>
        <w:spacing w:after="0" w:line="68"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repaid the outstanding balance on the Term A-1 Loan Commitment (the “Term A-1 Loan Commitment”) of $150 million related to the Loan Agreement, in accordance with the terms of the Loan Agreement using proceeds from the Revolving Credit Facility in connection with the Second Amended and Restated Credit Agreement.</w:t>
      </w:r>
    </w:p>
    <w:p>
      <w:pPr>
        <w:spacing w:after="0" w:line="68" w:lineRule="exact"/>
        <w:rPr>
          <w:sz w:val="20"/>
          <w:szCs w:val="20"/>
          <w:color w:val="auto"/>
        </w:rPr>
      </w:pPr>
    </w:p>
    <w:p>
      <w:pPr>
        <w:jc w:val="both"/>
        <w:ind w:right="40" w:firstLine="494"/>
        <w:spacing w:after="0" w:line="257" w:lineRule="auto"/>
        <w:rPr>
          <w:sz w:val="20"/>
          <w:szCs w:val="20"/>
          <w:color w:val="auto"/>
        </w:rPr>
      </w:pPr>
      <w:r>
        <w:rPr>
          <w:rFonts w:ascii="Times New Roman" w:cs="Times New Roman" w:eastAsia="Times New Roman" w:hAnsi="Times New Roman"/>
          <w:sz w:val="18"/>
          <w:szCs w:val="18"/>
          <w:color w:val="auto"/>
        </w:rPr>
        <w:t>On June 11, 2025, the Company entered into an Underwriting Agreement (the “Notes Underwriting Agreement”) with BofA Securities, Inc. and J.P. Morgan Securities LLC, as representatives of the several underwriters named therein (collectively, the “Notes Underwriters”), with respect to the offer and sale by the Company of $400 million principal amount of its 4.600% Senior Notes due 2026 (the “2026 Notes”), $500 million principal amount of its</w:t>
      </w:r>
    </w:p>
    <w:p>
      <w:pPr>
        <w:spacing w:after="0" w:line="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4.700% Senior Notes due 2028 (the “2028 Notes”), $800 million principal amount of its 4.900% Senior Notes due 2030 (the “2030 Notes”), $500 million principal amount of its 5.250% Senior Notes due 2032 (the “2032 Notes”), $1,000 million principal amount of its 5.550% Senior Notes due 2035 (the “2035 Notes”) and $1,000 million principal amount of its 6.250% Senior Notes due 2055 (the “2055 Notes” and, together with the 2026 Notes, the 2028 Notes, the 2030 Notes, the 2032 Notes, and the 2035 Notes, the “Notes”). The Notes Underwriting Agreement contains customary representations, warranties and covenants of the Company, conditions to closing, termination provisions and other terms and conditions customary in agreements of this type. The Notes Underwriting Agreement also contains customary indemnification and contribution rights and obligations of the Company and the Notes Underwriters. The Company intends to use the net proceeds from the offering of the shares of Common Stock and cash on hand, to fund the cash consideration payable under the previously announced Agreement and Plan of Merger (the “Merger Agreement”), by and among RSC, the Company, Encore Merger Sub, Inc., a Delaware corporation and wholly owned subsidiary of the Company ( “Merger Sub”) and Kelso RSC (Investor), L.P., a Delaware limited partnership, solely in its capacity as the equityholder representative, pursuant to which the Company will acquire Accession, and to pay fees and expenses associated with the foregoing. If the acquisition of Accession is not consummated, each of the notes described above has a special mandatory redemption feature and would require repayment except for the 2035 Notes, which the Company would intend to use those proceeds for general corporate purposes. As of June 30, 2025, the aggregate outstanding balance of these notes was $4,200 million exclusive of the associated discount balance.</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second quarter, the Company repaid the outstanding balance on the Revolving Credit Facility of $400 million with cash on hand.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On June 10, 2025, the Company entered into an Underwriting Agreement (the “Common Stock Underwriting Agreement”) with J.P. Morgan Securities LLC and BofA Securities, Inc., as representatives of the several underwriters named therein (collectively, the “Common Stock Underwriters”), with respect to the offer and sale by the Company of 43,137,254 shares of the Company’s common stock, par value $0.10 (the “Common Stock”) at a per share offering price of $102.00 for an aggregate purchase price for net proceeds of $4,315 million after underwriting discounts and fees and expenses. The Company closed the offering of the shares of Common Stock on June 12, 2025. The Company intends to use the net proceeds of the offerings of the shares of Common Stock and the Notes, together with cash on hand, to fund the cash consideration payable under the previously announced acquisition of Accession and to pay fees and expenses associated with the foregoing. If the acquisition of Accession is not consummated, the Company intends to use the proceeds from the offerings of shares of common stock for general corporate purposes.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1" w:name="page42"/>
    <w:bookmarkEnd w:id="41"/>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Additionally, as part of the consideration for the acquisition of Accession, the Company intends to issue approximately $1,300 million of additional shares of the Company’s common stock, par value $0.10 per share (the “Common Stock Consideration”) to the selling shareholders. The number of shares comprising the Common Stock Consideration will be determined using the $110.57 per share closing price of the Company’s common stock on June 6,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Cash Obligations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our contractual cash obligations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1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0"/>
                <w:szCs w:val="10"/>
                <w:color w:val="auto"/>
              </w:rPr>
            </w:pPr>
          </w:p>
        </w:tc>
        <w:tc>
          <w:tcPr>
            <w:tcW w:w="78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4-5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1,394</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obligations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Maximum future acquisition contingent payments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ind w:left="100"/>
              <w:spacing w:after="0" w:line="210" w:lineRule="exact"/>
              <w:rPr>
                <w:sz w:val="20"/>
                <w:szCs w:val="20"/>
                <w:color w:val="auto"/>
              </w:rPr>
            </w:pPr>
            <w:r>
              <w:rPr>
                <w:rFonts w:ascii="Times New Roman" w:cs="Times New Roman" w:eastAsia="Times New Roman" w:hAnsi="Times New Roman"/>
                <w:sz w:val="18"/>
                <w:szCs w:val="18"/>
                <w:color w:val="auto"/>
              </w:rPr>
              <w:t xml:space="preserve">Total contractual cash obligations </w:t>
            </w:r>
            <w:r>
              <w:rPr>
                <w:rFonts w:ascii="Times New Roman" w:cs="Times New Roman" w:eastAsia="Times New Roman" w:hAnsi="Times New Roman"/>
                <w:sz w:val="24"/>
                <w:szCs w:val="24"/>
                <w:color w:val="auto"/>
                <w:vertAlign w:val="superscript"/>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-170815</wp:posOffset>
            </wp:positionV>
            <wp:extent cx="774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768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640" w:hanging="37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 million of future lease commitments expected to commence later in 2025.</w:t>
      </w:r>
    </w:p>
    <w:p>
      <w:pPr>
        <w:spacing w:after="0" w:line="63" w:lineRule="exact"/>
        <w:rPr>
          <w:rFonts w:ascii="Times New Roman" w:cs="Times New Roman" w:eastAsia="Times New Roman" w:hAnsi="Times New Roman"/>
          <w:sz w:val="18"/>
          <w:szCs w:val="18"/>
          <w:color w:val="auto"/>
        </w:rPr>
      </w:pPr>
    </w:p>
    <w:p>
      <w:pPr>
        <w:ind w:left="640" w:right="40" w:hanging="377"/>
        <w:spacing w:after="0" w:line="261"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$151 million of current and non-current estimated acquisition earn-out payables. Earn-out payables for acquisitions not denominated in U.S. dollars are measured at the current foreign exchange rate. Four of the estimated acquisition earn-out payables assumed included provisions with no maximum potential earn-out amount. The amount recorded for these acquisitions as of June 30, 2025 is $1 million. The Company believes a significant increase to this amount is unlikely.</w:t>
      </w:r>
    </w:p>
    <w:p>
      <w:pPr>
        <w:spacing w:after="0" w:line="17" w:lineRule="exact"/>
        <w:rPr>
          <w:rFonts w:ascii="Times New Roman" w:cs="Times New Roman" w:eastAsia="Times New Roman" w:hAnsi="Times New Roman"/>
          <w:sz w:val="18"/>
          <w:szCs w:val="18"/>
          <w:color w:val="auto"/>
        </w:rPr>
      </w:pPr>
    </w:p>
    <w:p>
      <w:pPr>
        <w:ind w:left="640" w:right="40" w:hanging="377"/>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approximately $51 million of current liability for a dividend of $0.1500 per share approved by the Board of Directors on July 23, 2025 to be paid on August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20" w:firstLine="494"/>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spacing w:after="0" w:line="54"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Our invested assets are held primarily as cash and cash equivalents, restricted cash, available-for-sale marketable debt securities, non-marketable debt securities, certificates of deposit, U.S. Treasury securities, and professionally managed short-term duration fixed income funds. These investments are subject to interest rate risk. The fair value of our invested assets at June 30, 2025 and December 31, 2024 approximated their respective carrying values due to their short-term duration and therefore, such market risk is not considered to be material.</w:t>
      </w:r>
    </w:p>
    <w:p>
      <w:pPr>
        <w:spacing w:after="0" w:line="72" w:lineRule="exact"/>
        <w:rPr>
          <w:sz w:val="20"/>
          <w:szCs w:val="20"/>
          <w:color w:val="auto"/>
        </w:rPr>
      </w:pPr>
    </w:p>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We do not actively invest or trade in equity securities. In addition, we generally dispose of any significant equity securities received in conjunction with an acquisition shortly after the acquisition date.</w:t>
      </w:r>
    </w:p>
    <w:p>
      <w:pPr>
        <w:spacing w:after="0" w:line="54" w:lineRule="exact"/>
        <w:rPr>
          <w:sz w:val="20"/>
          <w:szCs w:val="20"/>
          <w:color w:val="auto"/>
        </w:rPr>
      </w:pPr>
    </w:p>
    <w:p>
      <w:pPr>
        <w:ind w:right="140" w:firstLine="494"/>
        <w:spacing w:after="0" w:line="261" w:lineRule="auto"/>
        <w:rPr>
          <w:sz w:val="20"/>
          <w:szCs w:val="20"/>
          <w:color w:val="auto"/>
        </w:rPr>
      </w:pPr>
      <w:r>
        <w:rPr>
          <w:rFonts w:ascii="Times New Roman" w:cs="Times New Roman" w:eastAsia="Times New Roman" w:hAnsi="Times New Roman"/>
          <w:sz w:val="18"/>
          <w:szCs w:val="18"/>
          <w:color w:val="auto"/>
        </w:rPr>
        <w:t>As of June 30, 2025, we had $569 million outstanding under the Second Amended and Restated Credit Agreement and the Loan Agreement tied to the Secured Overnight Financing Rate (“SOFR”). These agreements bear interest on a floating basis and are therefore subject to changes in the associated interest expense. The effect of an immediate hypothetical 10% change in interest rates would not have a material effect on our Condensed Consolidated Financial Statements.</w:t>
      </w:r>
    </w:p>
    <w:p>
      <w:pPr>
        <w:spacing w:after="0" w:line="72"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The majority of our international operations do not have material transactions in currencies other than their functional currency which would expose the Company to transactional currency rate risk. We are subject to translational exchange rate risk having businesses operating outside of the U.S. in the following functional currencies, British pounds, Canadian dollar, and euros. Based upon our foreign currency rate exposure as of June 30, 2025, an immediate 10% hypothetical change of foreign currency exchange rates would not have a material effect on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499"/>
        <w:spacing w:after="0" w:line="255" w:lineRule="auto"/>
        <w:rPr>
          <w:sz w:val="20"/>
          <w:szCs w:val="20"/>
          <w:color w:val="auto"/>
        </w:rPr>
      </w:pPr>
      <w:r>
        <w:rPr>
          <w:rFonts w:ascii="Times New Roman" w:cs="Times New Roman" w:eastAsia="Times New Roman" w:hAnsi="Times New Roman"/>
          <w:sz w:val="18"/>
          <w:szCs w:val="18"/>
          <w:color w:val="auto"/>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June 30, 2025.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sz w:val="20"/>
          <w:szCs w:val="20"/>
          <w:color w:val="auto"/>
        </w:rPr>
      </w:pPr>
    </w:p>
    <w:p>
      <w:pPr>
        <w:ind w:right="160" w:firstLine="499"/>
        <w:spacing w:after="0" w:line="282"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identified in connection with the Evaluation that occurred during the quarter ended June 30, 2025,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 Over Financial Reporting</w:t>
      </w:r>
    </w:p>
    <w:p>
      <w:pPr>
        <w:spacing w:after="0" w:line="121" w:lineRule="exact"/>
        <w:rPr>
          <w:sz w:val="20"/>
          <w:szCs w:val="20"/>
          <w:color w:val="auto"/>
        </w:rPr>
      </w:pPr>
    </w:p>
    <w:p>
      <w:pPr>
        <w:ind w:firstLine="499"/>
        <w:spacing w:after="0" w:line="255"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spacing w:after="0" w:line="81" w:lineRule="exact"/>
        <w:rPr>
          <w:sz w:val="20"/>
          <w:szCs w:val="20"/>
          <w:color w:val="auto"/>
        </w:rPr>
      </w:pPr>
    </w:p>
    <w:p>
      <w:pPr>
        <w:ind w:right="20" w:firstLine="499"/>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and CFO Certifications</w:t>
      </w:r>
    </w:p>
    <w:p>
      <w:pPr>
        <w:spacing w:after="0" w:line="121" w:lineRule="exact"/>
        <w:rPr>
          <w:sz w:val="20"/>
          <w:szCs w:val="20"/>
          <w:color w:val="auto"/>
        </w:rPr>
      </w:pPr>
    </w:p>
    <w:p>
      <w:pPr>
        <w:ind w:right="20" w:firstLine="499"/>
        <w:spacing w:after="0" w:line="261" w:lineRule="auto"/>
        <w:rPr>
          <w:sz w:val="20"/>
          <w:szCs w:val="20"/>
          <w:color w:val="auto"/>
        </w:rPr>
      </w:pPr>
      <w:r>
        <w:rPr>
          <w:rFonts w:ascii="Times New Roman" w:cs="Times New Roman" w:eastAsia="Times New Roman" w:hAnsi="Times New Roman"/>
          <w:sz w:val="18"/>
          <w:szCs w:val="18"/>
          <w:color w:val="auto"/>
        </w:rPr>
        <w:t>Exhibits 31.1 and 31.2 are the Certifications of the CEO and the CFO, respectively. The Certifications are supplied in accordance with Section 302 of the Sarbanes-Oxley Act of 2002 (the “Section 302 Certifications”). This Item 4 of Part I of this Quarterly Report on Form 10-Q contains the information concerning the evaluation referred to in the Section 302 Certifications and this information should be read in conjunction with the Section 302 Certifications for a more complete understanding of the topics presented.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499"/>
        <w:spacing w:after="0" w:line="261" w:lineRule="auto"/>
        <w:rPr>
          <w:sz w:val="20"/>
          <w:szCs w:val="20"/>
          <w:color w:val="auto"/>
        </w:rPr>
      </w:pPr>
      <w:r>
        <w:rPr>
          <w:rFonts w:ascii="Times New Roman" w:cs="Times New Roman" w:eastAsia="Times New Roman" w:hAnsi="Times New Roman"/>
          <w:sz w:val="18"/>
          <w:szCs w:val="18"/>
          <w:color w:val="auto"/>
        </w:rPr>
        <w:t>In Item 3 of Part I of the Company’s Annual Report on Form 10-K for its fiscal year ended December 31, 2024, certain information concerning litigation claims arising in the ordinary course of business was disclosed. Such information was current as of the date of filing. During the Company’s fiscal quarter ended June 30, 2025, no new legal proceedings, or material developments with respect to existing legal proceedings, occurred which require disclosure in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499"/>
        <w:spacing w:after="0" w:line="282" w:lineRule="auto"/>
        <w:rPr>
          <w:sz w:val="20"/>
          <w:szCs w:val="20"/>
          <w:color w:val="auto"/>
        </w:rPr>
      </w:pPr>
      <w:r>
        <w:rPr>
          <w:rFonts w:ascii="Times New Roman" w:cs="Times New Roman" w:eastAsia="Times New Roman" w:hAnsi="Times New Roman"/>
          <w:sz w:val="18"/>
          <w:szCs w:val="18"/>
          <w:color w:val="auto"/>
        </w:rPr>
        <w:t>Other than as described below, there were no material changes in the risk factors previously disclosed in Item 1A, “Risk Factors” of the Company’s Annual Report on Form 10-K for the year ended December 31, 2024.</w:t>
      </w:r>
    </w:p>
    <w:p>
      <w:pPr>
        <w:spacing w:after="0" w:line="5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THE TRANSACTION (AS DEFINED BELOW) MAY NOT BE COMPLETED WITHIN THE EXPECTED TIMEFRAME, OR AT ALL, AND THE PENDENCY OF THE TRANSACTION COULD ADVERSELY AFFECT OUR BUSINESS, FINANCIAL CONDITION, RESULTS OF OPERATIONS AND CASH FLOWS.</w:t>
      </w:r>
    </w:p>
    <w:p>
      <w:pPr>
        <w:spacing w:after="0" w:line="67"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On June 10, 2025, we entered into the Merger Agreement, pursuant to which the Company will acquire Accession (the “Transaction”). Completion of the Transaction is subject to the satisfaction (or waiver) of certain conditions, a number of which are beyond our control and may prevent, delay or otherwise negatively affect their completion. Such conditions include, among others, the receipt of required regulatory approvals. The conditions to the closing of the Transaction may not be satisfied and the Merger Agreement could be terminated. In addition, satisfying the conditions to the Transaction may take longer, and could cost more, than we expect. The occurrence of such events individually or in combination may adversely affect the cost savings and other benefits we expect to achieve from the Transaction and adversely affect our business, financial condition, results of operations and cash flows. In addition, if the Transaction does not close, the attention of our management will have been diverted to it rather than our operations and pursuit of other opportunities. Failure to complete the Transaction would, and any delay in completing the Transaction could, prevent us from realizing the anticipated benefits from the Transaction. Additionally, if we fail to close the Transaction and are otherwise in breach of our obligations, we could be liable for damages.</w:t>
      </w:r>
    </w:p>
    <w:p>
      <w:pPr>
        <w:spacing w:after="0" w:line="82"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REALIZE ALL OF THE ANTICIPATED BENEFITS OF THE TRANSACTION (INCLUDING USE OF ACCESSION’S DEFERRED TAX ASSETS), AND THE TRANSACTION OR THOSE BENEFITS MAY TAKE LONGER TO REALIZE THAN EXPECTED.</w:t>
      </w:r>
    </w:p>
    <w:p>
      <w:pPr>
        <w:spacing w:after="0" w:line="51" w:lineRule="exact"/>
        <w:rPr>
          <w:sz w:val="20"/>
          <w:szCs w:val="20"/>
          <w:color w:val="auto"/>
        </w:rPr>
      </w:pPr>
    </w:p>
    <w:p>
      <w:pPr>
        <w:ind w:firstLine="499"/>
        <w:spacing w:after="0" w:line="256" w:lineRule="auto"/>
        <w:rPr>
          <w:sz w:val="20"/>
          <w:szCs w:val="20"/>
          <w:color w:val="auto"/>
        </w:rPr>
      </w:pPr>
      <w:r>
        <w:rPr>
          <w:rFonts w:ascii="Times New Roman" w:cs="Times New Roman" w:eastAsia="Times New Roman" w:hAnsi="Times New Roman"/>
          <w:sz w:val="18"/>
          <w:szCs w:val="18"/>
          <w:color w:val="auto"/>
        </w:rPr>
        <w:t>We believe that there are significant benefits and synergies that may be realized through the Transaction. However, the efforts to realize these benefits and synergies will be a complex process and may disrupt existing operations if not implemented in a timely and efficient manner. The full benefits of the Transaction, including the anticipated synergies and growth opportunities, may not be realized as expected or may not be achieved within the anticipated time frame, or at all. In addition, our use post-closing of any of Accession’s deferred tax assets may be subject to limitation. Failure to achieve the anticipated benefits of the Transaction could adversely affect our results of operations or cash flows, decrease or delay any anticipated accretive effect of the Transaction and negatively impact the price of our common stock and the trading prices of our senior notes.</w:t>
      </w:r>
    </w:p>
    <w:p>
      <w:pPr>
        <w:spacing w:after="0" w:line="7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FINANCING THE TRANSACTION WILL RESULT IN AN INCREASE IN OUR INDEBTEDNESS, WHICH COULD ADVERSELY AFFECT US, INCLUDING BY DECREASING OUR BUSINESS FLEXIBILITY AND INCREASING OUR INTEREST EXPENSE.</w:t>
      </w:r>
    </w:p>
    <w:p>
      <w:pPr>
        <w:spacing w:after="0" w:line="51" w:lineRule="exact"/>
        <w:rPr>
          <w:sz w:val="20"/>
          <w:szCs w:val="20"/>
          <w:color w:val="auto"/>
        </w:rPr>
      </w:pPr>
    </w:p>
    <w:p>
      <w:pPr>
        <w:ind w:right="60" w:firstLine="499"/>
        <w:spacing w:after="0" w:line="258" w:lineRule="auto"/>
        <w:rPr>
          <w:sz w:val="20"/>
          <w:szCs w:val="20"/>
          <w:color w:val="auto"/>
        </w:rPr>
      </w:pPr>
      <w:r>
        <w:rPr>
          <w:rFonts w:ascii="Times New Roman" w:cs="Times New Roman" w:eastAsia="Times New Roman" w:hAnsi="Times New Roman"/>
          <w:sz w:val="18"/>
          <w:szCs w:val="18"/>
          <w:color w:val="auto"/>
        </w:rPr>
        <w:t>As of June 30, 2025, our total debt was $7,545 million. We intend to finance the purchase price of the Transaction with the net proceeds of certain securities offerings and cash on hand. These increases in our indebtedness may, among other things, reduce our flexibility to respond to changing business and economic conditions or to fund capital expenditures or working capital needs. In addition, the amount of cash required to pay interest on our indebtedness following completion of such offerings and the Transaction, and thus the demands on our cash resources, will materially increase as a result of the Transaction.</w:t>
      </w:r>
    </w:p>
    <w:p>
      <w:pPr>
        <w:spacing w:after="0" w:line="7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WE HAVE MADE CERTAIN ASSUMPTIONS RELATING TO THE TRANSACTION WHICH MAY PROVE TO BE MATERIALLY INACCURATE.</w:t>
      </w:r>
    </w:p>
    <w:p>
      <w:pPr>
        <w:spacing w:after="0" w:line="51" w:lineRule="exact"/>
        <w:rPr>
          <w:sz w:val="20"/>
          <w:szCs w:val="20"/>
          <w:color w:val="auto"/>
        </w:rPr>
      </w:pPr>
    </w:p>
    <w:p>
      <w:pPr>
        <w:jc w:val="both"/>
        <w:ind w:right="100" w:firstLine="499"/>
        <w:spacing w:after="0" w:line="266" w:lineRule="auto"/>
        <w:rPr>
          <w:sz w:val="20"/>
          <w:szCs w:val="20"/>
          <w:color w:val="auto"/>
        </w:rPr>
      </w:pPr>
      <w:r>
        <w:rPr>
          <w:rFonts w:ascii="Times New Roman" w:cs="Times New Roman" w:eastAsia="Times New Roman" w:hAnsi="Times New Roman"/>
          <w:sz w:val="18"/>
          <w:szCs w:val="18"/>
          <w:color w:val="auto"/>
        </w:rPr>
        <w:t>We have made certain assumptions relating to the Transaction, which assumptions involve significant judgement and may not reflect the full range of uncertainties and unpredictable outcomes inherent in the Transaction and may be materially inaccurate. These assumptions relate to numerous matters, including:</w:t>
      </w:r>
    </w:p>
    <w:p>
      <w:pPr>
        <w:spacing w:after="0" w:line="68" w:lineRule="exact"/>
        <w:rPr>
          <w:sz w:val="20"/>
          <w:szCs w:val="20"/>
          <w:color w:val="auto"/>
        </w:rPr>
      </w:pPr>
    </w:p>
    <w:p>
      <w:pPr>
        <w:ind w:left="860" w:hanging="353"/>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revenue and our earnings per share;</w:t>
      </w:r>
    </w:p>
    <w:p>
      <w:pPr>
        <w:spacing w:after="0" w:line="117" w:lineRule="exact"/>
        <w:rPr>
          <w:rFonts w:ascii="Times New Roman" w:cs="Times New Roman" w:eastAsia="Times New Roman" w:hAnsi="Times New Roman"/>
          <w:sz w:val="18"/>
          <w:szCs w:val="18"/>
          <w:color w:val="auto"/>
        </w:rPr>
      </w:pPr>
    </w:p>
    <w:p>
      <w:pPr>
        <w:ind w:left="860" w:hanging="353"/>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expenses and expense allocation relating to the Transaction and Accession;</w:t>
      </w:r>
    </w:p>
    <w:p>
      <w:pPr>
        <w:spacing w:after="0" w:line="117" w:lineRule="exact"/>
        <w:rPr>
          <w:rFonts w:ascii="Times New Roman" w:cs="Times New Roman" w:eastAsia="Times New Roman" w:hAnsi="Times New Roman"/>
          <w:sz w:val="18"/>
          <w:szCs w:val="18"/>
          <w:color w:val="auto"/>
        </w:rPr>
      </w:pPr>
    </w:p>
    <w:p>
      <w:pPr>
        <w:ind w:left="860" w:hanging="353"/>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of the Transaction;</w:t>
      </w:r>
    </w:p>
    <w:p>
      <w:pPr>
        <w:spacing w:after="0" w:line="117" w:lineRule="exact"/>
        <w:rPr>
          <w:rFonts w:ascii="Times New Roman" w:cs="Times New Roman" w:eastAsia="Times New Roman" w:hAnsi="Times New Roman"/>
          <w:sz w:val="18"/>
          <w:szCs w:val="18"/>
          <w:color w:val="auto"/>
        </w:rPr>
      </w:pPr>
    </w:p>
    <w:p>
      <w:pPr>
        <w:ind w:left="860" w:hanging="353"/>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or contingent liabilities associated with the Transaction or Accession;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4" w:name="page45"/>
    <w:bookmarkEnd w:id="44"/>
    <w:p>
      <w:pPr>
        <w:ind w:left="860" w:hanging="353"/>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develop and deepen relationships with employees, including key brokers, and customers associated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Accession;</w:t>
      </w:r>
    </w:p>
    <w:p>
      <w:pPr>
        <w:spacing w:after="0" w:line="98" w:lineRule="exact"/>
        <w:rPr>
          <w:rFonts w:ascii="Times New Roman" w:cs="Times New Roman" w:eastAsia="Times New Roman" w:hAnsi="Times New Roman"/>
          <w:sz w:val="18"/>
          <w:szCs w:val="18"/>
          <w:color w:val="auto"/>
        </w:rPr>
      </w:pPr>
    </w:p>
    <w:p>
      <w:pPr>
        <w:ind w:left="860" w:hanging="353"/>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goodwill and intangibles that will result from the Transaction;</w:t>
      </w:r>
    </w:p>
    <w:p>
      <w:pPr>
        <w:spacing w:after="0" w:line="117" w:lineRule="exact"/>
        <w:rPr>
          <w:rFonts w:ascii="Times New Roman" w:cs="Times New Roman" w:eastAsia="Times New Roman" w:hAnsi="Times New Roman"/>
          <w:sz w:val="18"/>
          <w:szCs w:val="18"/>
          <w:color w:val="auto"/>
        </w:rPr>
      </w:pPr>
    </w:p>
    <w:p>
      <w:pPr>
        <w:ind w:left="860" w:hanging="353"/>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purchase accounting adjustments that we may record in our financial statements in connection with the Transaction;</w:t>
      </w:r>
    </w:p>
    <w:p>
      <w:pPr>
        <w:spacing w:after="0" w:line="117" w:lineRule="exact"/>
        <w:rPr>
          <w:rFonts w:ascii="Times New Roman" w:cs="Times New Roman" w:eastAsia="Times New Roman" w:hAnsi="Times New Roman"/>
          <w:sz w:val="18"/>
          <w:szCs w:val="18"/>
          <w:color w:val="auto"/>
        </w:rPr>
      </w:pPr>
    </w:p>
    <w:p>
      <w:pPr>
        <w:ind w:left="860" w:hanging="353"/>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integration costs, including restructuring charges and transaction costs;</w:t>
      </w:r>
    </w:p>
    <w:p>
      <w:pPr>
        <w:spacing w:after="0" w:line="117" w:lineRule="exact"/>
        <w:rPr>
          <w:rFonts w:ascii="Times New Roman" w:cs="Times New Roman" w:eastAsia="Times New Roman" w:hAnsi="Times New Roman"/>
          <w:sz w:val="18"/>
          <w:szCs w:val="18"/>
          <w:color w:val="auto"/>
        </w:rPr>
      </w:pPr>
    </w:p>
    <w:p>
      <w:pPr>
        <w:ind w:right="480" w:firstLine="507"/>
        <w:spacing w:after="0" w:line="282" w:lineRule="auto"/>
        <w:tabs>
          <w:tab w:leader="none" w:pos="8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debt offering or any other financing, or to generate and maintain needed cash from operations, to complete the Transaction and the impact of any financing on our operating results or financial condition; and</w:t>
      </w:r>
    </w:p>
    <w:p>
      <w:pPr>
        <w:spacing w:after="0" w:line="53" w:lineRule="exact"/>
        <w:rPr>
          <w:rFonts w:ascii="Times New Roman" w:cs="Times New Roman" w:eastAsia="Times New Roman" w:hAnsi="Times New Roman"/>
          <w:sz w:val="18"/>
          <w:szCs w:val="18"/>
          <w:color w:val="auto"/>
        </w:rPr>
      </w:pPr>
    </w:p>
    <w:p>
      <w:pPr>
        <w:ind w:left="860" w:hanging="353"/>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and strategic risks of the Transaction.</w:t>
      </w:r>
    </w:p>
    <w:p>
      <w:pPr>
        <w:spacing w:after="0" w:line="11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UPON COMPLETION OF THE TRANSACTION, WE WILL BE SUBJECT TO THE RISKS RELATED TO ACCESSION’S BUSINESS, INCLUDING UNDERWRITING RISK IN CONNECTION WITH CERTAIN CAPTIVE INSURANCE COMPANIES.</w:t>
      </w:r>
    </w:p>
    <w:p>
      <w:pPr>
        <w:spacing w:after="0" w:line="51" w:lineRule="exact"/>
        <w:rPr>
          <w:sz w:val="20"/>
          <w:szCs w:val="20"/>
          <w:color w:val="auto"/>
        </w:rPr>
      </w:pPr>
    </w:p>
    <w:p>
      <w:pPr>
        <w:ind w:right="400" w:firstLine="499"/>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 we will be subject to risks related to Accession’s business and will assume its insurance policies and other obligations.</w:t>
      </w:r>
    </w:p>
    <w:p>
      <w:pPr>
        <w:spacing w:after="0" w:line="54" w:lineRule="exact"/>
        <w:rPr>
          <w:sz w:val="20"/>
          <w:szCs w:val="20"/>
          <w:color w:val="auto"/>
        </w:rPr>
      </w:pPr>
    </w:p>
    <w:p>
      <w:pPr>
        <w:ind w:right="200" w:firstLine="499"/>
        <w:spacing w:after="0" w:line="254" w:lineRule="auto"/>
        <w:rPr>
          <w:sz w:val="20"/>
          <w:szCs w:val="20"/>
          <w:color w:val="auto"/>
        </w:rPr>
      </w:pPr>
      <w:r>
        <w:rPr>
          <w:rFonts w:ascii="Times New Roman" w:cs="Times New Roman" w:eastAsia="Times New Roman" w:hAnsi="Times New Roman"/>
          <w:sz w:val="18"/>
          <w:szCs w:val="18"/>
          <w:color w:val="auto"/>
        </w:rPr>
        <w:t>Accession’s ownership of one or more protected cells in certain captive insurance companies will subject us to underwriting risk through such ownership and/or participation and may also subject us to certain liabilities and expenses, including those subject to the indemnification provisions of the Merger Agreement. Accession currently owns, and may continue to own, from time to time, one or more protected cells in certain captive insurance companies for the purpose of facilitating additional underwriting capacity for certain of its customers. While Accession’s underwriting risk through any such captive insurance company would generally be limited (absent any regulatory requirement for the contribution of additional capital or contractual obligation to fund any underwriting losses in excess of contributed capital), we may be subject to claims expenses associated with any losses from these customers or programs to the extent not covered by any reinsurance. Our results of operations may be negatively impacted if any such captive insurance company incurs claims expenses.</w:t>
      </w:r>
    </w:p>
    <w:p>
      <w:pPr>
        <w:spacing w:after="0" w:line="84" w:lineRule="exact"/>
        <w:rPr>
          <w:sz w:val="20"/>
          <w:szCs w:val="20"/>
          <w:color w:val="auto"/>
        </w:rPr>
      </w:pPr>
    </w:p>
    <w:p>
      <w:pPr>
        <w:ind w:right="180" w:firstLine="499"/>
        <w:spacing w:after="0" w:line="258" w:lineRule="auto"/>
        <w:rPr>
          <w:sz w:val="20"/>
          <w:szCs w:val="20"/>
          <w:color w:val="auto"/>
        </w:rPr>
      </w:pPr>
      <w:r>
        <w:rPr>
          <w:rFonts w:ascii="Times New Roman" w:cs="Times New Roman" w:eastAsia="Times New Roman" w:hAnsi="Times New Roman"/>
          <w:sz w:val="18"/>
          <w:szCs w:val="18"/>
          <w:color w:val="auto"/>
        </w:rPr>
        <w:t>Relatedly, we cannot predict the ultimate outcome of the litigation pending against Accession’s subsidiary, Oxford Risk Management Group LLC, with respect to the 2024 restructuring of the domicile of certain financial guarantee and final judgment preservation policies for segregated captive cells (the “FG Policies”), including remedies, damage awards or adverse results in such litigation, and any similar proceedings could have a material adverse effect on us. Our results of operations would be negatively impacted if the costs of the claims relating to the FG Policies exceed the value of the cash and stock held in the indemnity escrow fund pursuant to the terms of the Merger Agreement.</w:t>
      </w:r>
    </w:p>
    <w:p>
      <w:pPr>
        <w:spacing w:after="0" w:line="75" w:lineRule="exact"/>
        <w:rPr>
          <w:sz w:val="20"/>
          <w:szCs w:val="20"/>
          <w:color w:val="auto"/>
        </w:rPr>
      </w:pPr>
    </w:p>
    <w:p>
      <w:pPr>
        <w:ind w:right="160" w:firstLine="499"/>
        <w:spacing w:after="0" w:line="255" w:lineRule="auto"/>
        <w:rPr>
          <w:sz w:val="20"/>
          <w:szCs w:val="20"/>
          <w:color w:val="auto"/>
        </w:rPr>
      </w:pPr>
      <w:r>
        <w:rPr>
          <w:rFonts w:ascii="Times New Roman" w:cs="Times New Roman" w:eastAsia="Times New Roman" w:hAnsi="Times New Roman"/>
          <w:sz w:val="18"/>
          <w:szCs w:val="18"/>
          <w:color w:val="auto"/>
        </w:rPr>
        <w:t>In addition, Accession has an advisory services business that assists certain clients with the establishment of captive insurance companies, for their own purposes, which leverage the benefits of Section 831(b) of the Internal Revenue Code of 1986, as amended, and which are subject to audit and oversight from the Internal Revenue Service (“IRS”). The IRS has conducted investigations, and may be conducting investigations, of certain peers of Accession that also provide similar services, with respect to whether or not such third parties are acting as a tax shelter promoter in connection with those operations. If the IRS were to disallow 831(b) elections, modify its guidance around 831(b) elections, or otherwise investigate our business and conclude that we are not in compliance with IRS regulations, whether or not merited, those events could harm our business, results of operations and financial condition.</w:t>
      </w:r>
    </w:p>
    <w:p>
      <w:pPr>
        <w:spacing w:after="0" w:line="81" w:lineRule="exact"/>
        <w:rPr>
          <w:sz w:val="20"/>
          <w:szCs w:val="20"/>
          <w:color w:val="auto"/>
        </w:rPr>
      </w:pPr>
    </w:p>
    <w:p>
      <w:pPr>
        <w:ind w:right="220" w:firstLine="499"/>
        <w:spacing w:after="0" w:line="282" w:lineRule="auto"/>
        <w:rPr>
          <w:sz w:val="20"/>
          <w:szCs w:val="20"/>
          <w:color w:val="auto"/>
        </w:rPr>
      </w:pPr>
      <w:r>
        <w:rPr>
          <w:rFonts w:ascii="Times New Roman" w:cs="Times New Roman" w:eastAsia="Times New Roman" w:hAnsi="Times New Roman"/>
          <w:sz w:val="18"/>
          <w:szCs w:val="18"/>
          <w:color w:val="auto"/>
        </w:rPr>
        <w:t>Furthermore, where our businesses overlap, any risks we face may be intensified due to the Transaction. This may exacerbate the risks we already undertake, as described in our 2024 10-K under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 of shares of our common stock during the three months ended June 30,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36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960" w:type="dxa"/>
            <w:vAlign w:val="bottom"/>
          </w:tcPr>
          <w:p>
            <w:pPr>
              <w:jc w:val="center"/>
              <w:ind w:left="328"/>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left="12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5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40"/>
              <w:spacing w:after="0" w:line="175" w:lineRule="exact"/>
              <w:rPr>
                <w:sz w:val="20"/>
                <w:szCs w:val="20"/>
                <w:color w:val="auto"/>
              </w:rPr>
            </w:pPr>
            <w:r>
              <w:rPr>
                <w:rFonts w:ascii="Times New Roman" w:cs="Times New Roman" w:eastAsia="Times New Roman" w:hAnsi="Times New Roman"/>
                <w:sz w:val="14"/>
                <w:szCs w:val="14"/>
                <w:b w:val="1"/>
                <w:bCs w:val="1"/>
                <w:color w:val="auto"/>
                <w:w w:val="94"/>
              </w:rPr>
              <w:t xml:space="preserve">or programs </w:t>
            </w:r>
            <w:r>
              <w:rPr>
                <w:rFonts w:ascii="Times New Roman" w:cs="Times New Roman" w:eastAsia="Times New Roman" w:hAnsi="Times New Roman"/>
                <w:sz w:val="19"/>
                <w:szCs w:val="19"/>
                <w:b w:val="1"/>
                <w:bCs w:val="1"/>
                <w:color w:val="auto"/>
                <w:w w:val="94"/>
                <w:vertAlign w:val="superscript"/>
              </w:rPr>
              <w:t>(2)(3)</w:t>
            </w:r>
          </w:p>
        </w:tc>
        <w:tc>
          <w:tcPr>
            <w:tcW w:w="0" w:type="dxa"/>
            <w:vAlign w:val="bottom"/>
          </w:tcPr>
          <w:p>
            <w:pPr>
              <w:spacing w:after="0"/>
              <w:rPr>
                <w:sz w:val="1"/>
                <w:szCs w:val="1"/>
                <w:color w:val="auto"/>
              </w:rPr>
            </w:pPr>
          </w:p>
        </w:tc>
      </w:tr>
      <w:tr>
        <w:trPr>
          <w:trHeight w:val="21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5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2025 to May 31, 2025</w:t>
            </w:r>
          </w:p>
        </w:tc>
        <w:tc>
          <w:tcPr>
            <w:tcW w:w="5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98"/>
              </w:rPr>
              <w:t>4,963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111.16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2025 to June 30, 2025</w:t>
            </w:r>
          </w:p>
        </w:tc>
        <w:tc>
          <w:tcPr>
            <w:tcW w:w="9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8"/>
        </w:trPr>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98"/>
              </w:rPr>
              <w:t>5,046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111.16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630"/>
        </w:trPr>
        <w:tc>
          <w:tcPr>
            <w:tcW w:w="586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-1053465</wp:posOffset>
            </wp:positionV>
            <wp:extent cx="857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-1053465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-1053465</wp:posOffset>
            </wp:positionV>
            <wp:extent cx="857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left="640" w:right="120" w:hanging="377"/>
        <w:spacing w:after="0" w:line="261"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reported in this column are attributable to shares withheld for taxes in connection with vesting of restricted stock awards and restricted stock units under our 2019 Stock Incentive Plan.</w:t>
      </w:r>
    </w:p>
    <w:p>
      <w:pPr>
        <w:ind w:left="640" w:right="60" w:hanging="377"/>
        <w:spacing w:after="0" w:line="250"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2014, the Board of Directors authorized the repurchase of up to $200 million of the Company's shares of common stock, and on July 20, 2015, the Board of Directors authorized the repurchase of an additional $400 million of the Company's shares of common stock. On May 1, 2019, the Board of Directors approved an additional repurchase authorization amount of $373 million to bring the total available share repurchase authorization to approximately $500 million. After completing these open market repurchases, the Company’s outstanding Board approved share repurchase authorization is approximately $249 million. Between January 1, 2014 and June 30, 2025, the Company repurchased a total of approximately 20 million shares for an aggregate cost of approximately $748 million.</w:t>
      </w:r>
    </w:p>
    <w:p>
      <w:pPr>
        <w:spacing w:after="0" w:line="2"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values stated in millions.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second quarter of 2025, none of the Company’s officers or directors adopted or terminated any “Rule 10b5-1 trading arrangement” or any “non-Rule 10b5-1 trading arrangement,” as each term is defined in Item 408 of Regulation S-K.</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exhibits are filed as a part of this Report:</w:t>
            </w:r>
          </w:p>
        </w:tc>
      </w:tr>
      <w:tr>
        <w:trPr>
          <w:trHeight w:val="4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3"/>
              </w:rPr>
              <w:t>2.1**</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Agreement and Plan of Merger, dated June 10, 2025, by and among RSC Topco, Inc, Brown &amp; Brown, Inc., Encore Merger Sub, Inc., and</w:t>
              </w:r>
            </w:hyperlink>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80" w:type="dxa"/>
            <w:vAlign w:val="bottom"/>
            <w:gridSpan w:val="12"/>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Kelso RSC (Investor), L.P. (incorporated by reference to Exhibit 2.1 to Form 8-K filed on June 10, 2025).</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Amended and Restated Articles of Incorporation of the Company (adopted January 18, 2023) (incorporated by reference to Exhibit 3.1 to</w:t>
              </w:r>
            </w:hyperlink>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80" w:type="dxa"/>
            <w:vAlign w:val="bottom"/>
            <w:gridSpan w:val="12"/>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Form 8-K filed on January 19, 2023).</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Amended and Restated By-Laws (incorporated by reference to Exhibit 3.2 to Form 8-K filed on January 19, 2023).</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Sixth Supplemental Indenture, dated as of June 23, 2025, between Brown &amp; Brown, Inc. and U.S. Bank Trust Company, National</w:t>
              </w:r>
            </w:hyperlink>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80" w:type="dxa"/>
            <w:vAlign w:val="bottom"/>
            <w:gridSpan w:val="12"/>
          </w:tcPr>
          <w:p>
            <w:pPr>
              <w:spacing w:after="0" w:line="196" w:lineRule="exact"/>
              <w:rPr>
                <w:rFonts w:ascii="Times New Roman" w:cs="Times New Roman" w:eastAsia="Times New Roman" w:hAnsi="Times New Roman"/>
                <w:sz w:val="18"/>
                <w:szCs w:val="18"/>
                <w:color w:val="0000FF"/>
                <w:w w:val="99"/>
              </w:rPr>
            </w:pPr>
            <w:hyperlink r:id="rId418">
              <w:r>
                <w:rPr>
                  <w:rFonts w:ascii="Times New Roman" w:cs="Times New Roman" w:eastAsia="Times New Roman" w:hAnsi="Times New Roman"/>
                  <w:sz w:val="18"/>
                  <w:szCs w:val="18"/>
                  <w:color w:val="0000FF"/>
                  <w:w w:val="99"/>
                </w:rPr>
                <w:t>Association (as successor to U.S. Bank National Association) (incorporated by reference to Exhibit 4.2 to Form 8-K filed on June 23, 2025).</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Form of Brown &amp; Brown, Inc.’s 4.600% Notes due 2026 (incorporated by reference to Exhibit 4.3 to Form 8-K filed on June 23, 2025).</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Form of Brown &amp; Brown, Inc.’s 4.700% Notes due 2028 (incorporated by reference to Exhibit 4.4 to Form 8-K filed on June 23, 2025).</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Form of Brown &amp; Brown, Inc.’s 4.900% Notes due 2030 (incorporated by reference to Exhibit 4.5 to Form 8-K filed on June 23, 2025).</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Form of Brown &amp; Brown, Inc.’s 5.250% Notes due 2032 (incorporated by reference to Exhibit 4.6 to Form 8-K filed on June 23, 2025).</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Form of Brown &amp; Brown, Inc.’s 5.550% Notes due 2035 (incorporated by reference to Exhibit 4.7 to Form 8-K filed on June 23, 2025).</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Form of Brown &amp; Brown, Inc.’s 6.250% Notes due 2055 (incorporated by reference to Exhibit 4.8 to Form 8-K filed on June 23, 2025).</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Brown &amp; Brown, Inc. Amended and Restated 2019 Stock Incentive Plan (incorporated by reference to Exhibit 10.1 to Form 8-K filed on</w:t>
              </w:r>
            </w:hyperlink>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8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80" w:type="dxa"/>
            <w:vAlign w:val="bottom"/>
            <w:gridSpan w:val="12"/>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May 12, 2025).</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3"/>
              </w:rPr>
              <w:t>10.2*</w:t>
            </w:r>
          </w:p>
        </w:tc>
        <w:tc>
          <w:tcPr>
            <w:tcW w:w="6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Brown &amp; Brown, Inc. Amended and Restated 1990 Teammate Stock Purchase Plan.</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Rule 13a-14(a)/15d-14(a) Certification by the Chief Executive Officer of the Registrant.</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7"/>
          </w:tcPr>
          <w:p>
            <w:pPr>
              <w:spacing w:after="0" w:line="20" w:lineRule="exact"/>
              <w:rPr>
                <w:sz w:val="1"/>
                <w:szCs w:val="1"/>
                <w:color w:val="auto"/>
              </w:rPr>
            </w:pPr>
          </w:p>
        </w:tc>
      </w:tr>
      <w:tr>
        <w:trPr>
          <w:trHeight w:val="31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Rule 13a-14(a)/15d-14(a) Certification by the Chief Financial Officer of the Registrant.</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Section 1350 Certification by the Chief Executive Officer of the Registrant.</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3"/>
            <w:shd w:val="clear" w:color="auto" w:fill="0000FF"/>
          </w:tcPr>
          <w:p>
            <w:pPr>
              <w:spacing w:after="0" w:line="20" w:lineRule="exact"/>
              <w:rPr>
                <w:sz w:val="1"/>
                <w:szCs w:val="1"/>
                <w:color w:val="auto"/>
              </w:rPr>
            </w:pPr>
          </w:p>
        </w:tc>
        <w:tc>
          <w:tcPr>
            <w:tcW w:w="4680" w:type="dxa"/>
            <w:vAlign w:val="bottom"/>
            <w:tcBorders>
              <w:left w:val="single" w:sz="8" w:color="0000FF"/>
            </w:tcBorders>
            <w:gridSpan w:val="9"/>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Section 1350 Certification by the Chief Financial Officer of the Registrant.</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80" w:right="160" w:hanging="982"/>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June 30, 2025, formatted in inline XBRL, include: (i) Condensed Consolidated Statements of Income, (ii) Condensed Consolidated Balance Sheets, (iii) Condensed Consolidated Statements of Comprehensive Income, (iv) Condensed Consolidated Statements of Equity, (v) Condensed Consolidated Statements of Cash Flows and (vi) the Notes to the Condensed Consolidated Financial Statements.</w:t>
      </w:r>
    </w:p>
    <w:p>
      <w:pPr>
        <w:spacing w:after="0" w:line="85" w:lineRule="exact"/>
        <w:rPr>
          <w:sz w:val="20"/>
          <w:szCs w:val="20"/>
          <w:color w:val="auto"/>
        </w:rPr>
      </w:pPr>
    </w:p>
    <w:p>
      <w:pPr>
        <w:ind w:left="1080" w:hanging="982"/>
        <w:spacing w:after="0"/>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right="20" w:firstLine="8"/>
        <w:spacing w:after="0" w:line="255" w:lineRule="auto"/>
        <w:tabs>
          <w:tab w:leader="none" w:pos="2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601(b)(2) of Regulation S-K. The Company hereby undertakes to furnish supplemental copies of any of the omitted exhibits and schedules upon request by the SEC; provided, however, that the Company may request confidential treatment pursuant to Rule 24b-2 of the Exchange Act, for any exhibits or schedules so furnished.</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BROWN &amp; BROWN, INC.</w:t>
            </w:r>
          </w:p>
        </w:tc>
      </w:tr>
      <w:tr>
        <w:trPr>
          <w:trHeight w:val="473"/>
        </w:trPr>
        <w:tc>
          <w:tcPr>
            <w:tcW w:w="3480" w:type="dxa"/>
            <w:vAlign w:val="bottom"/>
          </w:tcPr>
          <w:p>
            <w:pPr>
              <w:spacing w:after="0"/>
              <w:rPr>
                <w:sz w:val="24"/>
                <w:szCs w:val="24"/>
                <w:color w:val="auto"/>
              </w:rPr>
            </w:pPr>
          </w:p>
        </w:tc>
        <w:tc>
          <w:tcPr>
            <w:tcW w:w="77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/s/ R. Andrew Watts</w:t>
            </w: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28, 2025</w:t>
            </w:r>
          </w:p>
        </w:tc>
        <w:tc>
          <w:tcPr>
            <w:tcW w:w="226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 Andrew Watts</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(duly authorized officer, principal financial officer and principal</w:t>
            </w:r>
          </w:p>
        </w:tc>
      </w:tr>
      <w:tr>
        <w:trPr>
          <w:trHeight w:val="238"/>
        </w:trPr>
        <w:tc>
          <w:tcPr>
            <w:tcW w:w="3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accounting officer)</w:t>
            </w:r>
          </w:p>
        </w:tc>
      </w:tr>
      <w:tr>
        <w:trPr>
          <w:trHeight w:val="648"/>
        </w:trPr>
        <w:tc>
          <w:tcPr>
            <w:tcW w:w="34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500" w:type="dxa"/>
            <w:vAlign w:val="bottom"/>
          </w:tcPr>
          <w:p>
            <w:pPr>
              <w:spacing w:after="0"/>
              <w:rPr>
                <w:sz w:val="24"/>
                <w:szCs w:val="24"/>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BROWN &amp; BROWN,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1990 TEAMMATE STOCK PURCHASE PLAN</w:t>
      </w:r>
    </w:p>
    <w:p>
      <w:pPr>
        <w:spacing w:after="0" w:line="182" w:lineRule="exact"/>
        <w:rPr>
          <w:sz w:val="20"/>
          <w:szCs w:val="20"/>
          <w:color w:val="auto"/>
        </w:rPr>
      </w:pPr>
    </w:p>
    <w:p>
      <w:pPr>
        <w:jc w:val="both"/>
        <w:ind w:firstLine="374"/>
        <w:spacing w:after="0" w:line="227" w:lineRule="auto"/>
        <w:rPr>
          <w:sz w:val="20"/>
          <w:szCs w:val="20"/>
          <w:color w:val="auto"/>
        </w:rPr>
      </w:pPr>
      <w:r>
        <w:rPr>
          <w:rFonts w:ascii="Times New Roman" w:cs="Times New Roman" w:eastAsia="Times New Roman" w:hAnsi="Times New Roman"/>
          <w:sz w:val="22"/>
          <w:szCs w:val="22"/>
          <w:color w:val="auto"/>
        </w:rPr>
        <w:t>The Brown &amp; Brown, Inc. 1990 Teammate Stock Purchase Plan (hereafter referred to as the “Plan” and formerly titled the Brown &amp; Brown, Inc. 1990 Employee Stock Purchase Plan) was originally adopted the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January, 1990. This amended and restated Plan document reflects amendments to the Plan after the original adoption date and sets forth the terms and conditions of the Plan as of May 7, 2025:</w:t>
      </w:r>
    </w:p>
    <w:p>
      <w:pPr>
        <w:spacing w:after="0" w:line="175" w:lineRule="exact"/>
        <w:rPr>
          <w:sz w:val="20"/>
          <w:szCs w:val="20"/>
          <w:color w:val="auto"/>
        </w:rPr>
      </w:pPr>
    </w:p>
    <w:p>
      <w:pPr>
        <w:ind w:firstLine="757"/>
        <w:spacing w:after="0" w:line="262" w:lineRule="auto"/>
        <w:tabs>
          <w:tab w:leader="none" w:pos="10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Except as otherwise expressly provided in this Plan, the following capitalized terms shall have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respective meanings hereafter ascribed to them:</w:t>
      </w:r>
    </w:p>
    <w:p>
      <w:pPr>
        <w:spacing w:after="0" w:line="150" w:lineRule="exact"/>
        <w:rPr>
          <w:sz w:val="20"/>
          <w:szCs w:val="20"/>
          <w:color w:val="auto"/>
        </w:rPr>
      </w:pPr>
    </w:p>
    <w:p>
      <w:pPr>
        <w:ind w:left="1500" w:hanging="743"/>
        <w:spacing w:after="0"/>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Alternate Offering Price</w:t>
      </w:r>
      <w:r>
        <w:rPr>
          <w:rFonts w:ascii="Times New Roman" w:cs="Times New Roman" w:eastAsia="Times New Roman" w:hAnsi="Times New Roman"/>
          <w:sz w:val="22"/>
          <w:szCs w:val="22"/>
          <w:color w:val="auto"/>
        </w:rPr>
        <w:t>” means 85% of the Fair Market Value of the Shares on the Purchase Date;</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Annual Open Enrollment Period</w:t>
      </w:r>
      <w:r>
        <w:rPr>
          <w:rFonts w:ascii="Times New Roman" w:cs="Times New Roman" w:eastAsia="Times New Roman" w:hAnsi="Times New Roman"/>
          <w:sz w:val="22"/>
          <w:szCs w:val="22"/>
          <w:color w:val="auto"/>
        </w:rPr>
        <w:t>” means, with respect to each Offering, the time period established by the Corporation for eligible Employees to complete and submit Enrollment Agreements for the Offering. The Annual Open Enrollment Period will be determined by the Corporation and communicated to eligible Employees before the beginning of each Offering Period.</w:t>
      </w:r>
    </w:p>
    <w:p>
      <w:pPr>
        <w:spacing w:after="0" w:line="17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means the Board of Directors of Brown &amp; Brown, Inc.;</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means a day on which the New York Stock Exchange is open for trading;</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 means the Compensation Committee of the Board;</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6" w:lineRule="auto"/>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 means an Employee’s basic gross annual salary (including commissions and overtime pay, but excluding premium pay, profit participation distributions, or approved expenses) and bonuses as of a date specified by the Corporation, projected on an annual basis;</w:t>
      </w:r>
    </w:p>
    <w:p>
      <w:pPr>
        <w:spacing w:after="0" w:line="167" w:lineRule="exact"/>
        <w:rPr>
          <w:rFonts w:ascii="Times New Roman" w:cs="Times New Roman" w:eastAsia="Times New Roman" w:hAnsi="Times New Roman"/>
          <w:sz w:val="22"/>
          <w:szCs w:val="22"/>
          <w:color w:val="auto"/>
        </w:rPr>
      </w:pPr>
    </w:p>
    <w:p>
      <w:pPr>
        <w:ind w:left="1500" w:hanging="743"/>
        <w:spacing w:after="0" w:line="262" w:lineRule="auto"/>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Corporation</w:t>
      </w:r>
      <w:r>
        <w:rPr>
          <w:rFonts w:ascii="Times New Roman" w:cs="Times New Roman" w:eastAsia="Times New Roman" w:hAnsi="Times New Roman"/>
          <w:sz w:val="22"/>
          <w:szCs w:val="22"/>
          <w:color w:val="auto"/>
        </w:rPr>
        <w:t>” means Brown &amp; Brown, Inc., a Florida corporation, and each and all of any present and future Participating Subsidiaries of Brown &amp; Brown, Inc.;</w:t>
      </w:r>
    </w:p>
    <w:p>
      <w:pPr>
        <w:spacing w:after="0" w:line="14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“Effective Date” </w:t>
      </w:r>
      <w:r>
        <w:rPr>
          <w:rFonts w:ascii="Times New Roman" w:cs="Times New Roman" w:eastAsia="Times New Roman" w:hAnsi="Times New Roman"/>
          <w:sz w:val="22"/>
          <w:szCs w:val="22"/>
          <w:color w:val="auto"/>
        </w:rPr>
        <w:t>means:</w:t>
      </w:r>
    </w:p>
    <w:p>
      <w:pPr>
        <w:spacing w:after="0" w:line="210"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Business Day of the Offering Period, with respect to a participating Employee who is an eligible Employee on the first Business Day of the Offering Period, or</w:t>
      </w:r>
    </w:p>
    <w:p>
      <w:pPr>
        <w:spacing w:after="0" w:line="158"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day of the month following the eligible Employee’s completion of 30 days employment with the Corporation, with respect to a participating Employee who has not completed 30 days of employment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9" w:name="page50"/>
    <w:bookmarkEnd w:id="49"/>
    <w:p>
      <w:pPr>
        <w:jc w:val="both"/>
        <w:ind w:left="1503"/>
        <w:spacing w:after="0" w:line="244" w:lineRule="auto"/>
        <w:rPr>
          <w:sz w:val="20"/>
          <w:szCs w:val="20"/>
          <w:color w:val="auto"/>
        </w:rPr>
      </w:pPr>
      <w:r>
        <w:rPr>
          <w:rFonts w:ascii="Times New Roman" w:cs="Times New Roman" w:eastAsia="Times New Roman" w:hAnsi="Times New Roman"/>
          <w:sz w:val="22"/>
          <w:szCs w:val="22"/>
          <w:color w:val="auto"/>
        </w:rPr>
        <w:t>Corporation as of the first Business Day of the Offering Period and who becomes an eligible Employee as a result of his completion of 30 days of employment with the Corporation on a date occurring in the Offering Period.</w:t>
      </w:r>
    </w:p>
    <w:p>
      <w:pPr>
        <w:spacing w:after="0" w:line="169" w:lineRule="exact"/>
        <w:rPr>
          <w:sz w:val="20"/>
          <w:szCs w:val="20"/>
          <w:color w:val="auto"/>
        </w:rPr>
      </w:pPr>
    </w:p>
    <w:p>
      <w:pPr>
        <w:ind w:left="743" w:hanging="743"/>
        <w:spacing w:after="0"/>
        <w:tabs>
          <w:tab w:leader="none" w:pos="7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Employee</w:t>
      </w:r>
      <w:r>
        <w:rPr>
          <w:rFonts w:ascii="Times New Roman" w:cs="Times New Roman" w:eastAsia="Times New Roman" w:hAnsi="Times New Roman"/>
          <w:sz w:val="22"/>
          <w:szCs w:val="22"/>
          <w:color w:val="auto"/>
        </w:rPr>
        <w:t>” means an employee of the Corporation;</w:t>
      </w:r>
    </w:p>
    <w:p>
      <w:pPr>
        <w:spacing w:after="0" w:line="206" w:lineRule="exact"/>
        <w:rPr>
          <w:rFonts w:ascii="Times New Roman" w:cs="Times New Roman" w:eastAsia="Times New Roman" w:hAnsi="Times New Roman"/>
          <w:sz w:val="22"/>
          <w:szCs w:val="22"/>
          <w:color w:val="auto"/>
        </w:rPr>
      </w:pPr>
    </w:p>
    <w:p>
      <w:pPr>
        <w:jc w:val="both"/>
        <w:ind w:left="743" w:hanging="743"/>
        <w:spacing w:after="0" w:line="238" w:lineRule="auto"/>
        <w:tabs>
          <w:tab w:leader="none" w:pos="7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Enrollment Agreement</w:t>
      </w:r>
      <w:r>
        <w:rPr>
          <w:rFonts w:ascii="Times New Roman" w:cs="Times New Roman" w:eastAsia="Times New Roman" w:hAnsi="Times New Roman"/>
          <w:sz w:val="22"/>
          <w:szCs w:val="22"/>
          <w:color w:val="auto"/>
        </w:rPr>
        <w:t>” means the agreement in such written, electronic, or other format and pursuant to such written, electronic, or other procedures as may be specified from time to time by the Corporation whereby an eligible Employee elects to participate in an Offering by authorizing payroll deduction contributions and subscribing for a maximum number of Shares, or elects to make changes with respect to such participation as permitted by this Plan;</w:t>
      </w:r>
    </w:p>
    <w:p>
      <w:pPr>
        <w:spacing w:after="0" w:line="176"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Fair Market Value</w:t>
      </w:r>
      <w:r>
        <w:rPr>
          <w:rFonts w:ascii="Times New Roman" w:cs="Times New Roman" w:eastAsia="Times New Roman" w:hAnsi="Times New Roman"/>
          <w:sz w:val="22"/>
          <w:szCs w:val="22"/>
          <w:color w:val="auto"/>
        </w:rPr>
        <w:t xml:space="preserve">” means, as of any date, the closing price of a Share on the New York Stock Exchange (as published by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that the Corporation determines to be reliable) on such date, or if no Shares were traded on such date, on the immediately preceding day on which Shares were traded;</w:t>
      </w:r>
    </w:p>
    <w:p>
      <w:pPr>
        <w:spacing w:after="0" w:line="171" w:lineRule="exact"/>
        <w:rPr>
          <w:rFonts w:ascii="Times New Roman" w:cs="Times New Roman" w:eastAsia="Times New Roman" w:hAnsi="Times New Roman"/>
          <w:sz w:val="22"/>
          <w:szCs w:val="22"/>
          <w:color w:val="auto"/>
        </w:rPr>
      </w:pPr>
    </w:p>
    <w:p>
      <w:pPr>
        <w:ind w:left="743" w:hanging="743"/>
        <w:spacing w:after="0" w:line="262" w:lineRule="auto"/>
        <w:tabs>
          <w:tab w:leader="none" w:pos="7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Offering Price</w:t>
      </w:r>
      <w:r>
        <w:rPr>
          <w:rFonts w:ascii="Times New Roman" w:cs="Times New Roman" w:eastAsia="Times New Roman" w:hAnsi="Times New Roman"/>
          <w:sz w:val="22"/>
          <w:szCs w:val="22"/>
          <w:color w:val="auto"/>
        </w:rPr>
        <w:t>” means 85% of the Fair Market Value of the Shares on the first Business Day of the Offering Period;</w:t>
      </w:r>
    </w:p>
    <w:p>
      <w:pPr>
        <w:spacing w:after="0" w:line="149" w:lineRule="exact"/>
        <w:rPr>
          <w:rFonts w:ascii="Times New Roman" w:cs="Times New Roman" w:eastAsia="Times New Roman" w:hAnsi="Times New Roman"/>
          <w:sz w:val="22"/>
          <w:szCs w:val="22"/>
          <w:color w:val="auto"/>
        </w:rPr>
      </w:pPr>
    </w:p>
    <w:p>
      <w:pPr>
        <w:jc w:val="both"/>
        <w:ind w:left="743" w:hanging="743"/>
        <w:spacing w:after="0" w:line="237" w:lineRule="auto"/>
        <w:tabs>
          <w:tab w:leader="none" w:pos="7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Offering</w:t>
      </w:r>
      <w:r>
        <w:rPr>
          <w:rFonts w:ascii="Times New Roman" w:cs="Times New Roman" w:eastAsia="Times New Roman" w:hAnsi="Times New Roman"/>
          <w:sz w:val="22"/>
          <w:szCs w:val="22"/>
          <w:color w:val="auto"/>
        </w:rPr>
        <w:t>” means a grant to eligible Employees of rights to subscribe for and purchase Shares during an Offering Period, with the exercise of such purchase rights automatically occurring at the end of the Offering Period. To the extent permitted under the terms of the Plan and Section 423 of the Code, the Teammate Stock Purchase Plan Committee may designate separate Offerings under the Plan (the terms of which need not be identical) in which eligible Employees of one or more of the Corporation entities will participate, even if the dates of the offerings are identical.</w:t>
      </w:r>
    </w:p>
    <w:p>
      <w:pPr>
        <w:spacing w:after="0" w:line="175"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Offering Period</w:t>
      </w:r>
      <w:r>
        <w:rPr>
          <w:rFonts w:ascii="Times New Roman" w:cs="Times New Roman" w:eastAsia="Times New Roman" w:hAnsi="Times New Roman"/>
          <w:sz w:val="22"/>
          <w:szCs w:val="22"/>
          <w:color w:val="auto"/>
        </w:rPr>
        <w:t>” means the period of approximately 12 months commencing on the first Business Day on or after August 1 and terminating on the last Business Day occurring in the period ending the following July 31, provided that the commencement dates and duration of Offering Periods may be changed pursuant to Article 5 and may be different for separate Offerings;</w:t>
      </w:r>
    </w:p>
    <w:p>
      <w:pPr>
        <w:spacing w:after="0" w:line="171" w:lineRule="exact"/>
        <w:rPr>
          <w:rFonts w:ascii="Times New Roman" w:cs="Times New Roman" w:eastAsia="Times New Roman" w:hAnsi="Times New Roman"/>
          <w:sz w:val="22"/>
          <w:szCs w:val="22"/>
          <w:color w:val="auto"/>
        </w:rPr>
      </w:pPr>
    </w:p>
    <w:p>
      <w:pPr>
        <w:jc w:val="both"/>
        <w:ind w:left="743" w:hanging="743"/>
        <w:spacing w:after="0" w:line="246" w:lineRule="auto"/>
        <w:tabs>
          <w:tab w:leader="none" w:pos="7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Participating Subsidiary</w:t>
      </w:r>
      <w:r>
        <w:rPr>
          <w:rFonts w:ascii="Times New Roman" w:cs="Times New Roman" w:eastAsia="Times New Roman" w:hAnsi="Times New Roman"/>
          <w:sz w:val="22"/>
          <w:szCs w:val="22"/>
          <w:color w:val="auto"/>
        </w:rPr>
        <w:t>” means any corporation or other entity that is a subsidiary of the Corporation, meets the definition of “Subsidiary Corporation” contained in Section 424(f) of the Code, and is designated by the Teammate Stock Purchase Plan Committee as eligible to participate in the Plan;</w:t>
      </w:r>
    </w:p>
    <w:p>
      <w:pPr>
        <w:spacing w:after="0" w:line="167"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Purchase Date</w:t>
      </w:r>
      <w:r>
        <w:rPr>
          <w:rFonts w:ascii="Times New Roman" w:cs="Times New Roman" w:eastAsia="Times New Roman" w:hAnsi="Times New Roman"/>
          <w:sz w:val="22"/>
          <w:szCs w:val="22"/>
          <w:color w:val="auto"/>
        </w:rPr>
        <w:t>” means the last Business Day of the Offering Period;</w:t>
      </w:r>
    </w:p>
    <w:p>
      <w:pPr>
        <w:spacing w:after="0" w:line="206" w:lineRule="exact"/>
        <w:rPr>
          <w:rFonts w:ascii="Times New Roman" w:cs="Times New Roman" w:eastAsia="Times New Roman" w:hAnsi="Times New Roman"/>
          <w:sz w:val="22"/>
          <w:szCs w:val="22"/>
          <w:color w:val="auto"/>
        </w:rPr>
      </w:pPr>
    </w:p>
    <w:p>
      <w:pPr>
        <w:ind w:left="743" w:hanging="743"/>
        <w:spacing w:after="0" w:line="262" w:lineRule="auto"/>
        <w:tabs>
          <w:tab w:leader="none" w:pos="7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Share</w:t>
      </w:r>
      <w:r>
        <w:rPr>
          <w:rFonts w:ascii="Times New Roman" w:cs="Times New Roman" w:eastAsia="Times New Roman" w:hAnsi="Times New Roman"/>
          <w:sz w:val="22"/>
          <w:szCs w:val="22"/>
          <w:color w:val="auto"/>
        </w:rPr>
        <w:t>” means a share of the common stock of Brown &amp; Brown, Inc., par value $.10 per share, or another security resulting from an adjustment under Article 20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993775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50" w:name="page51"/>
    <w:bookmarkEnd w:id="50"/>
    <w:p>
      <w:pPr>
        <w:ind w:left="743" w:right="20" w:hanging="743"/>
        <w:spacing w:after="0" w:line="262" w:lineRule="auto"/>
        <w:tabs>
          <w:tab w:leader="none" w:pos="74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Teammate Stock Purchase Plan Committee</w:t>
      </w:r>
      <w:r>
        <w:rPr>
          <w:rFonts w:ascii="Times New Roman" w:cs="Times New Roman" w:eastAsia="Times New Roman" w:hAnsi="Times New Roman"/>
          <w:sz w:val="22"/>
          <w:szCs w:val="22"/>
          <w:color w:val="auto"/>
        </w:rPr>
        <w:t>” means a committee consisting of two or more management employees of the Corporation appointed in accordance with Article 4.</w:t>
      </w:r>
    </w:p>
    <w:p>
      <w:pPr>
        <w:spacing w:after="0" w:line="150" w:lineRule="exact"/>
        <w:rPr>
          <w:sz w:val="20"/>
          <w:szCs w:val="20"/>
          <w:color w:val="auto"/>
        </w:rPr>
      </w:pPr>
    </w:p>
    <w:p>
      <w:pPr>
        <w:jc w:val="both"/>
        <w:ind w:left="-757" w:firstLine="757"/>
        <w:spacing w:after="0" w:line="263" w:lineRule="auto"/>
        <w:tabs>
          <w:tab w:leader="none" w:pos="26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Purpose</w:t>
      </w:r>
      <w:r>
        <w:rPr>
          <w:rFonts w:ascii="Times New Roman" w:cs="Times New Roman" w:eastAsia="Times New Roman" w:hAnsi="Times New Roman"/>
          <w:sz w:val="21"/>
          <w:szCs w:val="21"/>
          <w:color w:val="auto"/>
        </w:rPr>
        <w:t>. The purpose of this Plan is to advance the interests of the Corporation and its shareholders by facilitating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acquisition and ownership of Shares, upon the terms set forth in this Plan and any Offering, by Employees of the Corporation. The Corporation intends that the Plan qualify as an “employee stock purchase plan” under Section 423 of the Code.</w:t>
      </w:r>
    </w:p>
    <w:p>
      <w:pPr>
        <w:spacing w:after="0" w:line="151" w:lineRule="exact"/>
        <w:rPr>
          <w:rFonts w:ascii="Times New Roman" w:cs="Times New Roman" w:eastAsia="Times New Roman" w:hAnsi="Times New Roman"/>
          <w:sz w:val="21"/>
          <w:szCs w:val="21"/>
          <w:color w:val="auto"/>
        </w:rPr>
      </w:pPr>
    </w:p>
    <w:p>
      <w:pPr>
        <w:jc w:val="both"/>
        <w:ind w:left="-757" w:firstLine="757"/>
        <w:spacing w:after="0" w:line="241" w:lineRule="auto"/>
        <w:tabs>
          <w:tab w:leader="none" w:pos="26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Shares Offered</w:t>
      </w:r>
      <w:r>
        <w:rPr>
          <w:rFonts w:ascii="Times New Roman" w:cs="Times New Roman" w:eastAsia="Times New Roman" w:hAnsi="Times New Roman"/>
          <w:sz w:val="22"/>
          <w:szCs w:val="22"/>
          <w:color w:val="auto"/>
        </w:rPr>
        <w:t>. The total number of Shares available under the Plan shall be 22,000,000 Shares, which Shares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either authorized but unissued or reacquired Shares. If any subscription or portion thereof shall expire, lapse, or terminate for any reason without the rights under such subscription have been exercised in full, the unpurchased Shares covered thereby shall be added to the Shares otherwise available for Offerings.</w:t>
      </w:r>
    </w:p>
    <w:p>
      <w:pPr>
        <w:spacing w:after="0" w:line="171" w:lineRule="exact"/>
        <w:rPr>
          <w:rFonts w:ascii="Times New Roman" w:cs="Times New Roman" w:eastAsia="Times New Roman" w:hAnsi="Times New Roman"/>
          <w:sz w:val="22"/>
          <w:szCs w:val="22"/>
          <w:color w:val="auto"/>
        </w:rPr>
      </w:pPr>
    </w:p>
    <w:p>
      <w:pPr>
        <w:jc w:val="both"/>
        <w:ind w:left="-757" w:firstLine="757"/>
        <w:spacing w:after="0" w:line="241" w:lineRule="auto"/>
        <w:tabs>
          <w:tab w:leader="none" w:pos="26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Administration</w:t>
      </w:r>
      <w:r>
        <w:rPr>
          <w:rFonts w:ascii="Times New Roman" w:cs="Times New Roman" w:eastAsia="Times New Roman" w:hAnsi="Times New Roman"/>
          <w:sz w:val="22"/>
          <w:szCs w:val="22"/>
          <w:color w:val="auto"/>
        </w:rPr>
        <w:t>. Prior to July 20, 2021, the Plan was administered by the Compensation Committee. Effective July 20,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2021, the Compensation Committee delegates certain administrative responsibilities and authorizations to an Teammate Stock Purchase Plan Committee. As a result of this delegation, the Teammate Stock Purchase Plan Committee shall have the full and final power and authority, in its sole discretion, to:</w:t>
      </w:r>
    </w:p>
    <w:p>
      <w:pPr>
        <w:spacing w:after="0" w:line="175"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separate Offerings in accordance with Article 1(o);</w:t>
      </w:r>
    </w:p>
    <w:p>
      <w:pPr>
        <w:spacing w:after="0" w:line="206"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Participating Subsidiaries in accordance with Article 1(q);</w:t>
      </w:r>
    </w:p>
    <w:p>
      <w:pPr>
        <w:spacing w:after="0" w:line="206"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commencement dates and duration of Offering Periods in accordance with Article 5;</w:t>
      </w:r>
    </w:p>
    <w:p>
      <w:pPr>
        <w:spacing w:after="0" w:line="206" w:lineRule="exact"/>
        <w:rPr>
          <w:rFonts w:ascii="Times New Roman" w:cs="Times New Roman" w:eastAsia="Times New Roman" w:hAnsi="Times New Roman"/>
          <w:sz w:val="22"/>
          <w:szCs w:val="22"/>
          <w:color w:val="auto"/>
        </w:rPr>
      </w:pPr>
    </w:p>
    <w:p>
      <w:pPr>
        <w:ind w:left="-757" w:right="20" w:firstLine="1505"/>
        <w:spacing w:after="0" w:line="258" w:lineRule="auto"/>
        <w:tabs>
          <w:tab w:leader="none" w:pos="128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the 30-day employment requirement for eligibility for Participating Subsidiaries acquired or organized by the Company, in accordance with Article 6;</w:t>
      </w:r>
    </w:p>
    <w:p>
      <w:pPr>
        <w:spacing w:after="0" w:line="158"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Plan in accordance with Article 21;</w:t>
      </w:r>
    </w:p>
    <w:p>
      <w:pPr>
        <w:spacing w:after="0" w:line="206"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 pro-rata allocation of available Shares in accordance with Article 22;</w:t>
      </w:r>
    </w:p>
    <w:p>
      <w:pPr>
        <w:spacing w:after="0" w:line="206"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corrections and establish procedures in accordance with Article 31;</w:t>
      </w:r>
    </w:p>
    <w:p>
      <w:pPr>
        <w:spacing w:after="0" w:line="206"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interpret, and apply the terms of the Plan;</w:t>
      </w:r>
    </w:p>
    <w:p>
      <w:pPr>
        <w:spacing w:after="0" w:line="206"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eligibility and adjudicate all disputed claims; and</w:t>
      </w:r>
    </w:p>
    <w:p>
      <w:pPr>
        <w:spacing w:after="0" w:line="206" w:lineRule="exact"/>
        <w:rPr>
          <w:rFonts w:ascii="Times New Roman" w:cs="Times New Roman" w:eastAsia="Times New Roman" w:hAnsi="Times New Roman"/>
          <w:sz w:val="22"/>
          <w:szCs w:val="22"/>
          <w:color w:val="auto"/>
        </w:rPr>
      </w:pPr>
    </w:p>
    <w:p>
      <w:pPr>
        <w:jc w:val="both"/>
        <w:ind w:left="-757" w:firstLine="1505"/>
        <w:spacing w:after="0" w:line="239" w:lineRule="auto"/>
        <w:tabs>
          <w:tab w:leader="none" w:pos="128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amend, or rescind rules, guidelines, procedures, and policies relating to the operation and administration of the Plan, including, without limitation, to the extent permitted under Section 423 of the Code, rules, procedures, and sub-plans that the Teammate Stock Purchase Plan Committee deems necessary or desirable to comply with the laws of foreign jurisdictions whose citizens or residents may participate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1010920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4" w:right="339" w:bottom="1440" w:gutter="0" w:footer="0" w:header="0"/>
        </w:sectPr>
      </w:pPr>
    </w:p>
    <w:bookmarkStart w:id="51" w:name="page52"/>
    <w:bookmarkEnd w:id="51"/>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Teammate Stock Purchase Plan Committee shall have full power and authority with respect to the Plan, except those powers and authorizations specifically reserved to the Compensation Committee or the Board, and subject at all times to the terms of the Plan and any applicable limitations imposed by applicable law. No member of the Board or the Compensation Committee or the Teammate Stock Purchase Plan Committee shall be liable for any action, omission to act, or determination made in good faith. Any determination of the Compensation Committee or the Teammate Stock Purchase Plan Committee concerning the Plan, or the construction or interpretation by the Teammate Stock Purchase Plan Committee of any provision of the Plan, shall be conclusive unless otherwise determined by the Board.</w:t>
      </w:r>
    </w:p>
    <w:p>
      <w:pPr>
        <w:spacing w:after="0" w:line="179" w:lineRule="exact"/>
        <w:rPr>
          <w:sz w:val="20"/>
          <w:szCs w:val="20"/>
          <w:color w:val="auto"/>
        </w:rPr>
      </w:pPr>
    </w:p>
    <w:p>
      <w:pPr>
        <w:jc w:val="both"/>
        <w:ind w:firstLine="757"/>
        <w:spacing w:after="0" w:line="238" w:lineRule="auto"/>
        <w:tabs>
          <w:tab w:leader="none" w:pos="10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Offerings</w:t>
      </w:r>
      <w:r>
        <w:rPr>
          <w:rFonts w:ascii="Times New Roman" w:cs="Times New Roman" w:eastAsia="Times New Roman" w:hAnsi="Times New Roman"/>
          <w:sz w:val="22"/>
          <w:szCs w:val="22"/>
          <w:color w:val="auto"/>
        </w:rPr>
        <w:t>. The Corporation shall make Offerings to eligible Employees in consecutive Offering Periods until the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terminated in accordance with Article 21. With respect to each such Offering, the Corporation shall specify the procedures and time period for enrollment in the Offering. Subject to the requirements of Article 21, the Teammate Stock Purchase Plan Committee shall have the authority to change the commencement dates and duration of Offering Periods with respect to future Offerings.</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Eligibility</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who is employed by the Corporation, other than:</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whose customary employment is less than 20 hours per week, and</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whose customary employment is for not more than five months in any calendar year,</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shall be eligible to participate in the Plan beginning on the first day of the month following that person’s completion of 30 days employment with the Corporation. Notwithstanding the 30-day employment requirement specified above, the Teammate Stock Purchase Plan Committee, in its sole discretion, may waive this requirement in the case of any Employee of Subsidiaries acquired or organized by the Corporation. The word “Employees” shall include officers of the Corporation but not persons who are non-Employee directors.</w:t>
      </w:r>
    </w:p>
    <w:p>
      <w:pPr>
        <w:spacing w:after="0" w:line="177" w:lineRule="exact"/>
        <w:rPr>
          <w:sz w:val="20"/>
          <w:szCs w:val="20"/>
          <w:color w:val="auto"/>
        </w:rPr>
      </w:pPr>
    </w:p>
    <w:p>
      <w:pPr>
        <w:ind w:left="2040" w:hanging="535"/>
        <w:spacing w:after="0"/>
        <w:tabs>
          <w:tab w:leader="none" w:pos="20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customary employment requirements specified in paragraph (a) of this Article:</w:t>
      </w:r>
    </w:p>
    <w:p>
      <w:pPr>
        <w:spacing w:after="0" w:line="20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each Offering may provide different exclusions of Employees, as permitted and within the applicable limitations described in Treasury Regulation Section 1.423-2(e)(1), (2) and (3), provided that the exclusions established with respect to a particular Offering must be applied in an identical manner to all Employees of the Corporation entity whose Employees are granted options under the Offering; and</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who is a citizen or resident of a foreign jurisdiction (without regard to whether such Employee is also a citizen of the United States or a resident alien (within the meaning of Section 7701(b)(1)(A)) of the Code) may be excluded from participation in the Plan or any Offering if such Employee’s participation in the Plan or the Offering is prohibited under the laws of such jurisdiction, or compliance with the laws of the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jurisdiction would cause the Plan or Offering to violate the requirements of Section 423 of the Code.</w:t>
      </w:r>
    </w:p>
    <w:p>
      <w:pPr>
        <w:spacing w:after="0" w:line="202" w:lineRule="exact"/>
        <w:rPr>
          <w:sz w:val="20"/>
          <w:szCs w:val="20"/>
          <w:color w:val="auto"/>
        </w:rPr>
      </w:pPr>
    </w:p>
    <w:p>
      <w:pPr>
        <w:ind w:left="1020" w:hanging="263"/>
        <w:spacing w:after="0"/>
        <w:tabs>
          <w:tab w:leader="none" w:pos="10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who is an eligible Employee on the first day of the Offering Period may become a participant in the Offering by completing an Enrollment Agreement, submitting it to the Corporation during the Annual Open Enrollment Period in accordance with the procedures established by the Corporation, and authorizing in such Enrollment Agreement payroll deductions, subject to the limitations specified in Article 8. An Employee who is not an eligible Employee on the first day of the Offering Period solely because he has not completed 30 days of employment with the Corporation as of the first Business Day of the Offering Period, and who subsequently becomes an eligible Employee as a result of his completion of 30 days of employment with the Corporation on a date occurring in the Offering Period, may become a participant in the Offering by completing an Enrollment Agreement, submitting it to the Corporation in accordance with the procedures and the time frame established by the Corporation prior to his applicable Effective Date, and authorizing in such Enrollment Agreement payroll deductions, subject to the limitations specified in Article 8. The execution and delivery of an Enrollment Agreement by an eligible Employee shall be deemed to be a subscription to purchase a number of whole and fractional Shares (subject to Articles 12 and 22) determined by dividing the Employee’s aggregate payroll deduction contributions authorized in his Enrollment Agreement for the Offering Period by the Initial Offering Price. All valid subscriptions completed and received by the Corporation within the time frame established by the Corporation will be deemed accepted on the applicable Effective Date, subject to any allocation of Shares pursuant to Section 23. On the applicable Effective Date, each Employee who has completed and delivered an Enrollment Agreement shall be deemed to have been granted an option to purchase a maximum number of Shares equal to the number of whole and fractional Shares for which such Employee subscribed, subject to allotment as provided in Article 22. Subscriptions for Shares shall be payable in equal installments during the portion of the Offering Period in which he is a participating Employee in accordance with Article 9. Rights under a participating Employee’s option shall be exercisable in the manner and to the extent provided in the Plan, and to the extent not so exercised the option shall lapse as of the last day of the Offering Period.</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or not a participating Employee’s Enrollment Agreement for an Offering remains in effect for subsequent Offerings will be made in accordance with paragraph (b)(1) or (2) below, whichever is applicable.</w:t>
      </w:r>
    </w:p>
    <w:p>
      <w:pPr>
        <w:spacing w:after="0" w:line="17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Enrollment Agreements for Offerings Beginning in August 2019 or Earlier</w:t>
      </w:r>
      <w:r>
        <w:rPr>
          <w:rFonts w:ascii="Times New Roman" w:cs="Times New Roman" w:eastAsia="Times New Roman" w:hAnsi="Times New Roman"/>
          <w:sz w:val="22"/>
          <w:szCs w:val="22"/>
          <w:color w:val="auto"/>
        </w:rPr>
        <w:t>. A participating Employee’s Enrollment Agreement for an Offering will not remain in effect for subsequent Offerings. Therefore, notwithstanding an eligible Employee’s participation in an Offering, no payroll deductions will be taken from the eligible Employee’s Compensation during a subsequent Offering Period unless the eligible Employee completes and submits a new Enrollment Agreement for such subsequent Offering Period in accordance with paragraph 7(a).</w:t>
      </w:r>
    </w:p>
    <w:p>
      <w:pPr>
        <w:spacing w:after="0" w:line="172" w:lineRule="exact"/>
        <w:rPr>
          <w:rFonts w:ascii="Times New Roman" w:cs="Times New Roman" w:eastAsia="Times New Roman" w:hAnsi="Times New Roman"/>
          <w:sz w:val="22"/>
          <w:szCs w:val="22"/>
          <w:color w:val="auto"/>
        </w:rPr>
      </w:pPr>
    </w:p>
    <w:p>
      <w:pPr>
        <w:jc w:val="both"/>
        <w:ind w:left="100" w:firstLine="2992"/>
        <w:spacing w:after="0" w:line="246" w:lineRule="auto"/>
        <w:tabs>
          <w:tab w:leader="none" w:pos="3575" w:val="left"/>
        </w:tabs>
        <w:numPr>
          <w:ilvl w:val="3"/>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Example. </w:t>
      </w:r>
      <w:r>
        <w:rPr>
          <w:rFonts w:ascii="Times New Roman" w:cs="Times New Roman" w:eastAsia="Times New Roman" w:hAnsi="Times New Roman"/>
          <w:sz w:val="22"/>
          <w:szCs w:val="22"/>
          <w:color w:val="auto"/>
        </w:rPr>
        <w:t>An Employee who participates in the Offering Period that begins in August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2019 will not be automatically enrolled in the Offering Period that begins in August 2020, and therefore no payroll deductions will be taken from his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ind w:left="92"/>
        <w:spacing w:after="0" w:line="258" w:lineRule="auto"/>
        <w:rPr>
          <w:sz w:val="20"/>
          <w:szCs w:val="20"/>
          <w:color w:val="auto"/>
        </w:rPr>
      </w:pPr>
      <w:r>
        <w:rPr>
          <w:rFonts w:ascii="Times New Roman" w:cs="Times New Roman" w:eastAsia="Times New Roman" w:hAnsi="Times New Roman"/>
          <w:sz w:val="22"/>
          <w:szCs w:val="22"/>
          <w:color w:val="auto"/>
        </w:rPr>
        <w:t>during the Offering Period that begins in August 2020 unless he completes and submits a new Enrollment Agreement in accordance with paragraph 7(a).</w:t>
      </w:r>
    </w:p>
    <w:p>
      <w:pPr>
        <w:spacing w:after="0" w:line="158" w:lineRule="exact"/>
        <w:rPr>
          <w:sz w:val="20"/>
          <w:szCs w:val="20"/>
          <w:color w:val="auto"/>
        </w:rPr>
      </w:pPr>
    </w:p>
    <w:p>
      <w:pPr>
        <w:jc w:val="both"/>
        <w:ind w:left="-8" w:firstLine="2254"/>
        <w:spacing w:after="0" w:line="232" w:lineRule="auto"/>
        <w:tabs>
          <w:tab w:leader="none" w:pos="2538" w:val="left"/>
        </w:tabs>
        <w:numPr>
          <w:ilvl w:val="3"/>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Enrollment Agreements for Offerings Beginning in August 2020 or Later</w:t>
      </w:r>
      <w:r>
        <w:rPr>
          <w:rFonts w:ascii="Times New Roman" w:cs="Times New Roman" w:eastAsia="Times New Roman" w:hAnsi="Times New Roman"/>
          <w:sz w:val="22"/>
          <w:szCs w:val="22"/>
          <w:color w:val="auto"/>
        </w:rPr>
        <w:t>. A participating Employee’s Enrollment Agreement for an Offering, including without limitation his payroll deduction authorization, will remain in effect for subsequent Offerings, and he will be automatically enrolled in each such subsequent Offering, until (i) he withdraws from an Offering in accordance with Article 12, except as otherwise provided in Article 12, (ii) his employment terminates, or he otherwise ceases to satisfy the eligibility conditions specified in Article 6, or his participation otherwise ceases in accordance with the terms of the Plan, (iii) he completes and submits a new Enrollment Agreement in accordance with the procedures set forth in paragraph 7(a) and the new Enrollment Agreement becomes effective, or (iv) the Corporation requires that he complete and submit a new Enrollment Agreement. A participating Employee that is automatically enrolled in a subsequent Offering pursuant to this paragraph (b)(2) is not required to complete and submit any additional Enrollment Agreement or other documentation or notice in order to participate in such subsequent Offering and will be deemed to have accepted the terms and conditions of the Plan, the Offering, his Enrollment Agreement, and any rules, guidelines, procedures, policies and sub-plans in effect at the time each subsequent Offering Period begins. A participating Employee’s automatic enrollment in a subsequent Offering pursuant to this paragraph (b)(2) will be based upon his payroll deduction election in effect on the first day of the Annual Open Enrollment Period for such Offering. However, a participating Employee may complete and submit a new Enrollment Agreement for a subsequent Offering in accordance with the procedures set forth in paragraph 7(a) if the participating Employee desires to change or cancel the election contained in his Enrollment Agreement that would otherwise remain in effect pursuant to this paragraph (b)(2).</w:t>
      </w:r>
    </w:p>
    <w:p>
      <w:pPr>
        <w:spacing w:after="0" w:line="185" w:lineRule="exact"/>
        <w:rPr>
          <w:rFonts w:ascii="Times New Roman" w:cs="Times New Roman" w:eastAsia="Times New Roman" w:hAnsi="Times New Roman"/>
          <w:sz w:val="22"/>
          <w:szCs w:val="22"/>
          <w:color w:val="auto"/>
        </w:rPr>
      </w:pPr>
    </w:p>
    <w:p>
      <w:pPr>
        <w:jc w:val="both"/>
        <w:ind w:left="92" w:firstLine="2992"/>
        <w:spacing w:after="0" w:line="241" w:lineRule="auto"/>
        <w:tabs>
          <w:tab w:leader="none" w:pos="3567" w:val="left"/>
        </w:tabs>
        <w:numPr>
          <w:ilvl w:val="4"/>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Example</w:t>
      </w:r>
      <w:r>
        <w:rPr>
          <w:rFonts w:ascii="Times New Roman" w:cs="Times New Roman" w:eastAsia="Times New Roman" w:hAnsi="Times New Roman"/>
          <w:sz w:val="22"/>
          <w:szCs w:val="22"/>
          <w:color w:val="auto"/>
        </w:rPr>
        <w:t>. An Employee who participates in the Offering Period that begins in August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2020 will be automatically enrolled in the Offering Period that begins in August 2021 based upon his payroll deduction election that was in effect on the first day of the Annual Open Enrollment Period for the Offering Period that begins in August 2021, assuming that he continues to be eligible to participate.</w:t>
      </w:r>
    </w:p>
    <w:p>
      <w:pPr>
        <w:spacing w:after="0" w:line="175" w:lineRule="exact"/>
        <w:rPr>
          <w:rFonts w:ascii="Times New Roman" w:cs="Times New Roman" w:eastAsia="Times New Roman" w:hAnsi="Times New Roman"/>
          <w:sz w:val="22"/>
          <w:szCs w:val="22"/>
          <w:color w:val="auto"/>
        </w:rPr>
      </w:pPr>
    </w:p>
    <w:p>
      <w:pPr>
        <w:jc w:val="both"/>
        <w:ind w:left="-8" w:firstLine="1505"/>
        <w:spacing w:after="0" w:line="246" w:lineRule="auto"/>
        <w:tabs>
          <w:tab w:leader="none" w:pos="2028"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participating Employees shall have equal rights and privileges with respect to the Plan so that the Plan qualifies as an “employee stock purchase plan” under Section 423 of the Code or any successor provision of the Code and the related regulations. Any provision of the Plan that is inconsistent with Section 423 of the Code, without further act or amendment by the Board, the Compensation Committee, or the Teammate Stock Purchase Plan Committee, shall be reformed to comply with the requirements of Section 423 of the Code. The Plan and any Offering will not fail to satisfy the requirements of this paragraph</w:t>
      </w:r>
    </w:p>
    <w:p>
      <w:pPr>
        <w:spacing w:after="0" w:line="1" w:lineRule="exact"/>
        <w:rPr>
          <w:rFonts w:ascii="Times New Roman" w:cs="Times New Roman" w:eastAsia="Times New Roman" w:hAnsi="Times New Roman"/>
          <w:sz w:val="21"/>
          <w:szCs w:val="21"/>
          <w:color w:val="auto"/>
        </w:rPr>
      </w:pPr>
    </w:p>
    <w:p>
      <w:pPr>
        <w:jc w:val="both"/>
        <w:ind w:left="-8" w:firstLine="8"/>
        <w:spacing w:after="0" w:line="234" w:lineRule="auto"/>
        <w:tabs>
          <w:tab w:leader="none" w:pos="29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order to comply with the laws of a foreign jurisdiction, the terms of an option granted under the Plan or an Offering to citizens or residents of such foreign jurisdiction (without regard to whether they are also citizens of the United States or resident aliens (within the meaning of section 7701(b)(1)(A)) of the Code) are less favorable than the terms of options granted under the Plan or Offering to Employees resident in the United States.</w:t>
      </w:r>
    </w:p>
    <w:p>
      <w:pPr>
        <w:spacing w:after="0" w:line="173" w:lineRule="exact"/>
        <w:rPr>
          <w:rFonts w:ascii="Times New Roman" w:cs="Times New Roman" w:eastAsia="Times New Roman" w:hAnsi="Times New Roman"/>
          <w:sz w:val="22"/>
          <w:szCs w:val="22"/>
          <w:color w:val="auto"/>
        </w:rPr>
      </w:pPr>
    </w:p>
    <w:p>
      <w:pPr>
        <w:ind w:left="1012" w:hanging="263"/>
        <w:spacing w:after="0"/>
        <w:tabs>
          <w:tab w:leader="none" w:pos="101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Limitations on Payroll Deductions and Shares to be Purchased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1029335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54" w:name="page55"/>
    <w:bookmarkEnd w:id="54"/>
    <w:p>
      <w:pPr>
        <w:jc w:val="both"/>
        <w:ind w:firstLine="1505"/>
        <w:spacing w:after="0" w:line="244" w:lineRule="auto"/>
        <w:tabs>
          <w:tab w:leader="none" w:pos="203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payroll deductions authorized in an eligible Employee’s Enrollment Agreement for an Offering shall be in even dollar amounts not less than $2.00 per pay period, and not exceeding 10% of his Compensation (pro-rated, based on date of eligibility).</w:t>
      </w:r>
    </w:p>
    <w:p>
      <w:pPr>
        <w:spacing w:after="0" w:line="173" w:lineRule="exact"/>
        <w:rPr>
          <w:rFonts w:ascii="Times New Roman" w:cs="Times New Roman" w:eastAsia="Times New Roman" w:hAnsi="Times New Roman"/>
          <w:sz w:val="22"/>
          <w:szCs w:val="22"/>
          <w:color w:val="auto"/>
        </w:rPr>
      </w:pPr>
    </w:p>
    <w:p>
      <w:pPr>
        <w:jc w:val="both"/>
        <w:ind w:firstLine="1505"/>
        <w:spacing w:after="0" w:line="251" w:lineRule="auto"/>
        <w:tabs>
          <w:tab w:leader="none" w:pos="2036"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no Employee shall be permitted to subscribe for any Shares under the Plan if such Employee immediately after such subscription, owns Shares (including all Shares that may be purchased under outstanding subscriptions under the Plan or outstanding options under any stock option plan of the Corporation) possessing 5% or more of the total combined voting power or value of all classes of stock of the Corporation or of any parent. For purposes of determining ownership percentage, the attribution rules of Section 424(d) of the Code shall apply.</w:t>
      </w:r>
    </w:p>
    <w:p>
      <w:pPr>
        <w:spacing w:after="0" w:line="168"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Employee shall be allowed to subscribe for any Shares under the Plan to the extent that such subscription would permit his rights to purchase Shares under all stock purchase plans of the Corporation to accrue (within the meaning of Section 423(b)(8) of the Code) at a rate that exceeds $25,000 (or such amounts as may be specified from time to time in Section 423(b)(8) of the Code) of Fair Market Value of such Shares (determined on the first Business Day of the Offering Period) for each calendar year in which such subscription is outstanding at any time.</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possibility that the Alternate Offering Price may be lower than the Initial Offering Price, in no event may an Employee purchase a greater number of Shares than the number determined by dividing the aggregate payroll deductions elected by the Employee for the Offering Period, as limited by the Compensation limitation specified in paragraph (a) of this Article 8, by the Initial Offering Price.</w:t>
      </w:r>
    </w:p>
    <w:p>
      <w:pPr>
        <w:spacing w:after="0" w:line="176"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r>
        <w:rPr>
          <w:rFonts w:ascii="Times New Roman" w:cs="Times New Roman" w:eastAsia="Times New Roman" w:hAnsi="Times New Roman"/>
          <w:sz w:val="22"/>
          <w:szCs w:val="22"/>
          <w:color w:val="auto"/>
        </w:rPr>
        <w:t>. Payment for a participating Employee’s subscription for Shares shall be made by payroll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deductions of approximately equal amounts for each pay period during the portion of the Offering Period in which he is a participating Employee, which shall aggregate the purchase price of the Shares subject to subscription, based on the Initial Offering Price. However, if it is not practicable to make such calculation at the applicable Effective Date, the Corporation may select another basis for determining the rate of deductions during the Offering Period. Except as otherwise provided in Article 14 or Article 31, a participating Employee may not make any additional contributions to his account.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i w:val="1"/>
          <w:iCs w:val="1"/>
          <w:color w:val="auto"/>
        </w:rPr>
        <w:t>Deductions, Changes and Cancellation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7" w:lineRule="auto"/>
        <w:tabs>
          <w:tab w:leader="none" w:pos="203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Employee may at any time during an Offering Period decrease his payroll deduction and his subscription by filing a new Enrollment Agreement in accordance with the procedures and the time frame established by the Corporation. If paragraph 7(b)(2) is applicable, a new Enrollment Agreement filed by an Employee pursuant to this paragraph 10(a) in order to decrease his payroll deduction will remain in effect for subsequent Offerings in accordance with paragraph 7(b)</w:t>
      </w:r>
    </w:p>
    <w:p>
      <w:pPr>
        <w:spacing w:after="0" w:line="1" w:lineRule="exact"/>
        <w:rPr>
          <w:rFonts w:ascii="Times New Roman" w:cs="Times New Roman" w:eastAsia="Times New Roman" w:hAnsi="Times New Roman"/>
          <w:sz w:val="21"/>
          <w:szCs w:val="21"/>
          <w:color w:val="auto"/>
        </w:rPr>
      </w:pPr>
    </w:p>
    <w:p>
      <w:pPr>
        <w:jc w:val="both"/>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An Employee may also cancel future payroll deductions (without affecting the balance in his account at the time of such cancellation) by written notice to the Corporation in accordance with the procedures and the time frame established by the Corporation. If paragraph 7(b)(2) is applicable, an Employee who files a written notice pursuant to this paragraph 10(a) in order to cancel future payroll deductions will be deemed to have filed a new Enrollment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jc w:val="both"/>
        <w:spacing w:after="0" w:line="233" w:lineRule="auto"/>
        <w:rPr>
          <w:sz w:val="20"/>
          <w:szCs w:val="20"/>
          <w:color w:val="auto"/>
        </w:rPr>
      </w:pPr>
      <w:r>
        <w:rPr>
          <w:rFonts w:ascii="Times New Roman" w:cs="Times New Roman" w:eastAsia="Times New Roman" w:hAnsi="Times New Roman"/>
          <w:sz w:val="22"/>
          <w:szCs w:val="22"/>
          <w:color w:val="auto"/>
        </w:rPr>
        <w:t>in which he elects to make no payroll deductions, and therefore he will not be automatically enrolled in the next Offering in accordance with paragraph 7(b)(2), and no payroll deductions will be taken from the Employee’s Compensation during the next Offering Period unless the eligible Employee completes and submits a new Enrollment Agreement for such Offering Period in accordance with paragraph 7(a). Although no additional payroll deductions for the purchase of Shares will be made during the Offering Period in which the cancellation becomes effective, all of the Employee’s payroll deductions credited to his account prior to the cancellation will be applied to the purchase of Shares in accordance with Article 13 unless the Employee withdraws the balance in his account in accordance with Article 12. Any such change or cancellation will become effective as soon as practicable after receipt of the new Enrollment Agreement or appropriate notice, as applicable. A payroll deduction may be reduced only once during any Offering Period, and an Employee who cancels future payroll deductions may not again authorize payroll deductions during the Offering Period in which such cancellation becomes effective. An Employee may not increase his payroll deduction at any time during the Offering Period.</w:t>
      </w:r>
    </w:p>
    <w:p>
      <w:pPr>
        <w:spacing w:after="0" w:line="187" w:lineRule="exact"/>
        <w:rPr>
          <w:sz w:val="20"/>
          <w:szCs w:val="20"/>
          <w:color w:val="auto"/>
        </w:rPr>
      </w:pPr>
    </w:p>
    <w:p>
      <w:pPr>
        <w:jc w:val="both"/>
        <w:ind w:firstLine="1505"/>
        <w:spacing w:after="0" w:line="234"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participating Employee ceases to satisfy the eligibility conditions specified in Article 6 during an Offering Period, the Employee’s future payroll contributions will be automatically cancelled (without affecting the balance in his account at the time of such cancellation) by the Corporation without the Employee’s consent. If paragraph 7(b)(2) is applicable, and if an Employee whose future payroll deductions are cancelled pursuant to this paragraph 10(b) subsequently becomes an eligible Employee, he will not be automatically enrolled in any subsequent Offering in accordance with paragraph 7(b)(2), and no payroll deductions will be taken from the Employee’s Compensation during any subsequent Offering Period unless the eligible Employee completes and submits a new Enrollment Agreement in accordance with paragraph 7(a). Although no additional payroll deductions for the purchase of Shares will be made during the Offering Period, all of the Employee’s payroll deductions credited to his account prior to the cancellation will be applied to the purchase of Shares in accordance with Article 13 unless the Employee withdraws the balance in his account in accordance with Article 12.</w:t>
      </w:r>
    </w:p>
    <w:p>
      <w:pPr>
        <w:spacing w:after="0" w:line="179"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with (i) the limitation specified in paragraph (d) of Article 8 on the number of Shares that may be purchased by any participating Employee during an Offering Period, and/or (ii) the $25,000 limit provided by Section 423(b)(8) of the Code and paragraph (c) of Article 8, a participating Employee’s payroll deductions may be discontinued by the Corporation without the Employee’s consent at any time during an Offering Period. In the event that a participating Employee’s payroll deductions during an Offering Period exceed any limitation specified in Article 8, any funds that remain in the participating Employee’s account after the purchase of Shares in accordance with the limitations specified in Article 8 will be refunded to the Employee.</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i w:val="1"/>
          <w:iCs w:val="1"/>
          <w:color w:val="auto"/>
        </w:rPr>
        <w:t>Accumulated Deductions and Interest</w:t>
      </w:r>
      <w:r>
        <w:rPr>
          <w:rFonts w:ascii="Times New Roman" w:cs="Times New Roman" w:eastAsia="Times New Roman" w:hAnsi="Times New Roman"/>
          <w:sz w:val="22"/>
          <w:szCs w:val="22"/>
          <w:color w:val="auto"/>
        </w:rPr>
        <w:t>. The Corporation will accumulate and hold for each participating Employee’s account the amounts paid by him. No interest will be paid or allowed on any money paid by the participating Employees under any circumstances.</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i w:val="1"/>
          <w:iCs w:val="1"/>
          <w:color w:val="auto"/>
        </w:rPr>
        <w:t>Withdrawal of Funds</w:t>
      </w:r>
      <w:r>
        <w:rPr>
          <w:rFonts w:ascii="Times New Roman" w:cs="Times New Roman" w:eastAsia="Times New Roman" w:hAnsi="Times New Roman"/>
          <w:sz w:val="22"/>
          <w:szCs w:val="22"/>
          <w:color w:val="auto"/>
        </w:rPr>
        <w:t>. The Corporation will maintain a separate payroll deduction account for each participating Employee. An Employee may at any time during the Offering Period and for any reason permanently withdraw any full balance accumulated in his account that has not been applied toward the purchase of the Shares subject to his subscription, and thereby withdraw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jc w:val="both"/>
        <w:spacing w:after="0" w:line="244" w:lineRule="auto"/>
        <w:rPr>
          <w:sz w:val="20"/>
          <w:szCs w:val="20"/>
          <w:color w:val="auto"/>
        </w:rPr>
      </w:pPr>
      <w:r>
        <w:rPr>
          <w:rFonts w:ascii="Times New Roman" w:cs="Times New Roman" w:eastAsia="Times New Roman" w:hAnsi="Times New Roman"/>
          <w:sz w:val="21"/>
          <w:szCs w:val="21"/>
          <w:color w:val="auto"/>
        </w:rPr>
        <w:t>from participation in an Offering. Any such withdrawal shall be effected by written or electronic notice to the Corporation in accordance with the procedures and the time frame established by the Corporation. A withdrawing Employee may not thereafter participate in that Offering, but shall, if he is otherwise eligible, be permitted to participate in any future Offering. If paragraph 7(b)(2) is applicable, and if the withdrawal occurs prior to the first day of the Open Enrollment Period for the next Offering, the withdrawing Employee will not be automatically enrolled in the next Offering in accordance with paragraph 7(b)(2), and no payroll deductions will be taken from the Employee’s Compensation during the next Offering Period unless the eligible Employee completes and submits a new Enrollment Agreement for such Offering Period in accordance with paragraph 7(a). However, if paragraph 7(b)(2) is applicable, and if the withdrawal occurs after the first day of the Open Enrollment Period for the next Offering, the withdrawing Employee will be automatically enrolled in the next Offering in accordance with paragraph 7(b)</w:t>
      </w:r>
    </w:p>
    <w:p>
      <w:pPr>
        <w:spacing w:after="0" w:line="1" w:lineRule="exact"/>
        <w:rPr>
          <w:sz w:val="20"/>
          <w:szCs w:val="20"/>
          <w:color w:val="auto"/>
        </w:rPr>
      </w:pPr>
    </w:p>
    <w:p>
      <w:pPr>
        <w:ind w:right="20" w:firstLine="8"/>
        <w:spacing w:after="0" w:line="237" w:lineRule="auto"/>
        <w:tabs>
          <w:tab w:leader="none" w:pos="34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upon the Enrollment Agreement that was in effect at the time of the withdrawal. Partial withdrawals will not be permitted.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i w:val="1"/>
          <w:iCs w:val="1"/>
          <w:color w:val="auto"/>
        </w:rPr>
        <w:t>Purchase Price and Purchase of Shares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1505"/>
        <w:spacing w:after="0" w:line="258" w:lineRule="auto"/>
        <w:tabs>
          <w:tab w:leader="none" w:pos="203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for Shares under any Offering will be the lesser of (i) the Initial Offering Price, or (ii) the Alternate Offering Price.</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Purchase Date, the Alternate Offering Price shall be ascertained and the account of each participating Employee shall be totaled. Shares subject to a subscription may be purchased only with funds accumulated, pursuant to the provisions of this Plan, in a participating Employee’s account. The amount in the participating Employee’s account shall be applied to the purchase of the number of whole and fractional Shares determined by dividing such amount by the lower of the Initial Offering Price or the Alternate Offering Price, subject to the limitations specified in Article 8, and the Employee shall be deemed to have exercised his option to purchase such Shares at such lower price. His account shall be charged for the amount of the purchase price, and the aggregate number of whole and fractional Shares purchased shall be issued to him as of such date, and delivered to him as promptly as practicable thereafter. Shares issued by the Corporation under this Plan may be, at the Corporation’s option, evidenced by a Share certificate delivered to the Employee, or other physical or electronic evidence of Share ownership, including, without limitation, deposit of Shares into a stock brokerage account maintained for the Employee or credit to a book-entry account for the benefit of the Employee maintained by the Corporation’s stock transfer agent or its designee.</w:t>
      </w:r>
    </w:p>
    <w:p>
      <w:pPr>
        <w:spacing w:after="0" w:line="184"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Corporation otherwise determines, any original issue stamp taxes will be paid by deductions from an Employee’s account or in cash by the Employee. Any funds that remain in a participating Employee’s account after the purchase of Shares and the payment of any stamp taxes in accordance with this Article will be refunded to the Employee.</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i w:val="1"/>
          <w:iCs w:val="1"/>
          <w:color w:val="auto"/>
        </w:rPr>
        <w:t>Interruption of Employment and Leaves of Absence</w:t>
      </w:r>
      <w:r>
        <w:rPr>
          <w:rFonts w:ascii="Times New Roman" w:cs="Times New Roman" w:eastAsia="Times New Roman" w:hAnsi="Times New Roman"/>
          <w:sz w:val="22"/>
          <w:szCs w:val="22"/>
          <w:color w:val="auto"/>
        </w:rPr>
        <w:t>. In the event a participating Employee’s employment is temporarily interrupted during an Offering because of military or sick leave or other bona fide leave of absence approved by the Corporation, the Employee will be deemed to have elected to continue to participate in the Offering unless he withdraws from participation in the Offering as provided in Article 12. If a participating Employee continues to participate in an Offering during a paid leave of absence, the Employee’s elected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jc w:val="both"/>
        <w:spacing w:after="0" w:line="233" w:lineRule="auto"/>
        <w:rPr>
          <w:sz w:val="20"/>
          <w:szCs w:val="20"/>
          <w:color w:val="auto"/>
        </w:rPr>
      </w:pPr>
      <w:r>
        <w:rPr>
          <w:rFonts w:ascii="Times New Roman" w:cs="Times New Roman" w:eastAsia="Times New Roman" w:hAnsi="Times New Roman"/>
          <w:sz w:val="22"/>
          <w:szCs w:val="22"/>
          <w:color w:val="auto"/>
        </w:rPr>
        <w:t>deductions shall continue. If a participating Employee continues to participate in an Offering during an unpaid leave of absence, no payroll deductions or other contributions will be required during the period of such interruption, but the Employee may, prior to the Purchase Date, pay to the Corporation directly for credit to his account, and not by way of payroll deduction, an amount not exceeding the aggregate amount that would have been deducted during the leave of absence pursuant to such Employee’s Enrollment Agreement had his employment not been interrupted. Such payment may be made in a lump sum or in installments before the Purchase Date, as the Corporation shall determine. If the Employee does not make or arrange for such payment in full before the Purchase Date, his subscription will not be cancelled with respect to the amount accumulated in the Employee’s account, but Shares subject to his subscription will be purchased only with the funds accumulated in his account prior to the Purchase Date. Notwithstanding the foregoing, the provisions of this Article shall apply only if an interruption of employment does not exceed 90 days or, if it does exceed 90 days, if the Employee’s right to reemployment after such interruption is guaranteed by either applicable law or contract. Otherwise, any interruption of employment shall be deemed a termination and shall be governed by Article 17 hereof.</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i w:val="1"/>
          <w:iCs w:val="1"/>
          <w:color w:val="auto"/>
        </w:rPr>
        <w:t>Registration of Shares and Beneficiary Designations</w:t>
      </w:r>
      <w:r>
        <w:rPr>
          <w:rFonts w:ascii="Times New Roman" w:cs="Times New Roman" w:eastAsia="Times New Roman" w:hAnsi="Times New Roman"/>
          <w:sz w:val="22"/>
          <w:szCs w:val="22"/>
          <w:color w:val="auto"/>
        </w:rPr>
        <w:t>. Shares purchased under this Plan may be registered in the name of the Employee, or, if he so indicates on his Enrollment Agreement, in his name and another jointly with the right of survivorship. In addition, each participating Employee may designate a beneficiary or beneficiaries to receive any Shares to be issued under the Plan following the participating Employee’s death. To be effective, such designation must be made in accordance with such procedures and in such written or electronic form as prescribed by the Corporation (or its designee) for such purpose. If a participating Employee fails to designate a beneficiary, or if no designated beneficiary survives the participating Employee’s death, the participating Employee’s estate shall be deemed the participating Employee’s beneficiary. A beneficiary designation may be changed or revoked by the participating Employee’s sole action, provided that the change or revocation is made in accordance with such procedures and in such written or electronic form as prescribed by the Corporation (or its designee) for such purpose. Unless otherwise provided in the beneficiary designation, each designation made will revoke all prior designations made by the same participating Employee.</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i w:val="1"/>
          <w:iCs w:val="1"/>
          <w:color w:val="auto"/>
        </w:rPr>
        <w:t>Rights as a Shareholder</w:t>
      </w:r>
      <w:r>
        <w:rPr>
          <w:rFonts w:ascii="Times New Roman" w:cs="Times New Roman" w:eastAsia="Times New Roman" w:hAnsi="Times New Roman"/>
          <w:sz w:val="22"/>
          <w:szCs w:val="22"/>
          <w:color w:val="auto"/>
        </w:rPr>
        <w:t>. No voting, dividend, or other rights or privileges of a shareholder of the Corporation shall exist with respect to any Share subject to this Plan until the date as of which such Share has been purchased and delivered as provided in Article 13.</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i w:val="1"/>
          <w:iCs w:val="1"/>
          <w:color w:val="auto"/>
        </w:rPr>
        <w:t>Rights on Retirement, Death or Termination of Employment</w:t>
      </w:r>
      <w:r>
        <w:rPr>
          <w:rFonts w:ascii="Times New Roman" w:cs="Times New Roman" w:eastAsia="Times New Roman" w:hAnsi="Times New Roman"/>
          <w:sz w:val="22"/>
          <w:szCs w:val="22"/>
          <w:color w:val="auto"/>
        </w:rPr>
        <w:t>. In the event of a participating Employee’s retirement, death or termination of employment, no payroll deduction shall be taken from any compensation due and owing to him at such time. If such retirement, death, or termination of employment occurs prior to the Purchase Date, the amount in the Employee’s account shall be refunded to the Employee or, in the event of his death, to his estate. An Employee of a Participating Subsidiary that ceases to be a Participating Subsidiary shall be deemed to have terminated his employment for purposes of this Article as of the date such entity ceases to be a Participating Subsidiary unless as of such date, the Employee shall become an Employee of a Corporation entity then included in the Plan.</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i w:val="1"/>
          <w:iCs w:val="1"/>
          <w:color w:val="auto"/>
        </w:rPr>
        <w:t>Rights Not Transferable</w:t>
      </w:r>
      <w:r>
        <w:rPr>
          <w:rFonts w:ascii="Times New Roman" w:cs="Times New Roman" w:eastAsia="Times New Roman" w:hAnsi="Times New Roman"/>
          <w:sz w:val="22"/>
          <w:szCs w:val="22"/>
          <w:color w:val="auto"/>
        </w:rPr>
        <w:t>. Except as provided in Article 17, no participating Employee shall have any right to sell, assign, transfer, pledge or otherwise dispose of or encumber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21"/>
          <w:szCs w:val="21"/>
          <w:color w:val="auto"/>
        </w:rPr>
        <w:t>either his right to participate in the Plan or his interest in the fund accumulated for his benefit, and such right and interest shall not be liable for or subject to the debts, contracts or liabilities of such Employee. If any such action is taken by the Employee, or if any claim is asserted by another party with respect to such right and interest, such action or claim will be treated as notice of withdrawal, and except as may otherwise be required by law, refund will be made to such Employee as provided in Article 12.</w:t>
      </w:r>
    </w:p>
    <w:p>
      <w:pPr>
        <w:spacing w:after="0" w:line="15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i w:val="1"/>
          <w:iCs w:val="1"/>
          <w:color w:val="auto"/>
        </w:rPr>
        <w:t>Application of Funds</w:t>
      </w:r>
      <w:r>
        <w:rPr>
          <w:rFonts w:ascii="Times New Roman" w:cs="Times New Roman" w:eastAsia="Times New Roman" w:hAnsi="Times New Roman"/>
          <w:sz w:val="22"/>
          <w:szCs w:val="22"/>
          <w:color w:val="auto"/>
        </w:rPr>
        <w:t>. The proceeds received by the Corporation from the sale of Shares pursuant to this Plan will be used for general corporate purposes. The Corporation shall not be required to segregate accumulated payroll deductions under the Plan.</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i w:val="1"/>
          <w:iCs w:val="1"/>
          <w:color w:val="auto"/>
        </w:rPr>
        <w:t>Adjustment Upon Change of Shares</w:t>
      </w:r>
      <w:r>
        <w:rPr>
          <w:rFonts w:ascii="Times New Roman" w:cs="Times New Roman" w:eastAsia="Times New Roman" w:hAnsi="Times New Roman"/>
          <w:sz w:val="22"/>
          <w:szCs w:val="22"/>
          <w:color w:val="auto"/>
        </w:rPr>
        <w:t>. If a reorganization, merger, consolidation, reclassification, recapitalization, combination or exchange of shares, stock split, stock dividend, rights offering or other event affecting Shares of the Corporation occurs, then the number and class of Shares authorized under this Plan, the number and class of Shares then subject to outstanding subscriptions, and the Initial Offering Price or the Alternate Offering Price shall be equitably adjusted by the Board to reflect such changes.</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i w:val="1"/>
          <w:iCs w:val="1"/>
          <w:color w:val="auto"/>
        </w:rPr>
        <w:t>Amendment and Termination of the Plan</w:t>
      </w:r>
      <w:r>
        <w:rPr>
          <w:rFonts w:ascii="Times New Roman" w:cs="Times New Roman" w:eastAsia="Times New Roman" w:hAnsi="Times New Roman"/>
          <w:sz w:val="22"/>
          <w:szCs w:val="22"/>
          <w:color w:val="auto"/>
        </w:rPr>
        <w:t>. To the extent permitted by law, the Compensation Committee may amend this Plan at any time in any respect as the Compensation Committee deems advisable, subject to any shareholder approval required by Article 24. In addition to the authority of the Compensation Committee to amend the Plan, the Teammate Stock Purchase Plan Committee may amend the Plan at any time, pursuant to this Article 21 and to the extent permitted by law and subject to any shareholder approval required by Article 24, to:</w:t>
      </w:r>
    </w:p>
    <w:p>
      <w:pPr>
        <w:spacing w:after="0" w:line="181" w:lineRule="exact"/>
        <w:rPr>
          <w:sz w:val="20"/>
          <w:szCs w:val="20"/>
          <w:color w:val="auto"/>
        </w:rPr>
      </w:pPr>
    </w:p>
    <w:p>
      <w:pPr>
        <w:ind w:left="2040" w:hanging="535"/>
        <w:spacing w:after="0"/>
        <w:tabs>
          <w:tab w:leader="none" w:pos="20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changes in the Code or other applicable law;</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simplify or clarify the administration of the Plan; and</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other reasonable or necessary changes to the extent such changes will not materially increase the cost to the Corporation of maintaining the Plan.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 amendment of the Plan may, without the consent of the holder of any outstanding subscription, materially and adversely affect his rights as respects such subscription.</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Plan shall terminate (a) on the day that all the Shares authorized for sale under the Plan have been purchased, or (b) when terminated by the Board at its sole discretion. Upon termination of the Plan and the exercise or lapse of all subscription rights hereunder, all amounts remaining in the accounts of participating Employees shall be promptly refunded.</w:t>
      </w:r>
    </w:p>
    <w:p>
      <w:pPr>
        <w:spacing w:after="0" w:line="16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i w:val="1"/>
          <w:iCs w:val="1"/>
          <w:color w:val="auto"/>
        </w:rPr>
        <w:t>Allocation of Shares</w:t>
      </w:r>
      <w:r>
        <w:rPr>
          <w:rFonts w:ascii="Times New Roman" w:cs="Times New Roman" w:eastAsia="Times New Roman" w:hAnsi="Times New Roman"/>
          <w:sz w:val="22"/>
          <w:szCs w:val="22"/>
          <w:color w:val="auto"/>
        </w:rPr>
        <w:t>. If the total number of Shares that Employees elect to purchase under any Offering exceeds the Shares available for purchase under that Offering, the Teammate Stock Purchase Plan Committee shall make a pro-rata allocation of all the available Shares among such participating Employees, based upon the ratio that the dollar amount of each Employee’s subscription bears to the aggregate dollar amount of all participating Employees’ subscriptions. Notwithstanding the foregoing, if the Teammate Stock Purchase Plan Committee shall at any time determine that the foregoing method of allocation is inconsistent with the requirements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1"/>
          <w:szCs w:val="21"/>
          <w:color w:val="auto"/>
        </w:rPr>
        <w:t>423 of the Code, then subscriptions for any additional Shares in excess of the Shares so allocated shall be deemed to have lapsed.</w:t>
      </w:r>
    </w:p>
    <w:p>
      <w:pPr>
        <w:spacing w:after="0" w:line="21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i w:val="1"/>
          <w:iCs w:val="1"/>
          <w:color w:val="auto"/>
        </w:rPr>
        <w:t>Governmental and Other Regulations</w:t>
      </w:r>
      <w:r>
        <w:rPr>
          <w:rFonts w:ascii="Times New Roman" w:cs="Times New Roman" w:eastAsia="Times New Roman" w:hAnsi="Times New Roman"/>
          <w:sz w:val="22"/>
          <w:szCs w:val="22"/>
          <w:color w:val="auto"/>
        </w:rPr>
        <w:t>. The obligation of the Corporation to issue or transfer and deliver Shares under this Plan shall be subject to (a) approval of this Plan by the Corporation’s shareholders, (b) compliance with all applicable laws, governmental rules and regulations and administrative action, and (c) the effectiveness of a Registration Statement under the Securities Act of 1933, as amended, with respect to such issue or transfer, if deemed necessary or appropriate by counsel for the Corporation.</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i w:val="1"/>
          <w:iCs w:val="1"/>
          <w:color w:val="auto"/>
        </w:rPr>
        <w:t>Approval of Shareholders</w:t>
      </w:r>
      <w:r>
        <w:rPr>
          <w:rFonts w:ascii="Times New Roman" w:cs="Times New Roman" w:eastAsia="Times New Roman" w:hAnsi="Times New Roman"/>
          <w:sz w:val="22"/>
          <w:szCs w:val="22"/>
          <w:color w:val="auto"/>
        </w:rPr>
        <w:t>. To the extent and in the manner required to comply with Section 423 of the Code (including the regulations promulgated thereunder) or any other applicable law or regulation or the rules and requirements of any stock exchange or quotation system on which the Shares are listed or quoted, all as amended through the applicable date, the Company shall obtain shareholder approval of an amendment of the Plan in such a manner and to such a degree as required.</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All notices or other communications by a participating Employee to the Corporation under or in connection with the Plan shall be deemed to have been given only when received by the Corporation or when received in the form specified by the Corporation at the location, or by the person, designated by the Corporation for the receipt thereof.</w:t>
      </w:r>
    </w:p>
    <w:p>
      <w:pPr>
        <w:spacing w:after="0" w:line="16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i w:val="1"/>
          <w:iCs w:val="1"/>
          <w:color w:val="auto"/>
        </w:rPr>
        <w:t>Indemnification of the Board</w:t>
      </w:r>
      <w:r>
        <w:rPr>
          <w:rFonts w:ascii="Times New Roman" w:cs="Times New Roman" w:eastAsia="Times New Roman" w:hAnsi="Times New Roman"/>
          <w:sz w:val="22"/>
          <w:szCs w:val="22"/>
          <w:color w:val="auto"/>
        </w:rPr>
        <w:t>. In addition to such other rights of indemnification as they may have as directors, officers or Employees, the members of the Board shall be indemnified by the Corporation against the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option granted thereunder, and against all amounts paid by them in settlement thereof (provided such settlement is approved by independent legal counsel selected by the Corporation) or paid by them in satisfaction of a judgment in any such action, suit or proceeding, except in relation to matters as to which it shall be adjudged in such action, suit or proceeding that such director is liable for negligence or misconduct in the performance of his duties; provided that within 60 days after the institution of any such action, suit or proceeding a director shall in writing offer the Corporation the opportunity, at its own expense, to handle and defend the same.</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i w:val="1"/>
          <w:iCs w:val="1"/>
          <w:color w:val="auto"/>
        </w:rPr>
        <w:t>Tenure</w:t>
      </w:r>
      <w:r>
        <w:rPr>
          <w:rFonts w:ascii="Times New Roman" w:cs="Times New Roman" w:eastAsia="Times New Roman" w:hAnsi="Times New Roman"/>
          <w:sz w:val="22"/>
          <w:szCs w:val="22"/>
          <w:color w:val="auto"/>
        </w:rPr>
        <w:t>. A participant’s right, if any, to continue to serve the Corporation as an officer, Employee or otherwise, will not be enlarged or otherwise affected by his designation as participant under this Plan, and such designation will not in any way restrict the right of the Corporation to terminate at any time the employment or affiliation of any participant for cause or otherwise.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i w:val="1"/>
          <w:iCs w:val="1"/>
          <w:color w:val="auto"/>
        </w:rPr>
        <w:t>Expenses of Plan</w:t>
      </w:r>
      <w:r>
        <w:rPr>
          <w:rFonts w:ascii="Times New Roman" w:cs="Times New Roman" w:eastAsia="Times New Roman" w:hAnsi="Times New Roman"/>
          <w:sz w:val="22"/>
          <w:szCs w:val="22"/>
          <w:color w:val="auto"/>
        </w:rPr>
        <w:t>. The expenses of the Plan will be borne by the Corporation.</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i w:val="1"/>
          <w:iCs w:val="1"/>
          <w:color w:val="auto"/>
        </w:rPr>
        <w:t>Number and Gender</w:t>
      </w:r>
      <w:r>
        <w:rPr>
          <w:rFonts w:ascii="Times New Roman" w:cs="Times New Roman" w:eastAsia="Times New Roman" w:hAnsi="Times New Roman"/>
          <w:sz w:val="22"/>
          <w:szCs w:val="22"/>
          <w:color w:val="auto"/>
        </w:rPr>
        <w:t>. Unless otherwise clearly indicated in this Plan, words in the singular or plural shall include the plural and singular, respectively, where they would 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and words in the masculine or neuter gender shall include the feminine, masculine or neuter gender where applicable.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30.</w:t>
      </w:r>
      <w:r>
        <w:rPr>
          <w:rFonts w:ascii="Times New Roman" w:cs="Times New Roman" w:eastAsia="Times New Roman" w:hAnsi="Times New Roman"/>
          <w:sz w:val="21"/>
          <w:szCs w:val="21"/>
          <w:i w:val="1"/>
          <w:iCs w:val="1"/>
          <w:color w:val="auto"/>
        </w:rPr>
        <w:t>Application Law</w:t>
      </w:r>
      <w:r>
        <w:rPr>
          <w:rFonts w:ascii="Times New Roman" w:cs="Times New Roman" w:eastAsia="Times New Roman" w:hAnsi="Times New Roman"/>
          <w:sz w:val="21"/>
          <w:szCs w:val="21"/>
          <w:color w:val="auto"/>
        </w:rPr>
        <w:t>. The validity, interpretation, and enforcement of this Plan are governed in all respects of the laws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17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31.</w:t>
      </w:r>
      <w:r>
        <w:rPr>
          <w:rFonts w:ascii="Times New Roman" w:cs="Times New Roman" w:eastAsia="Times New Roman" w:hAnsi="Times New Roman"/>
          <w:sz w:val="21"/>
          <w:szCs w:val="21"/>
          <w:i w:val="1"/>
          <w:iCs w:val="1"/>
          <w:color w:val="auto"/>
        </w:rPr>
        <w:t>Corrections and Administrative Procedures</w:t>
      </w:r>
      <w:r>
        <w:rPr>
          <w:rFonts w:ascii="Times New Roman" w:cs="Times New Roman" w:eastAsia="Times New Roman" w:hAnsi="Times New Roman"/>
          <w:sz w:val="21"/>
          <w:szCs w:val="21"/>
          <w:color w:val="auto"/>
        </w:rPr>
        <w:t>. Notwithstanding anything in the Plan to the contrary, the Teammate Stock Purchase Plan Committee is authorized to permit contributions, by payroll deduction or direct payment to the Corporation for credit to his account, in excess of the periodic amount designated by a participant in order to adjust for administrative errors in the processing of properly completed Enrollment Agreements, and to establish other procedures as the Teammate Stock Purchase Plan Committee determines in its sole discretion are appropriate and consistent with the Plan’s purposes. The actions of the Teammate Stock Purchase Plan Committee pursuant to this Article will not be considered to alter or impair any option granted under an Offering as they are part of the initial terms of each Offering and the options granted under each Offering.</w:t>
      </w:r>
    </w:p>
    <w:p>
      <w:pPr>
        <w:spacing w:after="0" w:line="174"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2"/>
          <w:szCs w:val="22"/>
          <w:color w:val="auto"/>
        </w:rPr>
        <w:t>Adopted by the Board of Directors:</w:t>
      </w:r>
      <w:r>
        <w:rPr>
          <w:sz w:val="20"/>
          <w:szCs w:val="20"/>
          <w:color w:val="auto"/>
        </w:rPr>
        <w:tab/>
      </w:r>
      <w:r>
        <w:rPr>
          <w:rFonts w:ascii="Times New Roman" w:cs="Times New Roman" w:eastAsia="Times New Roman" w:hAnsi="Times New Roman"/>
          <w:sz w:val="21"/>
          <w:szCs w:val="21"/>
          <w:color w:val="auto"/>
        </w:rPr>
        <w:t>January 24, 1990</w:t>
      </w:r>
    </w:p>
    <w:p>
      <w:pPr>
        <w:spacing w:after="0" w:line="206"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Approved by Shareholders:</w:t>
      </w:r>
      <w:r>
        <w:rPr>
          <w:sz w:val="20"/>
          <w:szCs w:val="20"/>
          <w:color w:val="auto"/>
        </w:rPr>
        <w:tab/>
      </w:r>
      <w:r>
        <w:rPr>
          <w:rFonts w:ascii="Times New Roman" w:cs="Times New Roman" w:eastAsia="Times New Roman" w:hAnsi="Times New Roman"/>
          <w:sz w:val="21"/>
          <w:szCs w:val="21"/>
          <w:color w:val="auto"/>
        </w:rPr>
        <w:t>April 26, 1990; April 24, 2003; May 6, 2015</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amended, effective April 19, 1995; April 30, 1996; April 29, 1990; August 23, 2000; January 24, 2001; October 31, 2001; November 21, 2001; April 24, 2003; July 1, 2013; May 6, 2015; June 1, 2017; October 23, 2019; July 20, 2021; 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 w:name="page62"/>
    <w:bookmarkEnd w:id="61"/>
    <w:p>
      <w:pPr>
        <w:jc w:val="center"/>
        <w:ind w:right="-319"/>
        <w:spacing w:after="0"/>
        <w:rPr>
          <w:sz w:val="20"/>
          <w:szCs w:val="20"/>
          <w:color w:val="auto"/>
        </w:rPr>
      </w:pPr>
      <w:r>
        <w:rPr>
          <w:rFonts w:ascii="Arial" w:cs="Arial" w:eastAsia="Arial" w:hAnsi="Arial"/>
          <w:sz w:val="20"/>
          <w:szCs w:val="20"/>
          <w:b w:val="1"/>
          <w:bCs w:val="1"/>
          <w:color w:val="auto"/>
        </w:rPr>
        <w:t>BROWN &amp; BROWN, INC.</w:t>
      </w:r>
    </w:p>
    <w:p>
      <w:pPr>
        <w:jc w:val="center"/>
        <w:ind w:left="1480"/>
        <w:spacing w:after="0" w:line="231" w:lineRule="auto"/>
        <w:rPr>
          <w:sz w:val="20"/>
          <w:szCs w:val="20"/>
          <w:color w:val="auto"/>
        </w:rPr>
      </w:pPr>
      <w:r>
        <w:rPr>
          <w:rFonts w:ascii="Arial" w:cs="Arial" w:eastAsia="Arial" w:hAnsi="Arial"/>
          <w:sz w:val="20"/>
          <w:szCs w:val="20"/>
          <w:b w:val="1"/>
          <w:bCs w:val="1"/>
          <w:color w:val="auto"/>
        </w:rPr>
        <w:t>1990 TEAMMATE STOCK PURCHASE PLAN</w:t>
      </w:r>
    </w:p>
    <w:p>
      <w:pPr>
        <w:spacing w:after="0" w:line="1" w:lineRule="exact"/>
        <w:rPr>
          <w:sz w:val="20"/>
          <w:szCs w:val="20"/>
          <w:color w:val="auto"/>
        </w:rPr>
      </w:pPr>
    </w:p>
    <w:p>
      <w:pPr>
        <w:jc w:val="center"/>
        <w:ind w:left="1480"/>
        <w:spacing w:after="0"/>
        <w:rPr>
          <w:sz w:val="20"/>
          <w:szCs w:val="20"/>
          <w:color w:val="auto"/>
        </w:rPr>
      </w:pPr>
      <w:r>
        <w:rPr>
          <w:rFonts w:ascii="Arial" w:cs="Arial" w:eastAsia="Arial" w:hAnsi="Arial"/>
          <w:sz w:val="20"/>
          <w:szCs w:val="20"/>
          <w:b w:val="1"/>
          <w:bCs w:val="1"/>
          <w:color w:val="auto"/>
        </w:rPr>
        <w:t>NON-U.S. PARTICIPANT ADDENDUM</w:t>
      </w:r>
    </w:p>
    <w:p>
      <w:pPr>
        <w:spacing w:after="0" w:line="184" w:lineRule="exact"/>
        <w:rPr>
          <w:sz w:val="20"/>
          <w:szCs w:val="20"/>
          <w:color w:val="auto"/>
        </w:rPr>
      </w:pPr>
    </w:p>
    <w:p>
      <w:pPr>
        <w:jc w:val="both"/>
        <w:ind w:left="380"/>
        <w:spacing w:after="0" w:line="231" w:lineRule="auto"/>
        <w:rPr>
          <w:sz w:val="20"/>
          <w:szCs w:val="20"/>
          <w:color w:val="auto"/>
        </w:rPr>
      </w:pPr>
      <w:r>
        <w:rPr>
          <w:rFonts w:ascii="Arial" w:cs="Arial" w:eastAsia="Arial" w:hAnsi="Arial"/>
          <w:sz w:val="20"/>
          <w:szCs w:val="20"/>
          <w:color w:val="auto"/>
        </w:rPr>
        <w:t>Pursuant to Article 4(c) of the Plan, the Committee has prescribed the rules and procedures set forth in this Addendum to establish additional terms and conditions applicable to participants providing services to the Corporation outside the United States (each, a “Non-U.S. Participant”). Participation in an Offering by a Non-U.S. Participant will be subject to the following applicable additional terms and conditions, and in the event of any conflict between any term, condition, or other provision contained in the Plan (or in an Enrollment Agreement for a Non-U.S. Participant) and any applicable term or condition provided for in this Addendum, the term or condition in this Addendum will govern and prevail. All capitalized terms used in this Addendum but not otherwise defined will have the respective meanings set forth in the Plan.</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Provisions Applicable To All Non-U.S. Participants</w:t>
      </w:r>
    </w:p>
    <w:p>
      <w:pPr>
        <w:spacing w:after="0" w:line="197" w:lineRule="exact"/>
        <w:rPr>
          <w:sz w:val="20"/>
          <w:szCs w:val="20"/>
          <w:color w:val="auto"/>
        </w:rPr>
      </w:pPr>
    </w:p>
    <w:p>
      <w:pPr>
        <w:jc w:val="both"/>
        <w:ind w:left="1140" w:hanging="748"/>
        <w:spacing w:after="0" w:line="254" w:lineRule="auto"/>
        <w:rPr>
          <w:sz w:val="20"/>
          <w:szCs w:val="20"/>
          <w:color w:val="auto"/>
        </w:rPr>
      </w:pPr>
      <w:r>
        <w:rPr>
          <w:rFonts w:ascii="Times New Roman" w:cs="Times New Roman" w:eastAsia="Times New Roman" w:hAnsi="Times New Roman"/>
          <w:sz w:val="20"/>
          <w:szCs w:val="20"/>
          <w:i w:val="1"/>
          <w:iCs w:val="1"/>
          <w:color w:val="auto"/>
        </w:rPr>
        <w:t>Relationship of Plan to Contract of Employment.</w:t>
      </w:r>
      <w:r>
        <w:rPr>
          <w:sz w:val="20"/>
          <w:szCs w:val="20"/>
          <w:color w:val="auto"/>
        </w:rPr>
        <w:t xml:space="preserve"> </w:t>
      </w:r>
      <w:r>
        <w:rPr>
          <w:rFonts w:ascii="Times New Roman" w:cs="Times New Roman" w:eastAsia="Times New Roman" w:hAnsi="Times New Roman"/>
          <w:sz w:val="20"/>
          <w:szCs w:val="20"/>
          <w:color w:val="auto"/>
        </w:rPr>
        <w:t>Notwithstanding any other provision of the Plan or an Enrollment Agreement:</w:t>
      </w:r>
    </w:p>
    <w:p>
      <w:pPr>
        <w:spacing w:after="0" w:line="200" w:lineRule="exact"/>
        <w:rPr>
          <w:sz w:val="20"/>
          <w:szCs w:val="20"/>
          <w:color w:val="auto"/>
        </w:rPr>
      </w:pPr>
    </w:p>
    <w:p>
      <w:pPr>
        <w:spacing w:after="0" w:line="203" w:lineRule="exact"/>
        <w:rPr>
          <w:sz w:val="20"/>
          <w:szCs w:val="20"/>
          <w:color w:val="auto"/>
        </w:rPr>
      </w:pPr>
    </w:p>
    <w:p>
      <w:pPr>
        <w:jc w:val="both"/>
        <w:ind w:left="1880" w:hanging="748"/>
        <w:spacing w:after="0" w:line="254" w:lineRule="auto"/>
        <w:rPr>
          <w:sz w:val="20"/>
          <w:szCs w:val="20"/>
          <w:color w:val="auto"/>
        </w:rPr>
      </w:pPr>
      <w:r>
        <w:rPr>
          <w:rFonts w:ascii="Times New Roman" w:cs="Times New Roman" w:eastAsia="Times New Roman" w:hAnsi="Times New Roman"/>
          <w:sz w:val="20"/>
          <w:szCs w:val="20"/>
          <w:color w:val="auto"/>
        </w:rPr>
        <w:t>the Plan and any Enrollment Agreement shall not form part of any contract of employment between the Corporation and a Non-U.S. Participant, and will not interfere with the ability of the Corporation to terminate the Non-U.S. Participant’s employment at any time;</w:t>
      </w:r>
    </w:p>
    <w:p>
      <w:pPr>
        <w:spacing w:after="0" w:line="147" w:lineRule="exact"/>
        <w:rPr>
          <w:sz w:val="20"/>
          <w:szCs w:val="20"/>
          <w:color w:val="auto"/>
        </w:rPr>
      </w:pPr>
    </w:p>
    <w:p>
      <w:pPr>
        <w:jc w:val="both"/>
        <w:ind w:left="1880" w:hanging="748"/>
        <w:spacing w:after="0" w:line="249" w:lineRule="auto"/>
        <w:rPr>
          <w:sz w:val="20"/>
          <w:szCs w:val="20"/>
          <w:color w:val="auto"/>
        </w:rPr>
      </w:pPr>
      <w:r>
        <w:rPr>
          <w:rFonts w:ascii="Times New Roman" w:cs="Times New Roman" w:eastAsia="Times New Roman" w:hAnsi="Times New Roman"/>
          <w:sz w:val="20"/>
          <w:szCs w:val="20"/>
          <w:color w:val="auto"/>
        </w:rPr>
        <w:t>the Plan and each Offering are established voluntarily by the Corporation and are discretionary in nature, and unless expressly so provided in their contract of employment, a Non-U.S. Participant has no right or entitlement to an Offering or any expectation that an Offering might be made to them, whether subject to any conditions or at all;</w:t>
      </w:r>
    </w:p>
    <w:p>
      <w:pPr>
        <w:spacing w:after="0" w:line="166" w:lineRule="exact"/>
        <w:rPr>
          <w:sz w:val="20"/>
          <w:szCs w:val="20"/>
          <w:color w:val="auto"/>
        </w:rPr>
      </w:pPr>
    </w:p>
    <w:p>
      <w:pPr>
        <w:jc w:val="both"/>
        <w:ind w:left="1880" w:hanging="748"/>
        <w:spacing w:after="0" w:line="274" w:lineRule="auto"/>
        <w:rPr>
          <w:sz w:val="20"/>
          <w:szCs w:val="20"/>
          <w:color w:val="auto"/>
        </w:rPr>
      </w:pPr>
      <w:r>
        <w:rPr>
          <w:rFonts w:ascii="Times New Roman" w:cs="Times New Roman" w:eastAsia="Times New Roman" w:hAnsi="Times New Roman"/>
          <w:sz w:val="19"/>
          <w:szCs w:val="19"/>
          <w:color w:val="auto"/>
        </w:rPr>
        <w:t>the benefit to a Non-U.S. Participant of participation in the Plan (including, in particular but not by way of limitation, of any Offering made to them or of any Shares purchased under the Plan) shall not form any part of their remuneration or count as their remuneration for any purpose and shall not be pensionable;</w:t>
      </w:r>
    </w:p>
    <w:p>
      <w:pPr>
        <w:spacing w:after="0" w:line="143" w:lineRule="exact"/>
        <w:rPr>
          <w:sz w:val="20"/>
          <w:szCs w:val="20"/>
          <w:color w:val="auto"/>
        </w:rPr>
      </w:pPr>
    </w:p>
    <w:p>
      <w:pPr>
        <w:jc w:val="both"/>
        <w:ind w:left="1880" w:hanging="748"/>
        <w:spacing w:after="0" w:line="260" w:lineRule="auto"/>
        <w:rPr>
          <w:sz w:val="20"/>
          <w:szCs w:val="20"/>
          <w:color w:val="auto"/>
        </w:rPr>
      </w:pPr>
      <w:r>
        <w:rPr>
          <w:rFonts w:ascii="Times New Roman" w:cs="Times New Roman" w:eastAsia="Times New Roman" w:hAnsi="Times New Roman"/>
          <w:sz w:val="19"/>
          <w:szCs w:val="19"/>
          <w:color w:val="auto"/>
        </w:rPr>
        <w:t>the rights or opportunity granted to a Non-U.S. Participant on participation in an Offering shall not give the Non-U.S. Participant any rights or additional rights, and if a Non-U.S. Participant ceases to be employed by the Corporation, they shall not be entitled to compensation for the loss of any right or benefit or prospective right or benefit under the Plan (including, in particular but not by way of limitation, any option under an Offering which lapses by reason of their ceasing to be employed by the Corporation) whether by way of damages for unfair dismissal, wrongful dismissal, breach of contract or otherwise;</w:t>
      </w:r>
    </w:p>
    <w:p>
      <w:pPr>
        <w:spacing w:after="0" w:line="146" w:lineRule="exact"/>
        <w:rPr>
          <w:sz w:val="20"/>
          <w:szCs w:val="20"/>
          <w:color w:val="auto"/>
        </w:rPr>
      </w:pPr>
    </w:p>
    <w:p>
      <w:pPr>
        <w:jc w:val="both"/>
        <w:ind w:left="1880" w:hanging="748"/>
        <w:spacing w:after="0" w:line="269" w:lineRule="auto"/>
        <w:rPr>
          <w:sz w:val="20"/>
          <w:szCs w:val="20"/>
          <w:color w:val="auto"/>
        </w:rPr>
      </w:pPr>
      <w:r>
        <w:rPr>
          <w:rFonts w:ascii="Times New Roman" w:cs="Times New Roman" w:eastAsia="Times New Roman" w:hAnsi="Times New Roman"/>
          <w:sz w:val="20"/>
          <w:szCs w:val="20"/>
          <w:color w:val="auto"/>
        </w:rPr>
        <w:t>the rights or opportunity granted to a Non-U.S. Participant on the making of an Offering are not intended to replace any pension rights or compensation</w:t>
      </w:r>
    </w:p>
    <w:p>
      <w:pPr>
        <w:spacing w:after="0" w:line="30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2" w:right="339" w:bottom="1440" w:gutter="0" w:footer="0" w:header="0"/>
        </w:sectPr>
      </w:pPr>
    </w:p>
    <w:bookmarkStart w:id="62" w:name="page63"/>
    <w:bookmarkEnd w:id="62"/>
    <w:p>
      <w:pPr>
        <w:ind w:left="1880"/>
        <w:spacing w:after="0" w:line="269" w:lineRule="auto"/>
        <w:rPr>
          <w:sz w:val="20"/>
          <w:szCs w:val="20"/>
          <w:color w:val="auto"/>
        </w:rPr>
      </w:pPr>
      <w:r>
        <w:rPr>
          <w:rFonts w:ascii="Times New Roman" w:cs="Times New Roman" w:eastAsia="Times New Roman" w:hAnsi="Times New Roman"/>
          <w:sz w:val="20"/>
          <w:szCs w:val="20"/>
          <w:color w:val="auto"/>
        </w:rPr>
        <w:t>and shall not give the Non-U.S. Participant any rights or additional rights in respect of any pension scheme operated by the Corporation; and</w:t>
      </w:r>
    </w:p>
    <w:p>
      <w:pPr>
        <w:spacing w:after="0" w:line="146" w:lineRule="exact"/>
        <w:rPr>
          <w:sz w:val="20"/>
          <w:szCs w:val="20"/>
          <w:color w:val="auto"/>
        </w:rPr>
      </w:pPr>
    </w:p>
    <w:p>
      <w:pPr>
        <w:jc w:val="both"/>
        <w:ind w:left="1880" w:hanging="748"/>
        <w:spacing w:after="0" w:line="246" w:lineRule="auto"/>
        <w:rPr>
          <w:sz w:val="20"/>
          <w:szCs w:val="20"/>
          <w:color w:val="auto"/>
        </w:rPr>
      </w:pPr>
      <w:r>
        <w:rPr>
          <w:rFonts w:ascii="Times New Roman" w:cs="Times New Roman" w:eastAsia="Times New Roman" w:hAnsi="Times New Roman"/>
          <w:sz w:val="20"/>
          <w:szCs w:val="20"/>
          <w:color w:val="auto"/>
        </w:rPr>
        <w:t>a Non-U.S. Participant shall not be entitled to any compensation or damages for any loss or potential loss which they may suffer by reason of being unable to acquire or retain Shares or any interest in Shares (or any equivalent or connected interest) pursuant to an Offering in consequence of the loss or termination of their employment with the Corporation for any reason whatsoever (whether or not the termination is ultimately held to be wrongful or unfair).</w:t>
      </w:r>
    </w:p>
    <w:p>
      <w:pPr>
        <w:spacing w:after="0" w:line="154" w:lineRule="exact"/>
        <w:rPr>
          <w:sz w:val="20"/>
          <w:szCs w:val="20"/>
          <w:color w:val="auto"/>
        </w:rPr>
      </w:pPr>
    </w:p>
    <w:p>
      <w:pPr>
        <w:ind w:left="1140" w:right="20" w:hanging="7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Personal Data. </w:t>
      </w:r>
      <w:r>
        <w:rPr>
          <w:rFonts w:ascii="Times New Roman" w:cs="Times New Roman" w:eastAsia="Times New Roman" w:hAnsi="Times New Roman"/>
          <w:sz w:val="20"/>
          <w:szCs w:val="20"/>
          <w:color w:val="auto"/>
        </w:rPr>
        <w:t>By electing to participate in the Plan and any Offering, a Non-U.S. Participant acknowledges, in respect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processing and disclosure of the Non-U.S. Participant’s personal data, that:</w:t>
      </w:r>
    </w:p>
    <w:p>
      <w:pPr>
        <w:spacing w:after="0" w:line="142" w:lineRule="exact"/>
        <w:rPr>
          <w:sz w:val="20"/>
          <w:szCs w:val="20"/>
          <w:color w:val="auto"/>
        </w:rPr>
      </w:pPr>
    </w:p>
    <w:p>
      <w:pPr>
        <w:jc w:val="both"/>
        <w:ind w:left="1880" w:hanging="748"/>
        <w:spacing w:after="0" w:line="246" w:lineRule="auto"/>
        <w:rPr>
          <w:sz w:val="20"/>
          <w:szCs w:val="20"/>
          <w:color w:val="auto"/>
        </w:rPr>
      </w:pPr>
      <w:r>
        <w:rPr>
          <w:rFonts w:ascii="Times New Roman" w:cs="Times New Roman" w:eastAsia="Times New Roman" w:hAnsi="Times New Roman"/>
          <w:sz w:val="20"/>
          <w:szCs w:val="20"/>
          <w:color w:val="auto"/>
        </w:rPr>
        <w:t>the Corporation is required to collect, process and utilize the Non-U.S. Participant’s personal data for purposes directly relevant to the employment relationship between the Corporation and the Non-U.S. Participant, and, for the purpose of administering the Plan, to disclose or transfer some or all of that personal data, as necessary, between the bodies corporate comprising the Corporation or to any third party engaged by the Corporation to assist with the administration of the Plan;</w:t>
      </w:r>
    </w:p>
    <w:p>
      <w:pPr>
        <w:spacing w:after="0" w:line="171" w:lineRule="exact"/>
        <w:rPr>
          <w:sz w:val="20"/>
          <w:szCs w:val="20"/>
          <w:color w:val="auto"/>
        </w:rPr>
      </w:pPr>
    </w:p>
    <w:p>
      <w:pPr>
        <w:jc w:val="both"/>
        <w:ind w:left="1880" w:hanging="748"/>
        <w:spacing w:after="0" w:line="249" w:lineRule="auto"/>
        <w:rPr>
          <w:sz w:val="20"/>
          <w:szCs w:val="20"/>
          <w:color w:val="auto"/>
        </w:rPr>
      </w:pPr>
      <w:r>
        <w:rPr>
          <w:rFonts w:ascii="Times New Roman" w:cs="Times New Roman" w:eastAsia="Times New Roman" w:hAnsi="Times New Roman"/>
          <w:sz w:val="20"/>
          <w:szCs w:val="20"/>
          <w:color w:val="auto"/>
        </w:rPr>
        <w:t>the Corporation and any such third party may utilize such personal data for the purpose of administering the Plan and the Non-U.S. Participant’s participation in an Offering, provided that such personal data shall be kept confidential and shall not be used by the third party for any purposes not related to the administration of the Plan;</w:t>
      </w:r>
    </w:p>
    <w:p>
      <w:pPr>
        <w:spacing w:after="0" w:line="153" w:lineRule="exact"/>
        <w:rPr>
          <w:sz w:val="20"/>
          <w:szCs w:val="20"/>
          <w:color w:val="auto"/>
        </w:rPr>
      </w:pPr>
    </w:p>
    <w:p>
      <w:pPr>
        <w:jc w:val="both"/>
        <w:ind w:left="1880" w:hanging="748"/>
        <w:spacing w:after="0" w:line="246" w:lineRule="auto"/>
        <w:rPr>
          <w:sz w:val="20"/>
          <w:szCs w:val="20"/>
          <w:color w:val="auto"/>
        </w:rPr>
      </w:pPr>
      <w:r>
        <w:rPr>
          <w:rFonts w:ascii="Times New Roman" w:cs="Times New Roman" w:eastAsia="Times New Roman" w:hAnsi="Times New Roman"/>
          <w:sz w:val="20"/>
          <w:szCs w:val="20"/>
          <w:color w:val="auto"/>
        </w:rPr>
        <w:t>the Corporation and the Corporation's representatives may discuss with and obtain all relevant information from all personnel, professional or non-professional, involved in the administration and operation of the Plan, and the Corporation and any third-party Plan service provider may disclose and discuss the Plan with their advisors, and the Corporation may record such information and to keep such information in the Non-U.S. Participant's employee file;</w:t>
      </w:r>
    </w:p>
    <w:p>
      <w:pPr>
        <w:spacing w:after="0" w:line="171" w:lineRule="exact"/>
        <w:rPr>
          <w:sz w:val="20"/>
          <w:szCs w:val="20"/>
          <w:color w:val="auto"/>
        </w:rPr>
      </w:pPr>
    </w:p>
    <w:p>
      <w:pPr>
        <w:jc w:val="both"/>
        <w:ind w:left="1880" w:hanging="748"/>
        <w:spacing w:after="0" w:line="244" w:lineRule="auto"/>
        <w:rPr>
          <w:sz w:val="20"/>
          <w:szCs w:val="20"/>
          <w:color w:val="auto"/>
        </w:rPr>
      </w:pPr>
      <w:r>
        <w:rPr>
          <w:rFonts w:ascii="Times New Roman" w:cs="Times New Roman" w:eastAsia="Times New Roman" w:hAnsi="Times New Roman"/>
          <w:sz w:val="20"/>
          <w:szCs w:val="20"/>
          <w:color w:val="auto"/>
        </w:rPr>
        <w:t>the recipients of the Non-U.S. Participant’s personal data may be located in the United States or in the European Economic Area (“EEA”) or elsewhere, and the Non-U.S. Participant’s country or jurisdiction may have different data privacy laws and protections than the United States or other country in which the recipients of the data are located, and with respect to a Non-U.S. Participant in the EEA, the Non-U.S. Participant’s personal data may be transferred within the EEA or outside of the EEA for the purpose of administering the Plan (in which case the transfer shall be governed by “model contract clauses” or equivalent measures required under the European Union’s data protection laws);</w:t>
      </w:r>
    </w:p>
    <w:p>
      <w:pPr>
        <w:spacing w:after="0" w:line="172" w:lineRule="exact"/>
        <w:rPr>
          <w:sz w:val="20"/>
          <w:szCs w:val="20"/>
          <w:color w:val="auto"/>
        </w:rPr>
      </w:pPr>
    </w:p>
    <w:p>
      <w:pPr>
        <w:jc w:val="both"/>
        <w:ind w:left="1880" w:hanging="748"/>
        <w:spacing w:after="0" w:line="254" w:lineRule="auto"/>
        <w:rPr>
          <w:sz w:val="20"/>
          <w:szCs w:val="20"/>
          <w:color w:val="auto"/>
        </w:rPr>
      </w:pPr>
      <w:r>
        <w:rPr>
          <w:rFonts w:ascii="Times New Roman" w:cs="Times New Roman" w:eastAsia="Times New Roman" w:hAnsi="Times New Roman"/>
          <w:sz w:val="20"/>
          <w:szCs w:val="20"/>
          <w:color w:val="auto"/>
        </w:rPr>
        <w:t>the Non-U.S. Participant’s personal data may be processed and disclosed by and to any future purchaser of the Corporation (or of a Subsidiary thereof that has the employment relationship with the Non-U.S. Participant or of their respective undertakings or any parts thereof) for the purpose of</w:t>
      </w:r>
    </w:p>
    <w:p>
      <w:pPr>
        <w:spacing w:after="0" w:line="30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3" w:name="page64"/>
    <w:bookmarkEnd w:id="63"/>
    <w:p>
      <w:pPr>
        <w:ind w:left="1880"/>
        <w:spacing w:after="0" w:line="269" w:lineRule="auto"/>
        <w:rPr>
          <w:sz w:val="20"/>
          <w:szCs w:val="20"/>
          <w:color w:val="auto"/>
        </w:rPr>
      </w:pPr>
      <w:r>
        <w:rPr>
          <w:rFonts w:ascii="Times New Roman" w:cs="Times New Roman" w:eastAsia="Times New Roman" w:hAnsi="Times New Roman"/>
          <w:sz w:val="20"/>
          <w:szCs w:val="20"/>
          <w:color w:val="auto"/>
        </w:rPr>
        <w:t>administering the Plan and/or confirming the Non-U.S. Participant’s entitlement to participation in an Offering where such entitlement is relevant to such purchase;</w:t>
      </w:r>
    </w:p>
    <w:p>
      <w:pPr>
        <w:spacing w:after="0" w:line="146" w:lineRule="exact"/>
        <w:rPr>
          <w:sz w:val="20"/>
          <w:szCs w:val="20"/>
          <w:color w:val="auto"/>
        </w:rPr>
      </w:pPr>
    </w:p>
    <w:p>
      <w:pPr>
        <w:jc w:val="both"/>
        <w:ind w:left="1880" w:hanging="748"/>
        <w:spacing w:after="0" w:line="254" w:lineRule="auto"/>
        <w:rPr>
          <w:sz w:val="20"/>
          <w:szCs w:val="20"/>
          <w:color w:val="auto"/>
        </w:rPr>
      </w:pPr>
      <w:r>
        <w:rPr>
          <w:rFonts w:ascii="Times New Roman" w:cs="Times New Roman" w:eastAsia="Times New Roman" w:hAnsi="Times New Roman"/>
          <w:sz w:val="20"/>
          <w:szCs w:val="20"/>
          <w:color w:val="auto"/>
        </w:rPr>
        <w:t>the purposes described in this paragraph 2 for the processing of the Non-U.S. Participant’s personal data are necessary for the administration of the Plan or are otherwise necessary for the legitimate interests of the Corporation in connection with the administration of the Plan; and</w:t>
      </w:r>
    </w:p>
    <w:p>
      <w:pPr>
        <w:spacing w:after="0" w:line="147" w:lineRule="exact"/>
        <w:rPr>
          <w:sz w:val="20"/>
          <w:szCs w:val="20"/>
          <w:color w:val="auto"/>
        </w:rPr>
      </w:pPr>
    </w:p>
    <w:p>
      <w:pPr>
        <w:jc w:val="both"/>
        <w:ind w:left="1880" w:hanging="748"/>
        <w:spacing w:after="0" w:line="245" w:lineRule="auto"/>
        <w:rPr>
          <w:sz w:val="20"/>
          <w:szCs w:val="20"/>
          <w:color w:val="auto"/>
        </w:rPr>
      </w:pPr>
      <w:r>
        <w:rPr>
          <w:rFonts w:ascii="Times New Roman" w:cs="Times New Roman" w:eastAsia="Times New Roman" w:hAnsi="Times New Roman"/>
          <w:sz w:val="20"/>
          <w:szCs w:val="20"/>
          <w:color w:val="auto"/>
        </w:rPr>
        <w:t>should the Non-U.S. Participant exercise certain data subject rights in relation to the Non-U.S. Participant’s personal data, such as the right of objection or erasure, the Non-U.S. Participant acknowledges that it may no longer be possible to administer the Plan or the Non-U.S. Participant’s participation in an Offering pursuant to the Plan and any Enrollment Agreement and, in that case, the Offering shall lapse and the Non-U.S. Participant shall be deemed to have waived (without any right to compensation) any right to participation in the Offering.</w:t>
      </w:r>
    </w:p>
    <w:p>
      <w:pPr>
        <w:spacing w:after="0" w:line="167" w:lineRule="exact"/>
        <w:rPr>
          <w:sz w:val="20"/>
          <w:szCs w:val="20"/>
          <w:color w:val="auto"/>
        </w:rPr>
      </w:pPr>
    </w:p>
    <w:p>
      <w:pPr>
        <w:jc w:val="both"/>
        <w:ind w:left="1140" w:hanging="7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Taxation. </w:t>
      </w:r>
      <w:r>
        <w:rPr>
          <w:rFonts w:ascii="Times New Roman" w:cs="Times New Roman" w:eastAsia="Times New Roman" w:hAnsi="Times New Roman"/>
          <w:sz w:val="20"/>
          <w:szCs w:val="20"/>
          <w:color w:val="auto"/>
        </w:rPr>
        <w:t>A Non-U.S. Participant shall be responsible for and shall indemnify the Corporation against, any tax, universal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social charge, social insurance or social security contribution, payroll tax, or other amount required by law or regulation relating to participation in an Offering, the purchase of Shares under the terms of the Offering and any subsequent disposal of the Shares by the Non-U.S. Participant. Without prejudice to the foregoing, where the Corporation has a mandatory withholding and remittance obligation in respect of any tax, universal social charge, social insurance or social security contribution, payroll tax, or other amount arising from a Non-U.S. Participant’s participation in an Offering or the purchase of Shares under the terms of the Offering, it shall have the right, to the extent permitted by law, to deduct any such amounts from any payment of any kind otherwise due from the Corporation to the Non-U.S. Participant.</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Provisions Applicable To Non-U.S. Participants In Specific Countries</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20"/>
          <w:szCs w:val="20"/>
          <w:b w:val="1"/>
          <w:bCs w:val="1"/>
          <w:u w:val="single" w:color="auto"/>
          <w:color w:val="auto"/>
        </w:rPr>
        <w:t>Canada</w:t>
      </w:r>
    </w:p>
    <w:p>
      <w:pPr>
        <w:spacing w:after="0" w:line="204"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i w:val="1"/>
          <w:iCs w:val="1"/>
          <w:color w:val="auto"/>
        </w:rPr>
        <w:t xml:space="preserve">Sale of Shares. </w:t>
      </w:r>
      <w:r>
        <w:rPr>
          <w:rFonts w:ascii="Arial" w:cs="Arial" w:eastAsia="Arial" w:hAnsi="Arial"/>
          <w:sz w:val="20"/>
          <w:szCs w:val="20"/>
          <w:color w:val="auto"/>
        </w:rPr>
        <w:t>A Non-U.S. Participant is permitted to sell the Shares acquired under the Plan through the</w:t>
      </w:r>
      <w:r>
        <w:rPr>
          <w:rFonts w:ascii="Arial" w:cs="Arial" w:eastAsia="Arial" w:hAnsi="Arial"/>
          <w:sz w:val="20"/>
          <w:szCs w:val="20"/>
          <w:i w:val="1"/>
          <w:iCs w:val="1"/>
          <w:color w:val="auto"/>
        </w:rPr>
        <w:t xml:space="preserve"> </w:t>
      </w:r>
      <w:r>
        <w:rPr>
          <w:rFonts w:ascii="Arial" w:cs="Arial" w:eastAsia="Arial" w:hAnsi="Arial"/>
          <w:sz w:val="20"/>
          <w:szCs w:val="20"/>
          <w:color w:val="auto"/>
        </w:rPr>
        <w:t>designated broker appointed by the Corporation, provided the sale of the Shares takes place outside of Canada through facilities of a stock exchange on which the Shares are listed (</w:t>
      </w:r>
      <w:r>
        <w:rPr>
          <w:rFonts w:ascii="Arial" w:cs="Arial" w:eastAsia="Arial" w:hAnsi="Arial"/>
          <w:sz w:val="20"/>
          <w:szCs w:val="20"/>
          <w:i w:val="1"/>
          <w:iCs w:val="1"/>
          <w:color w:val="auto"/>
        </w:rPr>
        <w:t>i.e.</w:t>
      </w:r>
      <w:r>
        <w:rPr>
          <w:rFonts w:ascii="Arial" w:cs="Arial" w:eastAsia="Arial" w:hAnsi="Arial"/>
          <w:sz w:val="20"/>
          <w:szCs w:val="20"/>
          <w:color w:val="auto"/>
        </w:rPr>
        <w:t>, the New York Stock Exchange).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0"/>
          <w:szCs w:val="20"/>
          <w:b w:val="1"/>
          <w:bCs w:val="1"/>
          <w:u w:val="single" w:color="auto"/>
          <w:color w:val="auto"/>
        </w:rPr>
        <w:t>Ireland</w:t>
      </w:r>
    </w:p>
    <w:p>
      <w:pPr>
        <w:spacing w:after="0" w:line="226" w:lineRule="exact"/>
        <w:rPr>
          <w:sz w:val="20"/>
          <w:szCs w:val="20"/>
          <w:color w:val="auto"/>
        </w:rPr>
      </w:pPr>
    </w:p>
    <w:p>
      <w:pPr>
        <w:jc w:val="both"/>
        <w:ind w:left="1140" w:hanging="755"/>
        <w:spacing w:after="0" w:line="247" w:lineRule="auto"/>
        <w:tabs>
          <w:tab w:leader="none" w:pos="11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Eligibility. </w:t>
      </w:r>
      <w:r>
        <w:rPr>
          <w:rFonts w:ascii="Times New Roman" w:cs="Times New Roman" w:eastAsia="Times New Roman" w:hAnsi="Times New Roman"/>
          <w:sz w:val="20"/>
          <w:szCs w:val="20"/>
          <w:color w:val="auto"/>
        </w:rPr>
        <w:t>In accordance with the terms of the Plan and Treasury Regulation Section 1.423-2(a), each Offering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Employees who are permanently resident or employed in Ireland (each, an “Ireland Employee”) will be a separate Offering under the Plan. Any person who is employed by the Corporation and is an Ireland Employee shall be eligible to participate in the Plan and the exclusions in Article 6(a)(i) and (ii) of the Plan shall not apply in the case of an Ireland Employee.</w:t>
      </w:r>
    </w:p>
    <w:p>
      <w:pPr>
        <w:spacing w:after="0" w:line="153" w:lineRule="exact"/>
        <w:rPr>
          <w:rFonts w:ascii="Times New Roman" w:cs="Times New Roman" w:eastAsia="Times New Roman" w:hAnsi="Times New Roman"/>
          <w:sz w:val="20"/>
          <w:szCs w:val="20"/>
          <w:color w:val="auto"/>
        </w:rPr>
      </w:pPr>
    </w:p>
    <w:p>
      <w:pPr>
        <w:ind w:left="1140" w:hanging="755"/>
        <w:spacing w:after="0"/>
        <w:tabs>
          <w:tab w:leader="none" w:pos="11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Provision of Information.</w:t>
      </w:r>
    </w:p>
    <w:p>
      <w:pPr>
        <w:spacing w:after="0" w:line="36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4" w:name="page65"/>
    <w:bookmarkEnd w:id="64"/>
    <w:p>
      <w:pPr>
        <w:jc w:val="both"/>
        <w:ind w:left="1880" w:hanging="748"/>
        <w:spacing w:after="0" w:line="254" w:lineRule="auto"/>
        <w:rPr>
          <w:sz w:val="20"/>
          <w:szCs w:val="20"/>
          <w:color w:val="auto"/>
        </w:rPr>
      </w:pPr>
      <w:r>
        <w:rPr>
          <w:rFonts w:ascii="Times New Roman" w:cs="Times New Roman" w:eastAsia="Times New Roman" w:hAnsi="Times New Roman"/>
          <w:sz w:val="20"/>
          <w:szCs w:val="20"/>
          <w:color w:val="auto"/>
        </w:rPr>
        <w:t>An Ireland Employee shall provide to the Corporation as soon as reasonably practicable such information as the Corporation reasonably requests for the purpose of complying with its obligations (if any) under Section 897B of Taxes Consolidation Act 1997 (as amended) of Ireland.</w:t>
      </w:r>
    </w:p>
    <w:p>
      <w:pPr>
        <w:spacing w:after="0" w:line="161" w:lineRule="exact"/>
        <w:rPr>
          <w:sz w:val="20"/>
          <w:szCs w:val="20"/>
          <w:color w:val="auto"/>
        </w:rPr>
      </w:pPr>
    </w:p>
    <w:p>
      <w:pPr>
        <w:jc w:val="both"/>
        <w:ind w:left="1880" w:hanging="748"/>
        <w:spacing w:after="0" w:line="244" w:lineRule="auto"/>
        <w:rPr>
          <w:sz w:val="20"/>
          <w:szCs w:val="20"/>
          <w:color w:val="auto"/>
        </w:rPr>
      </w:pPr>
      <w:r>
        <w:rPr>
          <w:rFonts w:ascii="Times New Roman" w:cs="Times New Roman" w:eastAsia="Times New Roman" w:hAnsi="Times New Roman"/>
          <w:sz w:val="20"/>
          <w:szCs w:val="20"/>
          <w:color w:val="auto"/>
        </w:rPr>
        <w:t>An Ireland Employee who is a director or shadow director or secretary of any Subsidiary that is incorporated in Ireland (an “Ireland Subsidiary”) shall notify the Ireland Subsidiary in writing within five business days of such Ireland Employee receiving or disposing of a “disclosable interest” (within the meaning of and for the purposes of Chapter 5 of Part 5 of the Companies Act 2014 of Ireland) in the Corporation, or within five business days of such Ireland Employee becoming aware of the event giving rise to the notification requirement, or within five business days of such Ireland Employee becoming a director or shadow director or secretary if such a “disclosable interest” exists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Powell Brown, certify that:</w:t>
      </w:r>
    </w:p>
    <w:p>
      <w:pPr>
        <w:spacing w:after="0" w:line="225" w:lineRule="exact"/>
        <w:rPr>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Brown &amp; Brown, Inc. (the “Registrant”) on Form 10-Q for the quarter ended June 30, 2025;</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right="280" w:hanging="365"/>
        <w:spacing w:after="0" w:line="266" w:lineRule="auto"/>
        <w:tabs>
          <w:tab w:leader="none" w:pos="7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65"/>
        <w:spacing w:after="0" w:line="266" w:lineRule="auto"/>
        <w:tabs>
          <w:tab w:leader="none" w:pos="7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20" w:hanging="365"/>
        <w:spacing w:after="0" w:line="312" w:lineRule="auto"/>
        <w:tabs>
          <w:tab w:leader="none" w:pos="759"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140" w:hanging="365"/>
        <w:spacing w:after="0" w:line="266" w:lineRule="auto"/>
        <w:tabs>
          <w:tab w:leader="none" w:pos="7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60" w:hanging="365"/>
        <w:spacing w:after="0" w:line="282" w:lineRule="auto"/>
        <w:tabs>
          <w:tab w:leader="none" w:pos="7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2025</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J. Powell Brown</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Andrew Watts, certify that:</w:t>
      </w:r>
    </w:p>
    <w:p>
      <w:pPr>
        <w:spacing w:after="0" w:line="225"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Brown &amp; Brown, Inc. (the “Registrant”) on Form 10-Q for the quarter ended June 30, 2025;</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right="280" w:hanging="365"/>
        <w:spacing w:after="0" w:line="266" w:lineRule="auto"/>
        <w:tabs>
          <w:tab w:leader="none" w:pos="75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65"/>
        <w:spacing w:after="0" w:line="266" w:lineRule="auto"/>
        <w:tabs>
          <w:tab w:leader="none" w:pos="75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20" w:hanging="365"/>
        <w:spacing w:after="0" w:line="312" w:lineRule="auto"/>
        <w:tabs>
          <w:tab w:leader="none" w:pos="759"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140" w:hanging="365"/>
        <w:spacing w:after="0" w:line="266" w:lineRule="auto"/>
        <w:tabs>
          <w:tab w:leader="none" w:pos="75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60" w:hanging="365"/>
        <w:spacing w:after="0" w:line="282" w:lineRule="auto"/>
        <w:tabs>
          <w:tab w:leader="none" w:pos="75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2025</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 Andrew Watts</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Title 18 of the United States Code,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Brown &amp; Brown, Inc. (the “Company”) on Form 10-Q for the quarter ended June 30, 2025, as filed with the Securities and Exchange Commission on the date hereof (the “Form 10-Q”), I, J. Powell Brown,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380" w:right="60" w:hanging="372"/>
        <w:spacing w:after="0" w:line="282" w:lineRule="auto"/>
        <w:tabs>
          <w:tab w:leader="none" w:pos="3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(15 U.S.C. § 78m or § 78o(d)); and</w:t>
      </w:r>
    </w:p>
    <w:p>
      <w:pPr>
        <w:spacing w:after="0" w:line="161" w:lineRule="exact"/>
        <w:rPr>
          <w:rFonts w:ascii="Times New Roman" w:cs="Times New Roman" w:eastAsia="Times New Roman" w:hAnsi="Times New Roman"/>
          <w:sz w:val="18"/>
          <w:szCs w:val="18"/>
          <w:color w:val="auto"/>
        </w:rPr>
      </w:pPr>
    </w:p>
    <w:p>
      <w:pPr>
        <w:ind w:right="100" w:firstLine="8"/>
        <w:spacing w:after="0" w:line="532"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Dated: July 28,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Powell Brown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Title 18 of the United States Code,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Brown &amp; Brown, Inc. (the “Company”) on Form 10-Q for the quarter ended June 30, 2025, as filed with the Securities and Exchange Commission on the date hereof (the “Form 10-Q”), I, R. Andrew Watts,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380" w:right="60" w:hanging="372"/>
        <w:spacing w:after="0" w:line="282" w:lineRule="auto"/>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(15 U.S.C. § 78m or § 78o(d)); and</w:t>
      </w:r>
    </w:p>
    <w:p>
      <w:pPr>
        <w:spacing w:after="0" w:line="161" w:lineRule="exact"/>
        <w:rPr>
          <w:rFonts w:ascii="Times New Roman" w:cs="Times New Roman" w:eastAsia="Times New Roman" w:hAnsi="Times New Roman"/>
          <w:sz w:val="18"/>
          <w:szCs w:val="18"/>
          <w:color w:val="auto"/>
        </w:rPr>
      </w:pPr>
    </w:p>
    <w:p>
      <w:pPr>
        <w:ind w:right="100" w:firstLine="8"/>
        <w:spacing w:after="0" w:line="532" w:lineRule="auto"/>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Dated: July 28,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Andrew Watts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01"/>
    </w:lvl>
  </w:abstractNum>
  <w:abstractNum w:abstractNumId="30">
    <w:nsid w:val="2A487CB0"/>
    <w:multiLevelType w:val="hybridMultilevel"/>
    <w:lvl w:ilvl="0">
      <w:lvlJc w:val="left"/>
      <w:lvlText w:val="*"/>
      <w:numFmt w:val="bullet"/>
      <w:start w:val="1"/>
    </w:lvl>
    <w:lvl w:ilvl="1">
      <w:lvlJc w:val="left"/>
      <w:lvlText w:val="%2"/>
      <w:numFmt w:val="decimal"/>
      <w:start w:val="104"/>
    </w:lvl>
  </w:abstractNum>
  <w:abstractNum w:abstractNumId="31">
    <w:nsid w:val="1D4ED43B"/>
    <w:multiLevelType w:val="hybridMultilevel"/>
    <w:lvl w:ilvl="0">
      <w:lvlJc w:val="left"/>
      <w:lvlText w:val="**"/>
      <w:numFmt w:val="bullet"/>
      <w:start w:val="1"/>
    </w:lvl>
    <w:lvl w:ilvl="1">
      <w:lvlJc w:val="left"/>
      <w:lvlText w:val="%2"/>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lowerLetter"/>
      <w:start w:val="1"/>
    </w:lvl>
    <w:lvl w:ilvl="1">
      <w:lvlJc w:val="left"/>
      <w:lvlText w:val="(%2)"/>
      <w:numFmt w:val="lowerRoman"/>
      <w:start w:val="1"/>
    </w:lvl>
  </w:abstractNum>
  <w:abstractNum w:abstractNumId="34">
    <w:nsid w:val="57E4CCAF"/>
    <w:multiLevelType w:val="hybridMultilevel"/>
    <w:lvl w:ilvl="0">
      <w:lvlJc w:val="left"/>
      <w:lvlText w:val="(%1)"/>
      <w:numFmt w:val="lowerLetter"/>
      <w:start w:val="10"/>
    </w:lvl>
  </w:abstractNum>
  <w:abstractNum w:abstractNumId="35">
    <w:nsid w:val="7A6D8D3C"/>
    <w:multiLevelType w:val="hybridMultilevel"/>
    <w:lvl w:ilvl="0">
      <w:lvlJc w:val="left"/>
      <w:lvlText w:val="(%1)"/>
      <w:numFmt w:val="lowerLetter"/>
      <w:start w:val="19"/>
    </w:lvl>
  </w:abstractNum>
  <w:abstractNum w:abstractNumId="36">
    <w:nsid w:val="4B588F54"/>
    <w:multiLevelType w:val="hybridMultilevel"/>
    <w:lvl w:ilvl="0">
      <w:lvlJc w:val="left"/>
      <w:lvlText w:val="%1."/>
      <w:numFmt w:val="decimal"/>
      <w:start w:val="2"/>
    </w:lvl>
    <w:lvl w:ilvl="1">
      <w:lvlJc w:val="left"/>
      <w:lvlText w:val="(%2)"/>
      <w:numFmt w:val="lowerLetter"/>
      <w:start w:val="1"/>
    </w:lvl>
  </w:abstractNum>
  <w:abstractNum w:abstractNumId="37">
    <w:nsid w:val="542289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8">
    <w:nsid w:val="6DE91B18"/>
    <w:multiLevelType w:val="hybridMultilevel"/>
    <w:lvl w:ilvl="0">
      <w:lvlJc w:val="left"/>
      <w:lvlText w:val="(%1)"/>
      <w:numFmt w:val="lowerLetter"/>
      <w:start w:val="2"/>
    </w:lvl>
    <w:lvl w:ilvl="1">
      <w:lvlJc w:val="left"/>
      <w:lvlText w:val="(%2)"/>
      <w:numFmt w:val="decimal"/>
      <w:start w:val="1"/>
    </w:lvl>
  </w:abstractNum>
  <w:abstractNum w:abstractNumId="39">
    <w:nsid w:val="38437FD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40">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decimal"/>
      <w:start w:val="2"/>
    </w:lvl>
    <w:lvl w:ilvl="4">
      <w:lvlJc w:val="left"/>
      <w:lvlText w:val="(%5)"/>
      <w:numFmt w:val="upperLetter"/>
      <w:start w:val="1"/>
    </w:lvl>
  </w:abstractNum>
  <w:abstractNum w:abstractNumId="41">
    <w:nsid w:val="32FFF9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decimal"/>
      <w:start w:val="1"/>
    </w:lvl>
    <w:lvl w:ilvl="4">
      <w:lvlJc w:val="left"/>
      <w:lvlText w:val="%5"/>
      <w:numFmt w:val="upperLetter"/>
      <w:start w:val="1"/>
    </w:lvl>
  </w:abstractNum>
  <w:abstractNum w:abstractNumId="42">
    <w:nsid w:val="684A481A"/>
    <w:multiLevelType w:val="hybridMultilevel"/>
    <w:lvl w:ilvl="0">
      <w:lvlJc w:val="left"/>
      <w:lvlText w:val="(%1)"/>
      <w:numFmt w:val="lowerLetter"/>
      <w:start w:val="3"/>
    </w:lvl>
    <w:lvl w:ilvl="1">
      <w:lvlJc w:val="left"/>
      <w:lvlText w:val="%2."/>
      <w:numFmt w:val="decimal"/>
      <w:start w:val="8"/>
    </w:lvl>
    <w:lvl w:ilvl="2">
      <w:lvlJc w:val="left"/>
      <w:lvlText w:val="%3"/>
      <w:numFmt w:val="lowerLetter"/>
      <w:start w:val="1"/>
    </w:lvl>
    <w:lvl w:ilvl="3">
      <w:lvlJc w:val="left"/>
      <w:lvlText w:val="%4"/>
      <w:numFmt w:val="decimal"/>
      <w:start w:val="1"/>
    </w:lvl>
    <w:lvl w:ilvl="4">
      <w:lvlJc w:val="left"/>
      <w:lvlText w:val="%5"/>
      <w:numFmt w:val="upperLetter"/>
      <w:start w:val="1"/>
    </w:lvl>
  </w:abstractNum>
  <w:abstractNum w:abstractNumId="43">
    <w:nsid w:val="579478FE"/>
    <w:multiLevelType w:val="hybridMultilevel"/>
    <w:lvl w:ilvl="0">
      <w:lvlJc w:val="left"/>
      <w:lvlText w:val="%1"/>
      <w:numFmt w:val="decimal"/>
      <w:start w:val="1"/>
    </w:lvl>
    <w:lvl w:ilvl="1">
      <w:lvlJc w:val="left"/>
      <w:lvlText w:val="(%2)"/>
      <w:numFmt w:val="lowerLetter"/>
      <w:start w:val="1"/>
    </w:lvl>
  </w:abstractNum>
  <w:abstractNum w:abstractNumId="44">
    <w:nsid w:val="749ABB43"/>
    <w:multiLevelType w:val="hybridMultilevel"/>
    <w:lvl w:ilvl="0">
      <w:lvlJc w:val="left"/>
      <w:lvlText w:val="%1."/>
      <w:numFmt w:val="decimal"/>
      <w:start w:val="9"/>
    </w:lvl>
    <w:lvl w:ilvl="1">
      <w:lvlJc w:val="left"/>
      <w:lvlText w:val="%2"/>
      <w:numFmt w:val="lowerLetter"/>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2"/>
    </w:lvl>
  </w:abstractNum>
  <w:abstractNum w:abstractNumId="47">
    <w:nsid w:val="79A1DEAA"/>
    <w:multiLevelType w:val="hybridMultilevel"/>
    <w:lvl w:ilvl="0">
      <w:lvlJc w:val="left"/>
      <w:lvlText w:val="(%1)"/>
      <w:numFmt w:val="decimal"/>
      <w:start w:val="2"/>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15" Type="http://schemas.openxmlformats.org/officeDocument/2006/relationships/hyperlink" Target="https://www.sec.gov/Archives/edgar/data/79282/000119312525138153/d32630dex21.htm" TargetMode="External"/><Relationship Id="rId416" Type="http://schemas.openxmlformats.org/officeDocument/2006/relationships/hyperlink" Target="https://www.sec.gov/Archives/edgar/data/79282/000095017023000930/bro-ex3_1.htm" TargetMode="External"/><Relationship Id="rId417" Type="http://schemas.openxmlformats.org/officeDocument/2006/relationships/hyperlink" Target="https://www.sec.gov/Archives/edgar/data/79282/000095017023000930/bro-ex3_2.htm" TargetMode="External"/><Relationship Id="rId418" Type="http://schemas.openxmlformats.org/officeDocument/2006/relationships/hyperlink" Target="https://www.sec.gov/Archives/edgar/data/79282/000119312525144719/d933338dex42.htm" TargetMode="External"/><Relationship Id="rId419" Type="http://schemas.openxmlformats.org/officeDocument/2006/relationships/hyperlink" Target="https://www.sec.gov/Archives/edgar/data/79282/000119312525144719/d933338dex43.htm" TargetMode="External"/><Relationship Id="rId420" Type="http://schemas.openxmlformats.org/officeDocument/2006/relationships/hyperlink" Target="https://www.sec.gov/Archives/edgar/data/79282/000119312525144719/d933338dex44.htm" TargetMode="External"/><Relationship Id="rId421" Type="http://schemas.openxmlformats.org/officeDocument/2006/relationships/hyperlink" Target="https://www.sec.gov/Archives/edgar/data/79282/000119312525144719/d933338dex45.htm" TargetMode="External"/><Relationship Id="rId422" Type="http://schemas.openxmlformats.org/officeDocument/2006/relationships/hyperlink" Target="https://www.sec.gov/Archives/edgar/data/79282/000119312525144719/d933338dex46.htm" TargetMode="External"/><Relationship Id="rId423" Type="http://schemas.openxmlformats.org/officeDocument/2006/relationships/hyperlink" Target="https://www.sec.gov/Archives/edgar/data/79282/000119312525144719/d933338dex47.htm" TargetMode="External"/><Relationship Id="rId424" Type="http://schemas.openxmlformats.org/officeDocument/2006/relationships/hyperlink" Target="https://www.sec.gov/Archives/edgar/data/79282/000119312525144719/d933338dex48.htm" TargetMode="External"/><Relationship Id="rId425" Type="http://schemas.openxmlformats.org/officeDocument/2006/relationships/hyperlink" Target="https://www.sec.gov/Archives/edgar/data/79282/000095017025069437/br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2025-07-28T16:14:40Z</dcterms:created>
  <dcterms:modified xsi:type="dcterms:W3CDTF">2025-07-28T16:14:40Z</dcterms:modified>
</cp:coreProperties>
</file>