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661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661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PENNY JEROME SCOTT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220 S. RIDGEWOOD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BROWN &amp; BROWN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12/19/2012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6"/>
        <w:spacing w:after="0"/>
        <w:rPr>
          <w:sz w:val="20"/>
          <w:szCs w:val="20"/>
          <w:color w:val="auto"/>
        </w:rPr>
      </w:pPr>
      <w:r>
        <w:rPr>
          <w:rFonts w:ascii="Arial" w:cs="Arial" w:eastAsia="Arial" w:hAnsi="Arial"/>
          <w:sz w:val="17"/>
          <w:szCs w:val="17"/>
          <w:color w:val="0000FF"/>
        </w:rPr>
        <w:t>Regional President</w:t>
      </w:r>
    </w:p>
    <w:p>
      <w:pPr>
        <w:spacing w:after="0" w:line="334"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7"/>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DAYTONA</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FL</w:t>
            </w:r>
          </w:p>
        </w:tc>
        <w:tc>
          <w:tcPr>
            <w:tcW w:w="1000" w:type="dxa"/>
            <w:vAlign w:val="bottom"/>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32114</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40" w:type="dxa"/>
            <w:vAlign w:val="bottom"/>
            <w:gridSpan w:val="8"/>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0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$.10 par value</w:t>
            </w:r>
          </w:p>
        </w:tc>
        <w:tc>
          <w:tcPr>
            <w:tcW w:w="182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12/19/2012</w:t>
            </w:r>
          </w:p>
        </w:tc>
        <w:tc>
          <w:tcPr>
            <w:tcW w:w="1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7"/>
                <w:szCs w:val="17"/>
                <w:color w:val="0000FF"/>
                <w:w w:val="93"/>
              </w:rPr>
              <w:t>12/19/2012</w:t>
            </w:r>
          </w:p>
        </w:tc>
        <w:tc>
          <w:tcPr>
            <w:tcW w:w="6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40" w:type="dxa"/>
            <w:vAlign w:val="bottom"/>
          </w:tcPr>
          <w:p>
            <w:pPr>
              <w:ind w:left="220"/>
              <w:spacing w:after="0"/>
              <w:rPr>
                <w:sz w:val="20"/>
                <w:szCs w:val="20"/>
                <w:color w:val="auto"/>
              </w:rPr>
            </w:pPr>
            <w:r>
              <w:rPr>
                <w:rFonts w:ascii="Arial" w:cs="Arial" w:eastAsia="Arial" w:hAnsi="Arial"/>
                <w:sz w:val="17"/>
                <w:szCs w:val="17"/>
                <w:color w:val="0000FF"/>
                <w:w w:val="96"/>
              </w:rPr>
              <w:t>54,656</w:t>
            </w:r>
          </w:p>
        </w:tc>
        <w:tc>
          <w:tcPr>
            <w:tcW w:w="68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15.78</w:t>
            </w:r>
          </w:p>
        </w:tc>
        <w:tc>
          <w:tcPr>
            <w:tcW w:w="6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92"/>
              </w:rPr>
              <w:t>86,005</w:t>
            </w:r>
          </w:p>
        </w:tc>
        <w:tc>
          <w:tcPr>
            <w:tcW w:w="320" w:type="dxa"/>
            <w:vAlign w:val="bottom"/>
          </w:tcPr>
          <w:p>
            <w:pPr>
              <w:spacing w:after="0"/>
              <w:rPr>
                <w:sz w:val="23"/>
                <w:szCs w:val="23"/>
                <w:color w:val="auto"/>
              </w:rPr>
            </w:pPr>
          </w:p>
        </w:tc>
        <w:tc>
          <w:tcPr>
            <w:tcW w:w="580" w:type="dxa"/>
            <w:vAlign w:val="bottom"/>
          </w:tcPr>
          <w:p>
            <w:pPr>
              <w:jc w:val="center"/>
              <w:ind w:right="273"/>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$.10 par value</w:t>
            </w: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12/19/2012</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w w:val="93"/>
              </w:rPr>
              <w:t>12/19/2012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20,000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18.48</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106,005</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$.10 par value</w:t>
            </w: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12/19/2012</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w w:val="93"/>
              </w:rPr>
              <w:t>12/19/2012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20,000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18.48</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126,005</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$.10 par value</w:t>
            </w: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12/19/2012</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w w:val="93"/>
              </w:rPr>
              <w:t>12/19/2012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(2)</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11,102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26.26</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114,903</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$.10 par value</w:t>
            </w: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12/19/2012</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w w:val="93"/>
              </w:rPr>
              <w:t>12/19/2012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(3)</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60,993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26.26</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53,910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6"/>
          </w:tcPr>
          <w:p>
            <w:pPr>
              <w:ind w:left="60"/>
              <w:spacing w:after="0"/>
              <w:rPr>
                <w:sz w:val="20"/>
                <w:szCs w:val="20"/>
                <w:color w:val="auto"/>
              </w:rPr>
            </w:pPr>
            <w:r>
              <w:rPr>
                <w:rFonts w:ascii="Arial" w:cs="Arial" w:eastAsia="Arial" w:hAnsi="Arial"/>
                <w:sz w:val="17"/>
                <w:szCs w:val="17"/>
                <w:color w:val="0000FF"/>
              </w:rPr>
              <w:t>Common Stock, $.10 par value (Jointly</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129,363</w:t>
            </w:r>
            <w:r>
              <w:rPr>
                <w:rFonts w:ascii="Arial" w:cs="Arial" w:eastAsia="Arial" w:hAnsi="Arial"/>
                <w:sz w:val="22"/>
                <w:szCs w:val="22"/>
                <w:color w:val="008000"/>
                <w:w w:val="88"/>
                <w:vertAlign w:val="superscript"/>
              </w:rPr>
              <w:t>(4)</w:t>
            </w:r>
          </w:p>
        </w:tc>
        <w:tc>
          <w:tcPr>
            <w:tcW w:w="320" w:type="dxa"/>
            <w:vAlign w:val="bottom"/>
          </w:tcPr>
          <w:p>
            <w:pPr>
              <w:spacing w:after="0"/>
              <w:rPr>
                <w:sz w:val="22"/>
                <w:szCs w:val="22"/>
                <w:color w:val="auto"/>
              </w:rPr>
            </w:pPr>
          </w:p>
        </w:tc>
        <w:tc>
          <w:tcPr>
            <w:tcW w:w="58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rPr>
              <w:t>Owned)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6"/>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$.10 par value (PSP)</w:t>
            </w: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150,342</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$.10 par value (SIP)</w:t>
            </w: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50,127</w:t>
            </w:r>
            <w:r>
              <w:rPr>
                <w:rFonts w:ascii="Arial" w:cs="Arial" w:eastAsia="Arial" w:hAnsi="Arial"/>
                <w:sz w:val="22"/>
                <w:szCs w:val="22"/>
                <w:color w:val="008000"/>
                <w:w w:val="88"/>
                <w:vertAlign w:val="superscript"/>
              </w:rPr>
              <w:t>(6)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$.10 par value</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23,091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rPr>
                <w:sz w:val="20"/>
                <w:szCs w:val="20"/>
                <w:color w:val="auto"/>
              </w:rPr>
            </w:pPr>
            <w:r>
              <w:rPr>
                <w:rFonts w:ascii="Arial" w:cs="Arial" w:eastAsia="Arial" w:hAnsi="Arial"/>
                <w:sz w:val="17"/>
                <w:szCs w:val="17"/>
                <w:color w:val="0000FF"/>
                <w:w w:val="83"/>
              </w:rPr>
              <w:t>I</w:t>
            </w:r>
          </w:p>
        </w:tc>
        <w:tc>
          <w:tcPr>
            <w:tcW w:w="9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By 401k</w:t>
            </w:r>
            <w:r>
              <w:rPr>
                <w:rFonts w:ascii="Arial" w:cs="Arial" w:eastAsia="Arial" w:hAnsi="Arial"/>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$.10 par value</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424"/>
              <w:spacing w:after="0"/>
              <w:rPr>
                <w:sz w:val="20"/>
                <w:szCs w:val="20"/>
                <w:color w:val="auto"/>
              </w:rPr>
            </w:pPr>
            <w:r>
              <w:rPr>
                <w:rFonts w:ascii="Arial" w:cs="Arial" w:eastAsia="Arial" w:hAnsi="Arial"/>
                <w:sz w:val="17"/>
                <w:szCs w:val="17"/>
                <w:color w:val="0000FF"/>
                <w:w w:val="94"/>
              </w:rPr>
              <w:t>96</w:t>
            </w: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rPr>
                <w:sz w:val="20"/>
                <w:szCs w:val="20"/>
                <w:color w:val="auto"/>
              </w:rPr>
            </w:pPr>
            <w:r>
              <w:rPr>
                <w:rFonts w:ascii="Arial" w:cs="Arial" w:eastAsia="Arial" w:hAnsi="Arial"/>
                <w:sz w:val="17"/>
                <w:szCs w:val="17"/>
                <w:color w:val="0000FF"/>
                <w:w w:val="83"/>
              </w:rPr>
              <w:t>I</w:t>
            </w: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Children</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60" w:type="dxa"/>
            <w:vAlign w:val="bottom"/>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78"/>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78"/>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15.78</w:t>
            </w:r>
          </w:p>
        </w:tc>
        <w:tc>
          <w:tcPr>
            <w:tcW w:w="2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95"/>
              </w:rPr>
              <w:t>12/19/2012</w:t>
            </w:r>
          </w:p>
        </w:tc>
        <w:tc>
          <w:tcPr>
            <w:tcW w:w="1180" w:type="dxa"/>
            <w:vAlign w:val="bottom"/>
            <w:vMerge w:val="restart"/>
          </w:tcPr>
          <w:p>
            <w:pPr>
              <w:ind w:left="320"/>
              <w:spacing w:after="0"/>
              <w:rPr>
                <w:sz w:val="20"/>
                <w:szCs w:val="20"/>
                <w:color w:val="auto"/>
              </w:rPr>
            </w:pPr>
            <w:r>
              <w:rPr>
                <w:rFonts w:ascii="Arial" w:cs="Arial" w:eastAsia="Arial" w:hAnsi="Arial"/>
                <w:sz w:val="13"/>
                <w:szCs w:val="13"/>
                <w:color w:val="0000FF"/>
              </w:rPr>
              <w:t>12/19/2012</w:t>
            </w:r>
          </w:p>
        </w:tc>
        <w:tc>
          <w:tcPr>
            <w:tcW w:w="12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1"/>
                <w:szCs w:val="11"/>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3"/>
                <w:szCs w:val="13"/>
                <w:color w:val="0000FF"/>
              </w:rPr>
              <w:t>54,656</w:t>
            </w: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01/22/2006</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03/23/2013</w:t>
            </w:r>
          </w:p>
        </w:tc>
        <w:tc>
          <w:tcPr>
            <w:tcW w:w="680" w:type="dxa"/>
            <w:vAlign w:val="bottom"/>
          </w:tcPr>
          <w:p>
            <w:pPr>
              <w:jc w:val="center"/>
              <w:ind w:right="31"/>
              <w:spacing w:after="0" w:line="132"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54,656</w:t>
            </w:r>
          </w:p>
        </w:tc>
        <w:tc>
          <w:tcPr>
            <w:tcW w:w="60" w:type="dxa"/>
            <w:vAlign w:val="bottom"/>
          </w:tcPr>
          <w:p>
            <w:pPr>
              <w:spacing w:after="0"/>
              <w:rPr>
                <w:sz w:val="11"/>
                <w:szCs w:val="11"/>
                <w:color w:val="auto"/>
              </w:rPr>
            </w:pPr>
          </w:p>
        </w:tc>
        <w:tc>
          <w:tcPr>
            <w:tcW w:w="720" w:type="dxa"/>
            <w:vAlign w:val="bottom"/>
            <w:gridSpan w:val="2"/>
            <w:vMerge w:val="restart"/>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15.78</w:t>
            </w:r>
          </w:p>
        </w:tc>
        <w:tc>
          <w:tcPr>
            <w:tcW w:w="84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0.0000</w:t>
            </w:r>
          </w:p>
        </w:tc>
        <w:tc>
          <w:tcPr>
            <w:tcW w:w="580" w:type="dxa"/>
            <w:vAlign w:val="bottom"/>
            <w:vMerge w:val="restart"/>
          </w:tcPr>
          <w:p>
            <w:pPr>
              <w:ind w:left="40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tcPr>
          <w:p>
            <w:pPr>
              <w:ind w:left="60"/>
              <w:spacing w:after="0" w:line="163" w:lineRule="exact"/>
              <w:rPr>
                <w:sz w:val="20"/>
                <w:szCs w:val="20"/>
                <w:color w:val="auto"/>
              </w:rPr>
            </w:pPr>
            <w:r>
              <w:rPr>
                <w:rFonts w:ascii="Arial" w:cs="Arial" w:eastAsia="Arial" w:hAnsi="Arial"/>
                <w:sz w:val="11"/>
                <w:szCs w:val="11"/>
                <w:color w:val="0000FF"/>
              </w:rPr>
              <w:t>Options</w:t>
            </w:r>
            <w:r>
              <w:rPr>
                <w:rFonts w:ascii="Arial" w:cs="Arial" w:eastAsia="Arial" w:hAnsi="Arial"/>
                <w:sz w:val="18"/>
                <w:szCs w:val="18"/>
                <w:color w:val="008000"/>
                <w:vertAlign w:val="superscript"/>
              </w:rPr>
              <w:t>(9)</w:t>
            </w: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color w:val="0000FF"/>
                <w:w w:val="92"/>
              </w:rPr>
              <w:t>$.10 par</w:t>
            </w: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color w:val="0000FF"/>
                <w:w w:val="89"/>
              </w:rPr>
              <w:t>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18.48</w:t>
            </w: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95"/>
              </w:rPr>
              <w:t>12/19/2012</w:t>
            </w:r>
          </w:p>
        </w:tc>
        <w:tc>
          <w:tcPr>
            <w:tcW w:w="1180" w:type="dxa"/>
            <w:vAlign w:val="bottom"/>
            <w:vMerge w:val="restart"/>
          </w:tcPr>
          <w:p>
            <w:pPr>
              <w:ind w:left="320"/>
              <w:spacing w:after="0"/>
              <w:rPr>
                <w:sz w:val="20"/>
                <w:szCs w:val="20"/>
                <w:color w:val="auto"/>
              </w:rPr>
            </w:pPr>
            <w:r>
              <w:rPr>
                <w:rFonts w:ascii="Arial" w:cs="Arial" w:eastAsia="Arial" w:hAnsi="Arial"/>
                <w:sz w:val="13"/>
                <w:szCs w:val="13"/>
                <w:color w:val="0000FF"/>
              </w:rPr>
              <w:t>12/19/2012</w:t>
            </w:r>
          </w:p>
        </w:tc>
        <w:tc>
          <w:tcPr>
            <w:tcW w:w="12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2"/>
                <w:szCs w:val="12"/>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3"/>
                <w:szCs w:val="13"/>
                <w:color w:val="0000FF"/>
              </w:rPr>
              <w:t>20,000</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04/15/2011</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02/26/2018</w:t>
            </w:r>
          </w:p>
        </w:tc>
        <w:tc>
          <w:tcPr>
            <w:tcW w:w="680" w:type="dxa"/>
            <w:vAlign w:val="bottom"/>
          </w:tcPr>
          <w:p>
            <w:pPr>
              <w:jc w:val="center"/>
              <w:ind w:right="31"/>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18.48</w:t>
            </w:r>
          </w:p>
        </w:tc>
        <w:tc>
          <w:tcPr>
            <w:tcW w:w="84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0.0000</w:t>
            </w:r>
          </w:p>
        </w:tc>
        <w:tc>
          <w:tcPr>
            <w:tcW w:w="580" w:type="dxa"/>
            <w:vAlign w:val="bottom"/>
            <w:vMerge w:val="restart"/>
          </w:tcPr>
          <w:p>
            <w:pPr>
              <w:ind w:left="40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jc w:val="center"/>
              <w:ind w:right="11"/>
              <w:spacing w:after="0" w:line="148" w:lineRule="exact"/>
              <w:rPr>
                <w:sz w:val="20"/>
                <w:szCs w:val="20"/>
                <w:color w:val="auto"/>
              </w:rPr>
            </w:pPr>
            <w:r>
              <w:rPr>
                <w:rFonts w:ascii="Arial" w:cs="Arial" w:eastAsia="Arial" w:hAnsi="Arial"/>
                <w:sz w:val="13"/>
                <w:szCs w:val="13"/>
                <w:color w:val="0000FF"/>
                <w:w w:val="92"/>
              </w:rPr>
              <w:t>$.10 par</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color w:val="0000FF"/>
                <w:w w:val="89"/>
              </w:rPr>
              <w:t>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18.48</w:t>
            </w:r>
          </w:p>
        </w:tc>
        <w:tc>
          <w:tcPr>
            <w:tcW w:w="2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95"/>
              </w:rPr>
              <w:t>12/19/2012</w:t>
            </w:r>
          </w:p>
        </w:tc>
        <w:tc>
          <w:tcPr>
            <w:tcW w:w="1180" w:type="dxa"/>
            <w:vAlign w:val="bottom"/>
            <w:vMerge w:val="restart"/>
          </w:tcPr>
          <w:p>
            <w:pPr>
              <w:ind w:left="320"/>
              <w:spacing w:after="0"/>
              <w:rPr>
                <w:sz w:val="20"/>
                <w:szCs w:val="20"/>
                <w:color w:val="auto"/>
              </w:rPr>
            </w:pPr>
            <w:r>
              <w:rPr>
                <w:rFonts w:ascii="Arial" w:cs="Arial" w:eastAsia="Arial" w:hAnsi="Arial"/>
                <w:sz w:val="13"/>
                <w:szCs w:val="13"/>
                <w:color w:val="0000FF"/>
              </w:rPr>
              <w:t>12/19/2012</w:t>
            </w:r>
          </w:p>
        </w:tc>
        <w:tc>
          <w:tcPr>
            <w:tcW w:w="12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1"/>
                <w:szCs w:val="11"/>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3"/>
                <w:szCs w:val="13"/>
                <w:color w:val="0000FF"/>
              </w:rPr>
              <w:t>20,000</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11/11/2010</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02/26/2018</w:t>
            </w:r>
          </w:p>
        </w:tc>
        <w:tc>
          <w:tcPr>
            <w:tcW w:w="680" w:type="dxa"/>
            <w:vAlign w:val="bottom"/>
          </w:tcPr>
          <w:p>
            <w:pPr>
              <w:jc w:val="center"/>
              <w:ind w:right="31"/>
              <w:spacing w:after="0" w:line="132"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1"/>
                <w:szCs w:val="11"/>
                <w:color w:val="auto"/>
              </w:rPr>
            </w:pPr>
          </w:p>
        </w:tc>
        <w:tc>
          <w:tcPr>
            <w:tcW w:w="720" w:type="dxa"/>
            <w:vAlign w:val="bottom"/>
            <w:gridSpan w:val="2"/>
            <w:vMerge w:val="restart"/>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18.48</w:t>
            </w:r>
          </w:p>
        </w:tc>
        <w:tc>
          <w:tcPr>
            <w:tcW w:w="84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0.0000</w:t>
            </w:r>
          </w:p>
        </w:tc>
        <w:tc>
          <w:tcPr>
            <w:tcW w:w="580" w:type="dxa"/>
            <w:vAlign w:val="bottom"/>
            <w:vMerge w:val="restart"/>
          </w:tcPr>
          <w:p>
            <w:pPr>
              <w:ind w:left="40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tcPr>
          <w:p>
            <w:pPr>
              <w:ind w:left="60"/>
              <w:spacing w:after="0" w:line="164" w:lineRule="exact"/>
              <w:rPr>
                <w:sz w:val="20"/>
                <w:szCs w:val="20"/>
                <w:color w:val="auto"/>
              </w:rPr>
            </w:pPr>
            <w:r>
              <w:rPr>
                <w:rFonts w:ascii="Arial" w:cs="Arial" w:eastAsia="Arial" w:hAnsi="Arial"/>
                <w:sz w:val="11"/>
                <w:szCs w:val="11"/>
                <w:color w:val="0000FF"/>
              </w:rPr>
              <w:t>Options</w:t>
            </w:r>
            <w:r>
              <w:rPr>
                <w:rFonts w:ascii="Arial" w:cs="Arial" w:eastAsia="Arial" w:hAnsi="Arial"/>
                <w:sz w:val="18"/>
                <w:szCs w:val="18"/>
                <w:color w:val="008000"/>
                <w:vertAlign w:val="superscript"/>
              </w:rPr>
              <w:t>(9)</w:t>
            </w: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color w:val="0000FF"/>
                <w:w w:val="92"/>
              </w:rPr>
              <w:t>$.10 par</w:t>
            </w: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color w:val="0000FF"/>
                <w:w w:val="89"/>
              </w:rPr>
              <w:t>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18.48</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11/26/2017</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02/26/2018</w:t>
            </w:r>
          </w:p>
        </w:tc>
        <w:tc>
          <w:tcPr>
            <w:tcW w:w="680" w:type="dxa"/>
            <w:vAlign w:val="bottom"/>
          </w:tcPr>
          <w:p>
            <w:pPr>
              <w:jc w:val="center"/>
              <w:ind w:right="31"/>
              <w:spacing w:after="0" w:line="132"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vMerge w:val="restart"/>
          </w:tcPr>
          <w:p>
            <w:pPr>
              <w:ind w:left="140"/>
              <w:spacing w:after="0"/>
              <w:rPr>
                <w:sz w:val="20"/>
                <w:szCs w:val="20"/>
                <w:color w:val="auto"/>
              </w:rPr>
            </w:pPr>
            <w:r>
              <w:rPr>
                <w:rFonts w:ascii="Arial" w:cs="Arial" w:eastAsia="Arial" w:hAnsi="Arial"/>
                <w:sz w:val="13"/>
                <w:szCs w:val="13"/>
                <w:color w:val="0000FF"/>
                <w:w w:val="90"/>
              </w:rPr>
              <w:t>60,000</w:t>
            </w:r>
          </w:p>
        </w:tc>
        <w:tc>
          <w:tcPr>
            <w:tcW w:w="320" w:type="dxa"/>
            <w:vAlign w:val="bottom"/>
          </w:tcPr>
          <w:p>
            <w:pPr>
              <w:spacing w:after="0"/>
              <w:rPr>
                <w:sz w:val="20"/>
                <w:szCs w:val="20"/>
                <w:color w:val="auto"/>
              </w:rPr>
            </w:pPr>
            <w:r>
              <w:rPr>
                <w:rFonts w:ascii="Arial" w:cs="Arial" w:eastAsia="Arial" w:hAnsi="Arial"/>
                <w:sz w:val="11"/>
                <w:szCs w:val="11"/>
                <w:color w:val="008000"/>
              </w:rPr>
              <w:t>(10)</w:t>
            </w:r>
          </w:p>
        </w:tc>
        <w:tc>
          <w:tcPr>
            <w:tcW w:w="580" w:type="dxa"/>
            <w:vAlign w:val="bottom"/>
            <w:vMerge w:val="restart"/>
          </w:tcPr>
          <w:p>
            <w:pPr>
              <w:ind w:left="40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line="176" w:lineRule="exact"/>
              <w:rPr>
                <w:sz w:val="20"/>
                <w:szCs w:val="20"/>
                <w:color w:val="auto"/>
              </w:rPr>
            </w:pPr>
            <w:r>
              <w:rPr>
                <w:rFonts w:ascii="Arial" w:cs="Arial" w:eastAsia="Arial" w:hAnsi="Arial"/>
                <w:sz w:val="12"/>
                <w:szCs w:val="12"/>
                <w:color w:val="0000FF"/>
              </w:rPr>
              <w:t>Options</w:t>
            </w:r>
            <w:r>
              <w:rPr>
                <w:rFonts w:ascii="Arial" w:cs="Arial" w:eastAsia="Arial" w:hAnsi="Arial"/>
                <w:sz w:val="20"/>
                <w:szCs w:val="20"/>
                <w:color w:val="008000"/>
                <w:vertAlign w:val="superscript"/>
              </w:rPr>
              <w:t>(9)</w:t>
            </w: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color w:val="0000FF"/>
                <w:w w:val="92"/>
              </w:rPr>
              <w:t>$.10 par</w:t>
            </w: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7220"/>
        <w:spacing w:after="0"/>
        <w:rPr>
          <w:sz w:val="20"/>
          <w:szCs w:val="20"/>
          <w:color w:val="auto"/>
        </w:rPr>
      </w:pPr>
      <w:r>
        <w:rPr>
          <w:rFonts w:ascii="Arial" w:cs="Arial" w:eastAsia="Arial" w:hAnsi="Arial"/>
          <w:sz w:val="13"/>
          <w:szCs w:val="13"/>
          <w:color w:val="0000FF"/>
        </w:rPr>
        <w:t>value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may vary due to dividend reinvestment.</w:t>
      </w:r>
    </w:p>
    <w:p>
      <w:pPr>
        <w:spacing w:after="0" w:line="5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withheld by the Company solely to cover the income tax withholding requirements associated with the exercise of options for 94,656 shares under the Company's 2000 Incentive Stock Option Plan.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were surrendered in payment of the exercise price of options for 94,656 shares under the Company's 2000 Incentive Stock Option Plan.</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Owned jointly with spouse.</w:t>
      </w:r>
    </w:p>
    <w:p>
      <w:pPr>
        <w:spacing w:after="0" w:line="51" w:lineRule="exact"/>
        <w:rPr>
          <w:rFonts w:ascii="Arial" w:cs="Arial" w:eastAsia="Arial" w:hAnsi="Arial"/>
          <w:sz w:val="13"/>
          <w:szCs w:val="13"/>
          <w:color w:val="008000"/>
        </w:rPr>
      </w:pPr>
    </w:p>
    <w:p>
      <w:pPr>
        <w:ind w:right="120" w:firstLine="8"/>
        <w:spacing w:after="0" w:line="303" w:lineRule="auto"/>
        <w:tabs>
          <w:tab w:leader="none" w:pos="13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securities were granted pursuant to the Company's Performance Stock Plan ("PSP"). Based on the satisfaction of conditions established pursuant to the PSP, the Reporting Person has voting rights and dividend entitlement with respect to a portion of these shares based on the satisfaction of certain performance-based criteria, but full ownership will not vest until the satisfaction of additional conditions.</w:t>
      </w:r>
    </w:p>
    <w:p>
      <w:pPr>
        <w:ind w:right="80"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were granted pursuant to the Company's 2010 Stock Incentive Plan ("SIP"). Full ownership will not vest until the satisfaction of performance-based conditions established in connection with this grant.</w:t>
      </w:r>
    </w:p>
    <w:p>
      <w:pPr>
        <w:spacing w:after="0" w:line="9"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Based upon information supplied by the Plan recordkeeper. Number of shares varies periodically based on contributions to plan.</w:t>
      </w:r>
    </w:p>
    <w:p>
      <w:pPr>
        <w:spacing w:after="0" w:line="51" w:lineRule="exact"/>
        <w:rPr>
          <w:rFonts w:ascii="Arial" w:cs="Arial" w:eastAsia="Arial" w:hAnsi="Arial"/>
          <w:sz w:val="13"/>
          <w:szCs w:val="13"/>
          <w:color w:val="008000"/>
        </w:rPr>
      </w:pPr>
    </w:p>
    <w:p>
      <w:pPr>
        <w:ind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in shares owned by children who share Reporting Person's household. This report shall not be deemed an admission that the Reporting Person is the beneficial owner of such securities for the purpose of Section 16 or for any other purpose.</w:t>
      </w:r>
    </w:p>
    <w:p>
      <w:pPr>
        <w:spacing w:after="0" w:line="9"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Granted by the Compensation Committee of the Board of Directors pursuant to the Company's 2000 Incentive Stock Option Plan (the "Plan").</w:t>
      </w:r>
    </w:p>
    <w:p>
      <w:pPr>
        <w:spacing w:after="0" w:line="51" w:lineRule="exact"/>
        <w:rPr>
          <w:rFonts w:ascii="Arial" w:cs="Arial" w:eastAsia="Arial" w:hAnsi="Arial"/>
          <w:sz w:val="13"/>
          <w:szCs w:val="13"/>
          <w:color w:val="008000"/>
        </w:rPr>
      </w:pPr>
    </w:p>
    <w:p>
      <w:pPr>
        <w:ind w:left="200" w:hanging="192"/>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 and become exercisable on 11/26/17, unless accelerated based on satisfaction of conditions established pursuant to the Plan.</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J. Scott Penny</w:t>
            </w:r>
          </w:p>
        </w:tc>
        <w:tc>
          <w:tcPr>
            <w:tcW w:w="13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12/21/2012</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6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0023" TargetMode="External"/><Relationship Id="rId13"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2019-12-18T08:28:54Z</dcterms:created>
  <dcterms:modified xsi:type="dcterms:W3CDTF">2019-12-18T08:28:54Z</dcterms:modified>
</cp:coreProperties>
</file>