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&amp; BROWN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 S. RIDGEWOOD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BROWN &amp; BROWN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594"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9"/>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DAYTONA</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4"/>
          </w:tcPr>
          <w:p>
            <w:pPr>
              <w:ind w:left="4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4"/>
              </w:rPr>
              <w:t>FL</w:t>
            </w:r>
          </w:p>
        </w:tc>
        <w:tc>
          <w:tcPr>
            <w:tcW w:w="10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32114</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7"/>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5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03/27/2012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1,019</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23.9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1"/>
              </w:rPr>
              <w:t>49,865</w:t>
            </w:r>
            <w:r>
              <w:rPr>
                <w:rFonts w:ascii="Arial" w:cs="Arial" w:eastAsia="Arial" w:hAnsi="Arial"/>
                <w:sz w:val="22"/>
                <w:szCs w:val="22"/>
                <w:color w:val="008000"/>
                <w:w w:val="81"/>
                <w:vertAlign w:val="superscript"/>
              </w:rPr>
              <w:t>(1)(2)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03/28/2012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3,981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23.6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1"/>
              </w:rPr>
              <w:t>45,884</w:t>
            </w:r>
            <w:r>
              <w:rPr>
                <w:rFonts w:ascii="Arial" w:cs="Arial" w:eastAsia="Arial" w:hAnsi="Arial"/>
                <w:sz w:val="22"/>
                <w:szCs w:val="22"/>
                <w:color w:val="008000"/>
                <w:w w:val="81"/>
                <w:vertAlign w:val="superscript"/>
              </w:rPr>
              <w:t>(1)(2)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8"/>
                <w:szCs w:val="18"/>
                <w:color w:val="0000FF"/>
                <w:w w:val="82"/>
              </w:rPr>
              <w:t>7,245</w:t>
            </w:r>
            <w:r>
              <w:rPr>
                <w:rFonts w:ascii="Arial" w:cs="Arial" w:eastAsia="Arial" w:hAnsi="Arial"/>
                <w:sz w:val="22"/>
                <w:szCs w:val="22"/>
                <w:color w:val="008000"/>
                <w:w w:val="82"/>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28,197</w:t>
            </w:r>
            <w:r>
              <w:rPr>
                <w:rFonts w:ascii="Arial" w:cs="Arial" w:eastAsia="Arial" w:hAnsi="Arial"/>
                <w:sz w:val="22"/>
                <w:szCs w:val="22"/>
                <w:color w:val="008000"/>
                <w:w w:val="84"/>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25,135</w:t>
            </w:r>
            <w:r>
              <w:rPr>
                <w:rFonts w:ascii="Arial" w:cs="Arial" w:eastAsia="Arial" w:hAnsi="Arial"/>
                <w:sz w:val="22"/>
                <w:szCs w:val="22"/>
                <w:color w:val="008000"/>
                <w:w w:val="84"/>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7"/>
              </w:rPr>
              <w:t>Co-Trustee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vMerge w:val="restart"/>
          </w:tcPr>
          <w:p>
            <w:pPr>
              <w:jc w:val="center"/>
              <w:ind w:left="2"/>
              <w:spacing w:after="0"/>
              <w:rPr>
                <w:sz w:val="20"/>
                <w:szCs w:val="20"/>
                <w:color w:val="auto"/>
              </w:rPr>
            </w:pPr>
            <w:r>
              <w:rPr>
                <w:rFonts w:ascii="Arial" w:cs="Arial" w:eastAsia="Arial" w:hAnsi="Arial"/>
                <w:sz w:val="18"/>
                <w:szCs w:val="18"/>
                <w:color w:val="0000FF"/>
                <w:w w:val="82"/>
              </w:rPr>
              <w:t>1,250</w:t>
            </w:r>
            <w:r>
              <w:rPr>
                <w:rFonts w:ascii="Arial" w:cs="Arial" w:eastAsia="Arial" w:hAnsi="Arial"/>
                <w:sz w:val="22"/>
                <w:szCs w:val="22"/>
                <w:color w:val="008000"/>
                <w:w w:val="82"/>
                <w:vertAlign w:val="superscript"/>
              </w:rPr>
              <w:t>(6)</w:t>
            </w:r>
          </w:p>
        </w:tc>
        <w:tc>
          <w:tcPr>
            <w:tcW w:w="300" w:type="dxa"/>
            <w:vAlign w:val="bottom"/>
          </w:tcPr>
          <w:p>
            <w:pPr>
              <w:spacing w:after="0"/>
              <w:rPr>
                <w:sz w:val="18"/>
                <w:szCs w:val="18"/>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8"/>
              </w:rPr>
              <w:t>Irrevocable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may reflect reinvested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jointly with spouse.</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Based on the satisfaction of conditions contained in the Company's Performance Stock Plan ("PSP"), Reporting Person has voting rights and dividend entitlements with respect to a portion of these shares, but full ownership will not vest until the satisfaction of additional conditions. Effective February 27, 2012, 216 shares of restricted stock under the Company's PSP vested, of which 58 shares were withheld by the Company solely to cover the income tax withholding requirements associated with the vesting.</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were granted pursuant to the Company's 2010 Stock Incentive Plan ("SIP"). Full ownership will not vest until the satisfaction of performance-based conditions established in connection with this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Based upon information supplied by the Plan's recordkeeper. Number of shares varies periodically based on contributions to plan.</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such securities for the purpose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RICHARD FREEBOURN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03/29/2012</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2019-12-09T08:35:51Z</dcterms:created>
  <dcterms:modified xsi:type="dcterms:W3CDTF">2019-12-09T08:35:51Z</dcterms:modified>
</cp:coreProperties>
</file>