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HYATT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3"/>
                <w:szCs w:val="13"/>
                <w:color w:val="auto"/>
              </w:rPr>
            </w:pPr>
          </w:p>
        </w:tc>
        <w:tc>
          <w:tcPr>
            <w:tcW w:w="3280" w:type="dxa"/>
            <w:vAlign w:val="bottom"/>
            <w:gridSpan w:val="5"/>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32114</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gridSpan w:val="4"/>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2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120" w:type="dxa"/>
            <w:vAlign w:val="bottom"/>
            <w:gridSpan w:val="4"/>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1360" w:type="dxa"/>
            <w:vAlign w:val="bottom"/>
            <w:tcBorders>
              <w:bottom w:val="single" w:sz="8" w:color="9A9A9A"/>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120" w:type="dxa"/>
            <w:vAlign w:val="bottom"/>
            <w:vMerge w:val="restart"/>
          </w:tcPr>
          <w:p>
            <w:pPr>
              <w:ind w:left="4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2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7"/>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0"/>
          </w:tcPr>
          <w:p>
            <w:pPr>
              <w:ind w:left="10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vMerge w:val="restart"/>
          </w:tcPr>
          <w:p>
            <w:pPr>
              <w:jc w:val="right"/>
              <w:ind w:right="7"/>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6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12/13/2024</w:t>
            </w:r>
          </w:p>
        </w:tc>
        <w:tc>
          <w:tcPr>
            <w:tcW w:w="114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1,032</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8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35,998,968</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(1)</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7"/>
                <w:szCs w:val="17"/>
                <w:color w:val="0000FF"/>
              </w:rPr>
              <w:t>2,054,950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gridSpan w:val="3"/>
            <w:vMerge w:val="continue"/>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Ormond Riverside, Limited Partnership (the "Limited Partnership"), of which Swakopmund, Inc. is the General Partner that has voting and investment power over such shares. Swakopmund, Inc. is 100% owned by the Swakopmund Trust of 2009, a revocable trust created by the Reporting Person, who is the sole trustee thereof and retains the sole voting and investment powers with respect to all the shares of Swakopmund, Inc.</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James Hyatt Brown Nongrantor Charitable Lead Annuity Trust, of which the Reporting Person's spouse and three children are the trustees and of which his three children are the remainder beneficiaries.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 Hyatt Brown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168820"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2024-12-16T16:05:16Z</dcterms:created>
  <dcterms:modified xsi:type="dcterms:W3CDTF">2024-12-16T16:05:16Z</dcterms:modified>
</cp:coreProperties>
</file>