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BROWN &amp; BROWN,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3"/>
              </w:rPr>
              <w:t>Florida</w:t>
            </w:r>
          </w:p>
        </w:tc>
        <w:tc>
          <w:tcPr>
            <w:tcW w:w="3200" w:type="dxa"/>
            <w:vAlign w:val="bottom"/>
          </w:tcPr>
          <w:p>
            <w:pPr>
              <w:jc w:val="right"/>
              <w:ind w:right="1241"/>
              <w:spacing w:after="0"/>
              <w:rPr>
                <w:sz w:val="20"/>
                <w:szCs w:val="20"/>
                <w:color w:val="auto"/>
              </w:rPr>
            </w:pPr>
            <w:r>
              <w:rPr>
                <w:rFonts w:ascii="Arial" w:cs="Arial" w:eastAsia="Arial" w:hAnsi="Arial"/>
                <w:sz w:val="18"/>
                <w:szCs w:val="18"/>
                <w:b w:val="1"/>
                <w:bCs w:val="1"/>
                <w:color w:val="auto"/>
              </w:rPr>
              <w:t>001-13619</w:t>
            </w:r>
          </w:p>
        </w:tc>
        <w:tc>
          <w:tcPr>
            <w:tcW w:w="2240" w:type="dxa"/>
            <w:vAlign w:val="bottom"/>
          </w:tcPr>
          <w:p>
            <w:pPr>
              <w:jc w:val="right"/>
              <w:ind w:right="144"/>
              <w:spacing w:after="0"/>
              <w:rPr>
                <w:sz w:val="20"/>
                <w:szCs w:val="20"/>
                <w:color w:val="auto"/>
              </w:rPr>
            </w:pPr>
            <w:r>
              <w:rPr>
                <w:rFonts w:ascii="Arial" w:cs="Arial" w:eastAsia="Arial" w:hAnsi="Arial"/>
                <w:sz w:val="18"/>
                <w:szCs w:val="18"/>
                <w:b w:val="1"/>
                <w:bCs w:val="1"/>
                <w:color w:val="auto"/>
              </w:rPr>
              <w:t>59-0864469</w:t>
            </w:r>
          </w:p>
        </w:tc>
      </w:tr>
      <w:tr>
        <w:trPr>
          <w:trHeight w:val="163"/>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(State or other jurisdiction</w:t>
            </w:r>
          </w:p>
        </w:tc>
        <w:tc>
          <w:tcPr>
            <w:tcW w:w="3200" w:type="dxa"/>
            <w:vAlign w:val="bottom"/>
          </w:tcPr>
          <w:p>
            <w:pPr>
              <w:jc w:val="center"/>
              <w:ind w:right="14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84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940" w:type="dxa"/>
            <w:vAlign w:val="bottom"/>
          </w:tcPr>
          <w:p>
            <w:pPr>
              <w:jc w:val="center"/>
              <w:ind w:right="641"/>
              <w:spacing w:after="0"/>
              <w:rPr>
                <w:sz w:val="20"/>
                <w:szCs w:val="20"/>
                <w:color w:val="auto"/>
              </w:rPr>
            </w:pPr>
            <w:r>
              <w:rPr>
                <w:rFonts w:ascii="Arial" w:cs="Arial" w:eastAsia="Arial" w:hAnsi="Arial"/>
                <w:sz w:val="13"/>
                <w:szCs w:val="13"/>
                <w:b w:val="1"/>
                <w:bCs w:val="1"/>
                <w:color w:val="auto"/>
                <w:w w:val="94"/>
              </w:rPr>
              <w:t>of incorporation)</w:t>
            </w:r>
          </w:p>
        </w:tc>
        <w:tc>
          <w:tcPr>
            <w:tcW w:w="3200" w:type="dxa"/>
            <w:vAlign w:val="bottom"/>
          </w:tcPr>
          <w:p>
            <w:pPr>
              <w:spacing w:after="0"/>
              <w:rPr>
                <w:sz w:val="15"/>
                <w:szCs w:val="15"/>
                <w:color w:val="auto"/>
              </w:rPr>
            </w:pPr>
          </w:p>
        </w:tc>
        <w:tc>
          <w:tcPr>
            <w:tcW w:w="2240" w:type="dxa"/>
            <w:vAlign w:val="bottom"/>
          </w:tcPr>
          <w:p>
            <w:pPr>
              <w:jc w:val="center"/>
              <w:ind w:left="824"/>
              <w:spacing w:after="0"/>
              <w:rPr>
                <w:sz w:val="20"/>
                <w:szCs w:val="20"/>
                <w:color w:val="auto"/>
              </w:rPr>
            </w:pPr>
            <w:r>
              <w:rPr>
                <w:rFonts w:ascii="Arial" w:cs="Arial" w:eastAsia="Arial" w:hAnsi="Arial"/>
                <w:sz w:val="13"/>
                <w:szCs w:val="13"/>
                <w:b w:val="1"/>
                <w:bCs w:val="1"/>
                <w:color w:val="auto"/>
                <w:w w:val="97"/>
              </w:rPr>
              <w:t>Identification Number)</w:t>
            </w:r>
          </w:p>
        </w:tc>
      </w:tr>
      <w:tr>
        <w:trPr>
          <w:trHeight w:val="473"/>
        </w:trPr>
        <w:tc>
          <w:tcPr>
            <w:tcW w:w="2940" w:type="dxa"/>
            <w:vAlign w:val="bottom"/>
          </w:tcPr>
          <w:p>
            <w:pPr>
              <w:jc w:val="center"/>
              <w:ind w:right="621"/>
              <w:spacing w:after="0"/>
              <w:rPr>
                <w:sz w:val="20"/>
                <w:szCs w:val="20"/>
                <w:color w:val="auto"/>
              </w:rPr>
            </w:pPr>
            <w:r>
              <w:rPr>
                <w:rFonts w:ascii="Arial" w:cs="Arial" w:eastAsia="Arial" w:hAnsi="Arial"/>
                <w:sz w:val="18"/>
                <w:szCs w:val="18"/>
                <w:b w:val="1"/>
                <w:bCs w:val="1"/>
                <w:color w:val="auto"/>
                <w:w w:val="90"/>
              </w:rPr>
              <w:t>300 North Beach Street</w:t>
            </w:r>
          </w:p>
        </w:tc>
        <w:tc>
          <w:tcPr>
            <w:tcW w:w="3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3"/>
        </w:trPr>
        <w:tc>
          <w:tcPr>
            <w:tcW w:w="2940" w:type="dxa"/>
            <w:vAlign w:val="bottom"/>
          </w:tcPr>
          <w:p>
            <w:pPr>
              <w:jc w:val="center"/>
              <w:ind w:right="641"/>
              <w:spacing w:after="0"/>
              <w:rPr>
                <w:sz w:val="20"/>
                <w:szCs w:val="20"/>
                <w:color w:val="auto"/>
              </w:rPr>
            </w:pPr>
            <w:r>
              <w:rPr>
                <w:rFonts w:ascii="Arial" w:cs="Arial" w:eastAsia="Arial" w:hAnsi="Arial"/>
                <w:sz w:val="18"/>
                <w:szCs w:val="18"/>
                <w:b w:val="1"/>
                <w:bCs w:val="1"/>
                <w:color w:val="auto"/>
                <w:w w:val="90"/>
              </w:rPr>
              <w:t>Daytona Beach, Florida</w:t>
            </w:r>
          </w:p>
        </w:tc>
        <w:tc>
          <w:tcPr>
            <w:tcW w:w="3200" w:type="dxa"/>
            <w:vAlign w:val="bottom"/>
          </w:tcPr>
          <w:p>
            <w:pPr>
              <w:spacing w:after="0"/>
              <w:rPr>
                <w:sz w:val="21"/>
                <w:szCs w:val="21"/>
                <w:color w:val="auto"/>
              </w:rPr>
            </w:pPr>
          </w:p>
        </w:tc>
        <w:tc>
          <w:tcPr>
            <w:tcW w:w="2240" w:type="dxa"/>
            <w:vAlign w:val="bottom"/>
          </w:tcPr>
          <w:p>
            <w:pPr>
              <w:jc w:val="right"/>
              <w:ind w:right="364"/>
              <w:spacing w:after="0"/>
              <w:rPr>
                <w:sz w:val="20"/>
                <w:szCs w:val="20"/>
                <w:color w:val="auto"/>
              </w:rPr>
            </w:pPr>
            <w:r>
              <w:rPr>
                <w:rFonts w:ascii="Arial" w:cs="Arial" w:eastAsia="Arial" w:hAnsi="Arial"/>
                <w:sz w:val="18"/>
                <w:szCs w:val="18"/>
                <w:b w:val="1"/>
                <w:bCs w:val="1"/>
                <w:color w:val="auto"/>
              </w:rPr>
              <w:t>32114</w:t>
            </w:r>
          </w:p>
        </w:tc>
      </w:tr>
      <w:tr>
        <w:trPr>
          <w:trHeight w:val="188"/>
        </w:trPr>
        <w:tc>
          <w:tcPr>
            <w:tcW w:w="2940" w:type="dxa"/>
            <w:vAlign w:val="bottom"/>
          </w:tcPr>
          <w:p>
            <w:pPr>
              <w:jc w:val="center"/>
              <w:ind w:right="621"/>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200" w:type="dxa"/>
            <w:vAlign w:val="bottom"/>
          </w:tcPr>
          <w:p>
            <w:pPr>
              <w:spacing w:after="0"/>
              <w:rPr>
                <w:sz w:val="16"/>
                <w:szCs w:val="16"/>
                <w:color w:val="auto"/>
              </w:rPr>
            </w:pPr>
          </w:p>
        </w:tc>
        <w:tc>
          <w:tcPr>
            <w:tcW w:w="2240" w:type="dxa"/>
            <w:vAlign w:val="bottom"/>
          </w:tcPr>
          <w:p>
            <w:pPr>
              <w:jc w:val="center"/>
              <w:ind w:left="84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(386) 252-9601</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9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20" w:hanging="69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720" w:hanging="69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20" w:hanging="69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$0.10 Par Value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BRO</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Effective June 13, 2023, the Board of Directors (the “Board”) of Brown &amp; Brown, Inc., a Florida corporation (the “Company”), increased the size of the Board from 12 directors to 14 directors. On June 13, 2023, the Board appointed Paul J. Krump, age 63, and Bronislaw E. Masojada, age 61, to each serve as a director of the Company, effective immediately.</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Krump retired from Chubb Limited, the world’s largest publicly traded property and casualty insurance company, effective January 1, 2023, most recently serving as Vice Chairman, Global Underwriting and Claims from September 2020 until his retirement. From 2016 to 2020, Mr. Krump served as Executive Vice President, Chubb Group and President, North America Commercial and Personal Insurance. Before Chubb Limited’s January 2016 acquisition of The Chubb Corporation, Mr. Krump served as Chief Operating Officer of The Chubb Corporation. Mr. Krump joined The Chubb Corporation in 1982 as a commercial underwriting trainee in the Minneapolis office and held numerous headquarters and field positions in the United States and Europe, including President of Personal Lines and Claims and President of Commercial and Specialty Lines.</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Mr. Masojada served as Chief Executive Officer of Hiscox Group ("Hiscox"), a global specialist insurer and reinsurer listed on the London Stock Exchange, from 2000 to until his retirement in 2021. Mr. Masojada first joined Hiscox in 1993 as Group Managing Director. Prior to joining Hiscox, Mr. Masojada began his career at McKinsey &amp; Company. Mr. Masojada served as Deputy Chairman of Lloyd’s of London from 2001 to 2007 and as Chairman of the Lloyd’s Tercentenary Research Foundation from 2008 to 2014. Mr. Masojada currently serves as Chair of the Board of Directors of SiriusPoint Ltd.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initial term as a director on the Board for each of Messrs. Krump and Masojada expires at the Company’s 2024 Annual Meeting of Shareholders.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effective June 13, 2023, the Board appointed Mr. Krump to the Board’s Audit Committee and Acquisition Committee, and appointed Mr. Masojada to the Board’s Audit Committee and Compensation Committee.</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non-employee directors on the Board, Messrs. Krump and Masojada will be compensated for service as directors in accordance with the standard compensation provided to non-employee directors. There are no arrangements or understandings between either of Messrs. Krump or Masojada and any other persons pursuant to which either of Messrs. Krump or Masojada was selected as a director, and there are no transactions in which the Company was or is to be a participant and in which either of Messrs. Krump or Masojada had or will have a direct or indirect material interest that are required to be reported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BROWN &amp; BROWN, INC.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Anthony M. Robinson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2023-06-15T16:05:06Z</dcterms:created>
  <dcterms:modified xsi:type="dcterms:W3CDTF">2023-06-15T16:05:06Z</dcterms:modified>
</cp:coreProperties>
</file>