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ro-20240331.htm"/>
      <w:bookmarkStart w:id="1" w:name="ksbro20240331"/>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8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w:t>
      </w:r>
      <w:r>
        <w:rPr>
          <w:rFonts w:ascii="Times New Roman" w:hAnsi="Times New Roman"/>
          <w:color w:val="000000"/>
          <w:sz w:val="20"/>
        </w:rPr>
        <w:t xml:space="preserve"> </w:t>
      </w:r>
      <w:r>
        <w:rPr>
          <w:rFonts w:ascii="Times New Roman" w:hAnsi="Times New Roman"/>
          <w:b/>
          <w:color w:val="000000"/>
          <w:sz w:val="36"/>
        </w:rPr>
        <w:t>10-Q</w:t>
      </w:r>
    </w:p>
    <w:p>
      <w:pPr>
        <w:pStyle w:val="TextBody"/>
        <w:pBdr>
          <w:bottom w:val="single" w:sz="4" w:space="1" w:color="000000"/>
        </w:pBdr>
        <w:bidi w:val="0"/>
        <w:spacing w:before="0" w:after="80"/>
        <w:jc w:val="center"/>
        <w:rPr/>
      </w:pPr>
      <w:r>
        <w:rPr/>
        <w:t> </w:t>
      </w:r>
    </w:p>
    <w:tbl>
      <w:tblPr>
        <w:tblW w:w="10205" w:type="dxa"/>
        <w:jc w:val="left"/>
        <w:tblInd w:w="0" w:type="dxa"/>
        <w:tblLayout w:type="fixed"/>
        <w:tblCellMar>
          <w:top w:w="28" w:type="dxa"/>
          <w:left w:w="28" w:type="dxa"/>
          <w:bottom w:w="28" w:type="dxa"/>
          <w:right w:w="28" w:type="dxa"/>
        </w:tblCellMar>
      </w:tblPr>
      <w:tblGrid>
        <w:gridCol w:w="821"/>
        <w:gridCol w:w="9384"/>
      </w:tblGrid>
      <w:tr>
        <w:trPr/>
        <w:tc>
          <w:tcPr>
            <w:tcW w:w="821" w:type="dxa"/>
            <w:tcBorders/>
            <w:vAlign w:val="center"/>
          </w:tcPr>
          <w:p>
            <w:pPr>
              <w:pStyle w:val="TableContents"/>
              <w:bidi w:val="0"/>
              <w:spacing w:before="0" w:after="283"/>
              <w:jc w:val="left"/>
              <w:rPr>
                <w:sz w:val="4"/>
                <w:szCs w:val="4"/>
              </w:rPr>
            </w:pPr>
            <w:r>
              <w:rPr>
                <w:sz w:val="4"/>
                <w:szCs w:val="4"/>
              </w:rPr>
            </w:r>
          </w:p>
        </w:tc>
        <w:tc>
          <w:tcPr>
            <w:tcW w:w="9384" w:type="dxa"/>
            <w:tcBorders/>
            <w:vAlign w:val="center"/>
          </w:tcPr>
          <w:p>
            <w:pPr>
              <w:pStyle w:val="TableContents"/>
              <w:bidi w:val="0"/>
              <w:spacing w:before="0" w:after="283"/>
              <w:jc w:val="left"/>
              <w:rPr>
                <w:sz w:val="4"/>
                <w:szCs w:val="4"/>
              </w:rPr>
            </w:pPr>
            <w:r>
              <w:rPr>
                <w:sz w:val="4"/>
                <w:szCs w:val="4"/>
              </w:rPr>
            </w:r>
          </w:p>
        </w:tc>
      </w:tr>
      <w:tr>
        <w:trPr/>
        <w:tc>
          <w:tcPr>
            <w:tcW w:w="821" w:type="dxa"/>
            <w:tcBorders/>
            <w:vAlign w:val="center"/>
          </w:tcPr>
          <w:p>
            <w:pPr>
              <w:pStyle w:val="TableContents"/>
              <w:bidi w:val="0"/>
              <w:spacing w:before="0" w:after="283"/>
              <w:ind w:left="0" w:right="0" w:firstLine="490"/>
              <w:jc w:val="left"/>
              <w:rPr>
                <w:color w:val="000000"/>
              </w:rPr>
            </w:pPr>
            <w:r>
              <w:rPr>
                <w:color w:val="000000"/>
              </w:rPr>
              <w:t>☒</w:t>
            </w:r>
          </w:p>
        </w:tc>
        <w:tc>
          <w:tcPr>
            <w:tcW w:w="9384" w:type="dxa"/>
            <w:tcBorders/>
            <w:vAlign w:val="center"/>
          </w:tcPr>
          <w:p>
            <w:pPr>
              <w:pStyle w:val="TableContents"/>
              <w:pBdr/>
              <w:bidi w:val="0"/>
              <w:spacing w:before="0" w:after="283"/>
              <w:ind w:left="0" w:right="0" w:hanging="490"/>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spacing w:before="80" w:after="8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80" w:after="283"/>
              <w:jc w:val="left"/>
              <w:rPr>
                <w:color w:val="000000"/>
              </w:rPr>
            </w:pPr>
            <w:r>
              <w:rPr>
                <w:color w:val="000000"/>
              </w:rPr>
              <w:t>☐</w:t>
            </w:r>
          </w:p>
        </w:tc>
        <w:tc>
          <w:tcPr>
            <w:tcW w:w="9874" w:type="dxa"/>
            <w:tcBorders/>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001-13619</w:t>
      </w:r>
    </w:p>
    <w:p>
      <w:pPr>
        <w:pStyle w:val="TextBody"/>
        <w:pBdr>
          <w:bottom w:val="single" w:sz="4" w:space="1" w:color="000000"/>
        </w:pBdr>
        <w:bidi w:val="0"/>
        <w:spacing w:before="0" w:after="8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BROWN &amp; BROWN,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0" w:after="80"/>
        <w:jc w:val="center"/>
        <w:rPr/>
      </w:pPr>
      <w:r>
        <w:rPr/>
        <w:t> </w:t>
      </w:r>
    </w:p>
    <w:p>
      <w:pPr>
        <w:pStyle w:val="TextBody"/>
        <w:bidi w:val="0"/>
        <w:jc w:val="left"/>
        <w:rPr/>
      </w:pPr>
      <w:r>
        <w:rPr/>
        <w:t> </w:t>
      </w:r>
    </w:p>
    <w:tbl>
      <w:tblPr>
        <w:tblW w:w="8240" w:type="dxa"/>
        <w:jc w:val="left"/>
        <w:tblInd w:w="0" w:type="dxa"/>
        <w:tblLayout w:type="fixed"/>
        <w:tblCellMar>
          <w:top w:w="28" w:type="dxa"/>
          <w:left w:w="28" w:type="dxa"/>
          <w:bottom w:w="28" w:type="dxa"/>
          <w:right w:w="28" w:type="dxa"/>
        </w:tblCellMar>
      </w:tblPr>
      <w:tblGrid>
        <w:gridCol w:w="2926"/>
        <w:gridCol w:w="146"/>
        <w:gridCol w:w="3206"/>
        <w:gridCol w:w="146"/>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46" w:type="dxa"/>
            <w:tcBorders/>
            <w:vAlign w:val="center"/>
          </w:tcPr>
          <w:p>
            <w:pPr>
              <w:pStyle w:val="TableContents"/>
              <w:bidi w:val="0"/>
              <w:spacing w:before="0" w:after="283"/>
              <w:jc w:val="left"/>
              <w:rPr>
                <w:sz w:val="4"/>
                <w:szCs w:val="4"/>
              </w:rPr>
            </w:pPr>
            <w:r>
              <w:rPr>
                <w:sz w:val="4"/>
                <w:szCs w:val="4"/>
              </w:rPr>
            </w:r>
          </w:p>
        </w:tc>
        <w:tc>
          <w:tcPr>
            <w:tcW w:w="3206" w:type="dxa"/>
            <w:vMerge w:val="restart"/>
            <w:tcBorders/>
            <w:vAlign w:val="center"/>
          </w:tcPr>
          <w:p>
            <w:pPr>
              <w:pStyle w:val="TableContents"/>
              <w:bidi w:val="0"/>
              <w:spacing w:before="0" w:after="283"/>
              <w:jc w:val="center"/>
              <w:rPr/>
            </w:pPr>
            <w:r>
              <w:rPr/>
              <w:drawing>
                <wp:inline distT="0" distB="0" distL="0" distR="0">
                  <wp:extent cx="19431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100" cy="342900"/>
                          </a:xfrm>
                          <a:prstGeom prst="rect">
                            <a:avLst/>
                          </a:prstGeom>
                        </pic:spPr>
                      </pic:pic>
                    </a:graphicData>
                  </a:graphic>
                </wp:inline>
              </w:drawing>
            </w:r>
            <w:r>
              <w:rPr/>
              <w:t> </w:t>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59-0864469</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3206"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81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300 North Beach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Daytona Beach, FL</w:t>
            </w:r>
          </w:p>
        </w:tc>
        <w:tc>
          <w:tcPr>
            <w:tcW w:w="146" w:type="dxa"/>
            <w:tcBorders/>
            <w:vAlign w:val="center"/>
          </w:tcPr>
          <w:p>
            <w:pPr>
              <w:pStyle w:val="TableContents"/>
              <w:bidi w:val="0"/>
              <w:spacing w:before="0" w:after="283"/>
              <w:jc w:val="center"/>
              <w:rPr/>
            </w:pPr>
            <w:r>
              <w:rPr/>
              <w:t> </w:t>
            </w:r>
          </w:p>
        </w:tc>
        <w:tc>
          <w:tcPr>
            <w:tcW w:w="3206"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8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32114</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3206"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8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Registrant’s telephone number, including area code: (386)</w:t>
      </w:r>
      <w:r>
        <w:rPr>
          <w:rFonts w:ascii="Times New Roman" w:hAnsi="Times New Roman"/>
          <w:color w:val="000000"/>
          <w:sz w:val="20"/>
        </w:rPr>
        <w:t xml:space="preserve"> </w:t>
      </w:r>
      <w:r>
        <w:rPr>
          <w:rFonts w:ascii="Times New Roman" w:hAnsi="Times New Roman"/>
          <w:b/>
          <w:color w:val="000000"/>
          <w:sz w:val="20"/>
        </w:rPr>
        <w:t>252-9601</w:t>
      </w:r>
    </w:p>
    <w:p>
      <w:pPr>
        <w:pStyle w:val="TextBody"/>
        <w:pBdr>
          <w:bottom w:val="single" w:sz="4" w:space="1" w:color="000000"/>
        </w:pBdr>
        <w:bidi w:val="0"/>
        <w:spacing w:before="0" w:after="80"/>
        <w:jc w:val="center"/>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413" w:type="dxa"/>
        <w:jc w:val="left"/>
        <w:tblInd w:w="0" w:type="dxa"/>
        <w:tblLayout w:type="fixed"/>
        <w:tblCellMar>
          <w:top w:w="28" w:type="dxa"/>
          <w:left w:w="28" w:type="dxa"/>
          <w:bottom w:w="28" w:type="dxa"/>
          <w:right w:w="28" w:type="dxa"/>
        </w:tblCellMar>
      </w:tblPr>
      <w:tblGrid>
        <w:gridCol w:w="2761"/>
        <w:gridCol w:w="1426"/>
        <w:gridCol w:w="3226"/>
      </w:tblGrid>
      <w:tr>
        <w:trPr/>
        <w:tc>
          <w:tcPr>
            <w:tcW w:w="276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76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76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$0.10 Par Value</w:t>
            </w:r>
          </w:p>
        </w:tc>
        <w:tc>
          <w:tcPr>
            <w:tcW w:w="14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w:t>
            </w:r>
          </w:p>
        </w:tc>
        <w:tc>
          <w:tcPr>
            <w:tcW w:w="322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92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number of shares of the Registrant’s common stock, $0.10 par value, outstanding as of April 23, 2024 was 285,249,262.</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2" w:name="index"/>
      <w:bookmarkEnd w:id="2"/>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780"/>
        <w:gridCol w:w="176"/>
        <w:gridCol w:w="8144"/>
        <w:gridCol w:w="176"/>
        <w:gridCol w:w="929"/>
      </w:tblGrid>
      <w:tr>
        <w:trPr/>
        <w:tc>
          <w:tcPr>
            <w:tcW w:w="78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956" w:type="dxa"/>
            <w:gridSpan w:val="2"/>
            <w:tcBorders/>
            <w:vAlign w:val="center"/>
          </w:tcPr>
          <w:p>
            <w:pPr>
              <w:pStyle w:val="TableContents"/>
              <w:bidi w:val="0"/>
              <w:spacing w:before="0" w:after="283"/>
              <w:jc w:val="left"/>
              <w:rPr/>
            </w:pPr>
            <w:r>
              <w:rPr/>
              <w:t> </w:t>
            </w:r>
          </w:p>
        </w:tc>
        <w:tc>
          <w:tcPr>
            <w:tcW w:w="8144"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before="0" w:after="283"/>
              <w:jc w:val="left"/>
              <w:rPr/>
            </w:pPr>
            <w:r>
              <w:rPr/>
              <w:t> </w:t>
            </w:r>
          </w:p>
        </w:tc>
      </w:tr>
      <w:tr>
        <w:trPr/>
        <w:tc>
          <w:tcPr>
            <w:tcW w:w="78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144"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ind w:left="0" w:right="0" w:firstLine="30"/>
              <w:jc w:val="left"/>
              <w:rPr/>
            </w:pPr>
            <w:r>
              <w:rPr/>
              <w:t> </w:t>
            </w:r>
          </w:p>
        </w:tc>
      </w:tr>
      <w:tr>
        <w:trPr/>
        <w:tc>
          <w:tcPr>
            <w:tcW w:w="780"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929" w:type="dxa"/>
            <w:tcBorders/>
            <w:vAlign w:val="center"/>
          </w:tcPr>
          <w:p>
            <w:pPr>
              <w:pStyle w:val="TableContents"/>
              <w:bidi w:val="0"/>
              <w:spacing w:before="0" w:after="283"/>
              <w:ind w:left="0" w:right="0" w:firstLine="30"/>
              <w:jc w:val="left"/>
              <w:rPr>
                <w:sz w:val="4"/>
                <w:szCs w:val="4"/>
              </w:rPr>
            </w:pPr>
            <w:r>
              <w:rPr>
                <w:sz w:val="4"/>
                <w:szCs w:val="4"/>
              </w:rPr>
            </w:r>
          </w:p>
        </w:tc>
      </w:tr>
      <w:tr>
        <w:trPr/>
        <w:tc>
          <w:tcPr>
            <w:tcW w:w="780"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30" w:right="0" w:firstLine="30"/>
              <w:jc w:val="center"/>
              <w:rPr/>
            </w:pPr>
            <w:r>
              <w:rPr/>
              <w:t> </w:t>
            </w:r>
          </w:p>
        </w:tc>
        <w:tc>
          <w:tcPr>
            <w:tcW w:w="929"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b/>
                <w:color w:val="000000"/>
                <w:sz w:val="16"/>
              </w:rPr>
            </w:pPr>
            <w:r>
              <w:rPr>
                <w:rFonts w:ascii="Times New Roman" w:hAnsi="Times New Roman"/>
                <w:b/>
                <w:color w:val="000000"/>
                <w:sz w:val="16"/>
              </w:rPr>
              <w:t>PAGE NO.</w:t>
            </w:r>
          </w:p>
        </w:tc>
      </w:tr>
      <w:tr>
        <w:trPr/>
        <w:tc>
          <w:tcPr>
            <w:tcW w:w="9100" w:type="dxa"/>
            <w:gridSpan w:val="3"/>
            <w:tcBorders/>
            <w:vAlign w:val="center"/>
          </w:tcPr>
          <w:p>
            <w:pPr>
              <w:pStyle w:val="TableContents"/>
              <w:bidi w:val="0"/>
              <w:spacing w:before="0" w:after="283"/>
              <w:ind w:left="0" w:right="0" w:firstLine="30"/>
              <w:jc w:val="left"/>
              <w:rPr/>
            </w:pPr>
            <w:hyperlink w:anchor="part_i_financial_information">
              <w:r>
                <w:rPr>
                  <w:rStyle w:val="InternetLink"/>
                  <w:rFonts w:ascii="Times New Roman" w:hAnsi="Times New Roman"/>
                  <w:b/>
                  <w:color w:val="0563C1"/>
                  <w:sz w:val="20"/>
                  <w:u w:val="single"/>
                </w:rPr>
                <w:t>PART I. FINANCIAL INFORMATION</w:t>
              </w:r>
            </w:hyperlink>
          </w:p>
        </w:tc>
        <w:tc>
          <w:tcPr>
            <w:tcW w:w="176" w:type="dxa"/>
            <w:tcBorders/>
            <w:vAlign w:val="center"/>
          </w:tcPr>
          <w:p>
            <w:pPr>
              <w:pStyle w:val="TableContents"/>
              <w:bidi w:val="0"/>
              <w:spacing w:before="0" w:after="283"/>
              <w:ind w:left="0" w:right="0" w:firstLine="30"/>
              <w:jc w:val="left"/>
              <w:rPr/>
            </w:pPr>
            <w:r>
              <w:rPr/>
              <w:t> </w:t>
            </w:r>
          </w:p>
        </w:tc>
        <w:tc>
          <w:tcPr>
            <w:tcW w:w="929" w:type="dxa"/>
            <w:tcBorders/>
            <w:vAlign w:val="center"/>
          </w:tcPr>
          <w:p>
            <w:pPr>
              <w:pStyle w:val="TableContents"/>
              <w:bidi w:val="0"/>
              <w:spacing w:before="0" w:after="283"/>
              <w:ind w:left="0" w:right="0" w:firstLine="30"/>
              <w:jc w:val="right"/>
              <w:rPr/>
            </w:pPr>
            <w:r>
              <w:rPr/>
              <w:t> </w:t>
            </w:r>
          </w:p>
        </w:tc>
      </w:tr>
      <w:tr>
        <w:trPr/>
        <w:tc>
          <w:tcPr>
            <w:tcW w:w="780"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929" w:type="dxa"/>
            <w:tcBorders/>
            <w:vAlign w:val="center"/>
          </w:tcPr>
          <w:p>
            <w:pPr>
              <w:pStyle w:val="TableContents"/>
              <w:bidi w:val="0"/>
              <w:spacing w:before="0" w:after="283"/>
              <w:ind w:left="0" w:right="0" w:firstLine="250"/>
              <w:jc w:val="right"/>
              <w:rPr/>
            </w:pPr>
            <w:r>
              <w:rPr/>
              <w:t> </w:t>
            </w:r>
          </w:p>
        </w:tc>
      </w:tr>
      <w:tr>
        <w:trPr/>
        <w:tc>
          <w:tcPr>
            <w:tcW w:w="780"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w:t>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item_1_financial_statements_unaudited">
              <w:r>
                <w:rPr>
                  <w:rStyle w:val="InternetLink"/>
                  <w:rFonts w:ascii="Times New Roman" w:hAnsi="Times New Roman"/>
                  <w:color w:val="0563C1"/>
                  <w:sz w:val="20"/>
                  <w:u w:val="single"/>
                </w:rPr>
                <w:t>Financial Statements (Unaudited):</w:t>
              </w:r>
            </w:hyperlink>
          </w:p>
        </w:tc>
        <w:tc>
          <w:tcPr>
            <w:tcW w:w="176" w:type="dxa"/>
            <w:tcBorders/>
            <w:vAlign w:val="center"/>
          </w:tcPr>
          <w:p>
            <w:pPr>
              <w:pStyle w:val="TableContents"/>
              <w:bidi w:val="0"/>
              <w:spacing w:before="0" w:after="283"/>
              <w:ind w:left="0" w:right="0" w:firstLine="30"/>
              <w:jc w:val="left"/>
              <w:rPr/>
            </w:pPr>
            <w:r>
              <w:rPr/>
              <w:t> </w:t>
            </w:r>
          </w:p>
        </w:tc>
        <w:tc>
          <w:tcPr>
            <w:tcW w:w="929" w:type="dxa"/>
            <w:tcBorders/>
            <w:vAlign w:val="center"/>
          </w:tcPr>
          <w:p>
            <w:pPr>
              <w:pStyle w:val="TableContents"/>
              <w:bidi w:val="0"/>
              <w:spacing w:before="0" w:after="283"/>
              <w:ind w:left="0" w:right="0" w:firstLine="250"/>
              <w:jc w:val="right"/>
              <w:rPr/>
            </w:pPr>
            <w:r>
              <w:rPr/>
              <w:t> </w:t>
            </w:r>
          </w:p>
        </w:tc>
      </w:tr>
      <w:tr>
        <w:trPr/>
        <w:tc>
          <w:tcPr>
            <w:tcW w:w="780"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condensed_consolidated_statements_inc">
              <w:r>
                <w:rPr>
                  <w:rStyle w:val="InternetLink"/>
                  <w:rFonts w:ascii="Times New Roman" w:hAnsi="Times New Roman"/>
                  <w:color w:val="0563C1"/>
                  <w:sz w:val="20"/>
                  <w:u w:val="single"/>
                </w:rPr>
                <w:t>Condensed Consolidated Statements of Income for the three months ended March 31, 2024 and 2023</w:t>
              </w:r>
            </w:hyperlink>
          </w:p>
        </w:tc>
        <w:tc>
          <w:tcPr>
            <w:tcW w:w="176" w:type="dxa"/>
            <w:tcBorders/>
            <w:vAlign w:val="center"/>
          </w:tcPr>
          <w:p>
            <w:pPr>
              <w:pStyle w:val="TableContents"/>
              <w:bidi w:val="0"/>
              <w:spacing w:before="0" w:after="283"/>
              <w:ind w:left="30" w:right="0" w:firstLine="30"/>
              <w:jc w:val="right"/>
              <w:rPr/>
            </w:pPr>
            <w:r>
              <w:rPr/>
              <w:t> </w:t>
            </w:r>
          </w:p>
        </w:tc>
        <w:tc>
          <w:tcPr>
            <w:tcW w:w="92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5</w:t>
            </w:r>
          </w:p>
        </w:tc>
      </w:tr>
      <w:tr>
        <w:trPr/>
        <w:tc>
          <w:tcPr>
            <w:tcW w:w="780"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condensed_consolidated_stmt_comp_income">
              <w:r>
                <w:rPr>
                  <w:rStyle w:val="InternetLink"/>
                  <w:rFonts w:ascii="Times New Roman" w:hAnsi="Times New Roman"/>
                  <w:color w:val="0563C1"/>
                  <w:sz w:val="20"/>
                  <w:u w:val="single"/>
                </w:rPr>
                <w:t>Condensed Consolidated Statements of Comprehensive Income for the three months ended March 31, 2024 and 2023</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6</w:t>
            </w:r>
          </w:p>
        </w:tc>
      </w:tr>
      <w:tr>
        <w:trPr/>
        <w:tc>
          <w:tcPr>
            <w:tcW w:w="780"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condensed_consolidated_balance_sheets">
              <w:r>
                <w:rPr>
                  <w:rStyle w:val="InternetLink"/>
                  <w:rFonts w:ascii="Times New Roman" w:hAnsi="Times New Roman"/>
                  <w:color w:val="0563C1"/>
                  <w:sz w:val="20"/>
                  <w:u w:val="single"/>
                </w:rPr>
                <w:t>Condensed Consolidated Balance Sheets as of March 31, 2024 and December 31, 2023</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7</w:t>
            </w:r>
          </w:p>
        </w:tc>
      </w:tr>
      <w:tr>
        <w:trPr/>
        <w:tc>
          <w:tcPr>
            <w:tcW w:w="780"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condensed_consolidated_statements_equity">
              <w:r>
                <w:rPr>
                  <w:rStyle w:val="InternetLink"/>
                  <w:rFonts w:ascii="Times New Roman" w:hAnsi="Times New Roman"/>
                  <w:color w:val="0563C1"/>
                  <w:sz w:val="20"/>
                  <w:u w:val="single"/>
                </w:rPr>
                <w:t>Condensed Consolidated Statements of Equity for the three months ended March 31, 2024 and 2023</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8</w:t>
            </w:r>
          </w:p>
        </w:tc>
      </w:tr>
      <w:tr>
        <w:trPr/>
        <w:tc>
          <w:tcPr>
            <w:tcW w:w="780"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condensed_consolidated_statements_cash">
              <w:r>
                <w:rPr>
                  <w:rStyle w:val="InternetLink"/>
                  <w:rFonts w:ascii="Times New Roman" w:hAnsi="Times New Roman"/>
                  <w:color w:val="0563C1"/>
                  <w:sz w:val="20"/>
                  <w:u w:val="single"/>
                </w:rPr>
                <w:t>Condensed Consolidated Statements of Cash Flows for the three months ended March 31, 2024 and 2023</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9</w:t>
            </w:r>
          </w:p>
        </w:tc>
      </w:tr>
      <w:tr>
        <w:trPr/>
        <w:tc>
          <w:tcPr>
            <w:tcW w:w="780"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notes_to_condensed_consolidated_financia">
              <w:r>
                <w:rPr>
                  <w:rStyle w:val="InternetLink"/>
                  <w:rFonts w:ascii="Times New Roman" w:hAnsi="Times New Roman"/>
                  <w:color w:val="0563C1"/>
                  <w:sz w:val="20"/>
                  <w:u w:val="single"/>
                </w:rPr>
                <w:t>Notes to Condensed Consolidated Financial Statements</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10</w:t>
            </w:r>
          </w:p>
        </w:tc>
      </w:tr>
      <w:tr>
        <w:trPr/>
        <w:tc>
          <w:tcPr>
            <w:tcW w:w="780"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sz w:val="4"/>
                <w:szCs w:val="4"/>
              </w:rPr>
            </w:pPr>
            <w:r>
              <w:rPr>
                <w:sz w:val="4"/>
                <w:szCs w:val="4"/>
              </w:rPr>
            </w:r>
          </w:p>
        </w:tc>
        <w:tc>
          <w:tcPr>
            <w:tcW w:w="176" w:type="dxa"/>
            <w:tcBorders/>
            <w:vAlign w:val="center"/>
          </w:tcPr>
          <w:p>
            <w:pPr>
              <w:pStyle w:val="TableContents"/>
              <w:bidi w:val="0"/>
              <w:spacing w:before="0" w:after="283"/>
              <w:ind w:left="0" w:right="0" w:firstLine="30"/>
              <w:jc w:val="left"/>
              <w:rPr/>
            </w:pPr>
            <w:r>
              <w:rPr/>
              <w:t> </w:t>
            </w:r>
          </w:p>
        </w:tc>
        <w:tc>
          <w:tcPr>
            <w:tcW w:w="929" w:type="dxa"/>
            <w:tcBorders/>
            <w:vAlign w:val="center"/>
          </w:tcPr>
          <w:p>
            <w:pPr>
              <w:pStyle w:val="TableContents"/>
              <w:bidi w:val="0"/>
              <w:spacing w:before="0" w:after="283"/>
              <w:ind w:left="0" w:right="0" w:firstLine="250"/>
              <w:jc w:val="right"/>
              <w:rPr/>
            </w:pPr>
            <w:r>
              <w:rPr/>
              <w:t> </w:t>
            </w:r>
          </w:p>
        </w:tc>
      </w:tr>
      <w:tr>
        <w:trPr/>
        <w:tc>
          <w:tcPr>
            <w:tcW w:w="780"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2.</w:t>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23</w:t>
            </w:r>
          </w:p>
        </w:tc>
      </w:tr>
      <w:tr>
        <w:trPr/>
        <w:tc>
          <w:tcPr>
            <w:tcW w:w="780"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3.</w:t>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36</w:t>
            </w:r>
          </w:p>
        </w:tc>
      </w:tr>
      <w:tr>
        <w:trPr/>
        <w:tc>
          <w:tcPr>
            <w:tcW w:w="780"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4.</w:t>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item_4_controls_procedures">
              <w:r>
                <w:rPr>
                  <w:rStyle w:val="InternetLink"/>
                  <w:rFonts w:ascii="Times New Roman" w:hAnsi="Times New Roman"/>
                  <w:color w:val="0563C1"/>
                  <w:sz w:val="20"/>
                  <w:u w:val="single"/>
                </w:rPr>
                <w:t>Controls and Procedures</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36</w:t>
            </w:r>
          </w:p>
        </w:tc>
      </w:tr>
      <w:tr>
        <w:trPr/>
        <w:tc>
          <w:tcPr>
            <w:tcW w:w="780"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30"/>
              <w:jc w:val="right"/>
              <w:rPr/>
            </w:pPr>
            <w:r>
              <w:rPr/>
              <w:t> </w:t>
            </w:r>
          </w:p>
        </w:tc>
      </w:tr>
      <w:tr>
        <w:trPr/>
        <w:tc>
          <w:tcPr>
            <w:tcW w:w="9100" w:type="dxa"/>
            <w:gridSpan w:val="3"/>
            <w:tcBorders/>
            <w:vAlign w:val="center"/>
          </w:tcPr>
          <w:p>
            <w:pPr>
              <w:pStyle w:val="TableContents"/>
              <w:bidi w:val="0"/>
              <w:spacing w:before="0" w:after="283"/>
              <w:ind w:left="0" w:right="0" w:firstLine="30"/>
              <w:jc w:val="left"/>
              <w:rPr/>
            </w:pPr>
            <w:hyperlink w:anchor="part_ii">
              <w:r>
                <w:rPr>
                  <w:rStyle w:val="InternetLink"/>
                  <w:rFonts w:ascii="Times New Roman" w:hAnsi="Times New Roman"/>
                  <w:b/>
                  <w:color w:val="0563C1"/>
                  <w:sz w:val="20"/>
                  <w:u w:val="single"/>
                </w:rPr>
                <w:t>PART II. OTHER INFORMATION</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pPr>
            <w:r>
              <w:rPr/>
              <w:t> </w:t>
            </w:r>
          </w:p>
        </w:tc>
      </w:tr>
      <w:tr>
        <w:trPr/>
        <w:tc>
          <w:tcPr>
            <w:tcW w:w="780"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r>
              <w:rPr/>
              <w:t> </w:t>
            </w:r>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pPr>
            <w:r>
              <w:rPr/>
              <w:t> </w:t>
            </w:r>
          </w:p>
        </w:tc>
      </w:tr>
      <w:tr>
        <w:trPr/>
        <w:tc>
          <w:tcPr>
            <w:tcW w:w="780"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w:t>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item_1_legal_proceedings">
              <w:r>
                <w:rPr>
                  <w:rStyle w:val="InternetLink"/>
                  <w:rFonts w:ascii="Times New Roman" w:hAnsi="Times New Roman"/>
                  <w:color w:val="0563C1"/>
                  <w:sz w:val="20"/>
                  <w:u w:val="single"/>
                </w:rPr>
                <w:t>Legal Proceedings</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37</w:t>
            </w:r>
          </w:p>
        </w:tc>
      </w:tr>
      <w:tr>
        <w:trPr/>
        <w:tc>
          <w:tcPr>
            <w:tcW w:w="780"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1A.</w:t>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item_1a_risk_factors">
              <w:r>
                <w:rPr>
                  <w:rStyle w:val="InternetLink"/>
                  <w:rFonts w:ascii="Times New Roman" w:hAnsi="Times New Roman"/>
                  <w:color w:val="0563C1"/>
                  <w:sz w:val="20"/>
                  <w:u w:val="single"/>
                </w:rPr>
                <w:t>Risk Factors</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37</w:t>
            </w:r>
          </w:p>
        </w:tc>
      </w:tr>
      <w:tr>
        <w:trPr/>
        <w:tc>
          <w:tcPr>
            <w:tcW w:w="780"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2.</w:t>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item_2_unregistered_sales_equity_securit">
              <w:r>
                <w:rPr>
                  <w:rStyle w:val="InternetLink"/>
                  <w:rFonts w:ascii="Times New Roman" w:hAnsi="Times New Roman"/>
                  <w:color w:val="0563C1"/>
                  <w:sz w:val="20"/>
                  <w:u w:val="single"/>
                </w:rPr>
                <w:t>Unregistered Sales of Equity Securities and Use of Proceeds</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37</w:t>
            </w:r>
          </w:p>
        </w:tc>
      </w:tr>
      <w:tr>
        <w:trPr/>
        <w:tc>
          <w:tcPr>
            <w:tcW w:w="780"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5.</w:t>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itme_5_other_information">
              <w:r>
                <w:rPr>
                  <w:rStyle w:val="InternetLink"/>
                  <w:rFonts w:ascii="Times New Roman" w:hAnsi="Times New Roman"/>
                  <w:color w:val="0563C1"/>
                  <w:sz w:val="20"/>
                  <w:u w:val="single"/>
                </w:rPr>
                <w:t>Other Information</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250"/>
              <w:jc w:val="right"/>
              <w:rPr>
                <w:rFonts w:ascii="Times New Roman" w:hAnsi="Times New Roman"/>
                <w:color w:val="000000"/>
                <w:sz w:val="20"/>
              </w:rPr>
            </w:pPr>
            <w:r>
              <w:rPr>
                <w:rFonts w:ascii="Times New Roman" w:hAnsi="Times New Roman"/>
                <w:color w:val="000000"/>
                <w:sz w:val="20"/>
              </w:rPr>
              <w:t>37</w:t>
            </w:r>
          </w:p>
        </w:tc>
      </w:tr>
      <w:tr>
        <w:trPr/>
        <w:tc>
          <w:tcPr>
            <w:tcW w:w="780"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Item 6.</w:t>
            </w:r>
          </w:p>
        </w:tc>
        <w:tc>
          <w:tcPr>
            <w:tcW w:w="176" w:type="dxa"/>
            <w:tcBorders/>
            <w:vAlign w:val="center"/>
          </w:tcPr>
          <w:p>
            <w:pPr>
              <w:pStyle w:val="TableContents"/>
              <w:bidi w:val="0"/>
              <w:spacing w:before="0" w:after="283"/>
              <w:ind w:left="0" w:right="0" w:firstLine="30"/>
              <w:jc w:val="left"/>
              <w:rPr/>
            </w:pPr>
            <w:r>
              <w:rPr/>
              <w:t> </w:t>
            </w:r>
          </w:p>
        </w:tc>
        <w:tc>
          <w:tcPr>
            <w:tcW w:w="8144" w:type="dxa"/>
            <w:tcBorders/>
            <w:vAlign w:val="center"/>
          </w:tcPr>
          <w:p>
            <w:pPr>
              <w:pStyle w:val="TableContents"/>
              <w:bidi w:val="0"/>
              <w:spacing w:before="0" w:after="283"/>
              <w:ind w:left="0" w:right="0" w:firstLine="30"/>
              <w:jc w:val="left"/>
              <w:rPr/>
            </w:pPr>
            <w:hyperlink w:anchor="item_6_exhibits">
              <w:r>
                <w:rPr>
                  <w:rStyle w:val="InternetLink"/>
                  <w:rFonts w:ascii="Times New Roman" w:hAnsi="Times New Roman"/>
                  <w:color w:val="0563C1"/>
                  <w:sz w:val="20"/>
                  <w:u w:val="single"/>
                </w:rPr>
                <w:t>Exhibits</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0" w:right="0" w:firstLine="30"/>
              <w:jc w:val="right"/>
              <w:rPr>
                <w:rFonts w:ascii="Times New Roman" w:hAnsi="Times New Roman"/>
                <w:color w:val="000000"/>
                <w:sz w:val="20"/>
              </w:rPr>
            </w:pPr>
            <w:r>
              <w:rPr>
                <w:rFonts w:ascii="Times New Roman" w:hAnsi="Times New Roman"/>
                <w:color w:val="000000"/>
                <w:sz w:val="20"/>
              </w:rPr>
              <w:t>38</w:t>
            </w:r>
          </w:p>
        </w:tc>
      </w:tr>
      <w:tr>
        <w:trPr/>
        <w:tc>
          <w:tcPr>
            <w:tcW w:w="9100" w:type="dxa"/>
            <w:gridSpan w:val="3"/>
            <w:tcBorders/>
            <w:vAlign w:val="center"/>
          </w:tcPr>
          <w:p>
            <w:pPr>
              <w:pStyle w:val="TableContents"/>
              <w:bidi w:val="0"/>
              <w:spacing w:before="0" w:after="283"/>
              <w:ind w:left="0" w:right="0" w:firstLine="30"/>
              <w:jc w:val="left"/>
              <w:rPr/>
            </w:pPr>
            <w:hyperlink w:anchor="signature">
              <w:r>
                <w:rPr>
                  <w:rStyle w:val="InternetLink"/>
                  <w:rFonts w:ascii="Times New Roman" w:hAnsi="Times New Roman"/>
                  <w:b/>
                  <w:color w:val="0563C1"/>
                  <w:sz w:val="20"/>
                  <w:u w:val="single"/>
                </w:rPr>
                <w:t>SIGNATURE</w:t>
              </w:r>
            </w:hyperlink>
          </w:p>
        </w:tc>
        <w:tc>
          <w:tcPr>
            <w:tcW w:w="176" w:type="dxa"/>
            <w:tcBorders/>
            <w:vAlign w:val="center"/>
          </w:tcPr>
          <w:p>
            <w:pPr>
              <w:pStyle w:val="TableContents"/>
              <w:bidi w:val="0"/>
              <w:spacing w:before="0" w:after="283"/>
              <w:ind w:left="0" w:right="0" w:firstLine="30"/>
              <w:jc w:val="right"/>
              <w:rPr/>
            </w:pPr>
            <w:r>
              <w:rPr/>
              <w:t> </w:t>
            </w:r>
          </w:p>
        </w:tc>
        <w:tc>
          <w:tcPr>
            <w:tcW w:w="929" w:type="dxa"/>
            <w:tcBorders/>
            <w:vAlign w:val="center"/>
          </w:tcPr>
          <w:p>
            <w:pPr>
              <w:pStyle w:val="TableContents"/>
              <w:bidi w:val="0"/>
              <w:spacing w:before="0" w:after="283"/>
              <w:ind w:left="30" w:right="0" w:firstLine="30"/>
              <w:jc w:val="right"/>
              <w:rPr>
                <w:rFonts w:ascii="Times New Roman" w:hAnsi="Times New Roman"/>
                <w:color w:val="000000"/>
                <w:sz w:val="20"/>
              </w:rPr>
            </w:pPr>
            <w:r>
              <w:rPr>
                <w:rFonts w:ascii="Times New Roman" w:hAnsi="Times New Roman"/>
                <w:color w:val="000000"/>
                <w:sz w:val="20"/>
              </w:rPr>
              <w:t>39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Disclosure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Brown &amp; Brown, Inc., together with its subsidiaries (collectively, “we,” “Brown &amp; Brown” or the “Company”), makes “forward-looking statements” within the “safe harbor” provision of the Private Securities Litigation Reform Act of 1995, as amended, throughout this report and in the documents we incorporate by reference into this report.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Quarterly Report on Form 10-Q and the reports, statements, information and announcements incorporated by reference into this report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report include but are not limited to the following items, in addition to those matters described in Part I, Item 2 “Management’s Discussion and Analysis of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hire, retain and develop qualified employees, as well as the loss of any of our executive officers or other key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cybersecurity attack or any other interruption in information technology and/or data security that may impact our operations or the operations of third parties that support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related to our international operations, which may result in additional risks or require more management time and expense than our domestic operations to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for additional resources and time to adequately respond to dynamics resulting from rapid technological change;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or significant change to any of our insurance company relationships, which could result in loss of capacity to write business, additional expense, loss of market share or material decrease in our commissions;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natural disasters on our profit-sharing contingent commissions, insurer capacity or claims expenses within our capitalized captive insurance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economic conditions, political conditions, outbreaks of war, disasters, or regulatory changes in states or countries where we have a concentration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maintain our culture or a significant change in management, management philosophy or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commission revenue as a result of factors outside of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sustained inflation or higher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Claims expense resulting from the limited underwriting risk associated with our participation in capitalized captive insurance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our automobile and recreational vehicle dealer services (“F&amp;I”)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or the termination of, certain programs administered by the U.S. federal government from which we derive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limitations of our system of disclosure and internal controls and procedures in preventing errors or fraud, or in informing management of all material information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control certain shareholders have over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data privacy and protection laws and regulations or any failure to comply with such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Improper disclosure of confidential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non-U.S. laws, regulations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adverse effect of certain actual or potential claims, regulatory actions or proceedings on our businesses, results of operations, financial condition or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our business practices and compensation arrangements with insurance carriers due to potential changes in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scrutiny and changing laws and expectations from regulators, investors and customers with respect to our environmental, social and governance practices and disclosure;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demand for liability insurance as a result of tort reform legislation;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any covenants contained in our debt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possibility that covenants in our debt agreements could prevent us from engaging in certain potentially beneficial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U.S.-based credit markets that might adversely affect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current U.S. or global economic conditions, including an extended slowdown in the markets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Disintermediation within the insurance industry, including increased competition from insurance companies, technology companies and the financial services industry, as well as the shift away from traditional insurance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that result in reduced insurer capacity;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Quarterly and annual variations in our commissions that result from the timing of policy renewals and the net effect of new and lost business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Intangible asset risk, including the possibility that our goodwill may become impaired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pandemics, epidemics or outbreaks of infectious diseases, and the resulting governmental and societal responses;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as may be detailed from time to time in our public announcements and Securities and Exchange Commission (“SEC”) filings;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that the Company may not have currently identified or quantified.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filing, and the Company does not undertake any obligation to publicly update or correct any forward-looking statements to reflect events or circumstances that subsequently occur or of which the Company hereafter becomes aware.</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4" w:name="item_1_financial_statements_unaudited"/>
      <w:bookmarkEnd w:id="4"/>
      <w:r>
        <w:rPr>
          <w:rFonts w:ascii="Times New Roman" w:hAnsi="Times New Roman"/>
          <w:b/>
          <w:color w:val="000000"/>
          <w:sz w:val="20"/>
        </w:rPr>
        <w:t>ITEM 1 —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5" w:name="condensed_consolidated_statements_inc"/>
      <w:bookmarkEnd w:id="5"/>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7881" w:type="dxa"/>
        <w:jc w:val="left"/>
        <w:tblInd w:w="0" w:type="dxa"/>
        <w:tblLayout w:type="fixed"/>
        <w:tblCellMar>
          <w:top w:w="28" w:type="dxa"/>
          <w:left w:w="28" w:type="dxa"/>
          <w:bottom w:w="28" w:type="dxa"/>
          <w:right w:w="28" w:type="dxa"/>
        </w:tblCellMar>
      </w:tblPr>
      <w:tblGrid>
        <w:gridCol w:w="4771"/>
        <w:gridCol w:w="146"/>
        <w:gridCol w:w="264"/>
        <w:gridCol w:w="717"/>
        <w:gridCol w:w="208"/>
        <w:gridCol w:w="183"/>
        <w:gridCol w:w="264"/>
        <w:gridCol w:w="717"/>
        <w:gridCol w:w="6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981"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Commissions and fees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0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08"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208"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61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vAlign w:val="center"/>
          </w:tcPr>
          <w:p>
            <w:pPr>
              <w:pStyle w:val="TableContents"/>
              <w:bidi w:val="0"/>
              <w:spacing w:before="0" w:after="283"/>
              <w:jc w:val="left"/>
              <w:rPr/>
            </w:pPr>
            <w:r>
              <w:rPr/>
              <w:t> </w:t>
            </w:r>
          </w:p>
        </w:tc>
        <w:tc>
          <w:tcPr>
            <w:tcW w:w="981" w:type="dxa"/>
            <w:gridSpan w:val="2"/>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981"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7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208"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0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Loss/(gain) on disposal</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8"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0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08"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08"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7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08"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61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08"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1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7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vAlign w:val="center"/>
          </w:tcPr>
          <w:p>
            <w:pPr>
              <w:pStyle w:val="TableContents"/>
              <w:bidi w:val="0"/>
              <w:spacing w:before="0" w:after="283"/>
              <w:jc w:val="left"/>
              <w:rPr/>
            </w:pPr>
            <w:r>
              <w:rPr/>
              <w:t> </w:t>
            </w:r>
          </w:p>
        </w:tc>
        <w:tc>
          <w:tcPr>
            <w:tcW w:w="981" w:type="dxa"/>
            <w:gridSpan w:val="2"/>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981"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7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6" w:name="condensed_consolidated_stmt_comp_income"/>
      <w:bookmarkEnd w:id="6"/>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272" w:type="dxa"/>
        <w:jc w:val="left"/>
        <w:tblInd w:w="0" w:type="dxa"/>
        <w:tblLayout w:type="fixed"/>
        <w:tblCellMar>
          <w:top w:w="28" w:type="dxa"/>
          <w:left w:w="28" w:type="dxa"/>
          <w:bottom w:w="28" w:type="dxa"/>
          <w:right w:w="28" w:type="dxa"/>
        </w:tblCellMar>
      </w:tblPr>
      <w:tblGrid>
        <w:gridCol w:w="4381"/>
        <w:gridCol w:w="146"/>
        <w:gridCol w:w="315"/>
        <w:gridCol w:w="629"/>
        <w:gridCol w:w="248"/>
        <w:gridCol w:w="218"/>
        <w:gridCol w:w="315"/>
        <w:gridCol w:w="629"/>
        <w:gridCol w:w="3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48"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(loss)/gain</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the Company</w:t>
            </w:r>
          </w:p>
        </w:tc>
        <w:tc>
          <w:tcPr>
            <w:tcW w:w="146" w:type="dxa"/>
            <w:tcBorders/>
            <w:shd w:fill="CFF0FC" w:val="clear"/>
            <w:vAlign w:val="center"/>
          </w:tcPr>
          <w:p>
            <w:pPr>
              <w:pStyle w:val="TableContents"/>
              <w:bidi w:val="0"/>
              <w:spacing w:before="0" w:after="283"/>
              <w:jc w:val="left"/>
              <w:rPr/>
            </w:pPr>
            <w:r>
              <w:rPr/>
              <w:t> </w:t>
            </w:r>
          </w:p>
        </w:tc>
        <w:tc>
          <w:tcPr>
            <w:tcW w:w="3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4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3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b/>
          <w:color w:val="000000"/>
          <w:sz w:val="20"/>
        </w:rPr>
      </w:pPr>
      <w:bookmarkStart w:id="7" w:name="condensed_consolidated_balance_sheets"/>
      <w:bookmarkEnd w:id="7"/>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1"/>
        <w:gridCol w:w="146"/>
        <w:gridCol w:w="260"/>
        <w:gridCol w:w="835"/>
        <w:gridCol w:w="166"/>
        <w:gridCol w:w="146"/>
        <w:gridCol w:w="292"/>
        <w:gridCol w:w="936"/>
        <w:gridCol w:w="593"/>
      </w:tblGrid>
      <w:tr>
        <w:trPr/>
        <w:tc>
          <w:tcPr>
            <w:tcW w:w="6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83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8"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6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6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Commission, fees and other receivables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Fiduciary receivables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Reinsurance recoverable</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reinsurance premiums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w:t>
            </w:r>
          </w:p>
        </w:tc>
        <w:tc>
          <w:tcPr>
            <w:tcW w:w="593" w:type="dxa"/>
            <w:tcBorders/>
            <w:shd w:fill="CFF0FC" w:val="clear"/>
            <w:vAlign w:val="center"/>
          </w:tcPr>
          <w:p>
            <w:pPr>
              <w:pStyle w:val="TableContents"/>
              <w:bidi w:val="0"/>
              <w:spacing w:before="0" w:after="283"/>
              <w:jc w:val="left"/>
              <w:rPr/>
            </w:pPr>
            <w:r>
              <w:rPr/>
              <w:t> </w:t>
            </w:r>
          </w:p>
        </w:tc>
      </w:tr>
      <w:tr>
        <w:trPr/>
        <w:tc>
          <w:tcPr>
            <w:tcW w:w="6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93" w:type="dxa"/>
            <w:tcBorders/>
            <w:shd w:fill="FFFFFF" w:val="clear"/>
            <w:vAlign w:val="center"/>
          </w:tcPr>
          <w:p>
            <w:pPr>
              <w:pStyle w:val="TableContents"/>
              <w:bidi w:val="0"/>
              <w:spacing w:before="0" w:after="283"/>
              <w:jc w:val="left"/>
              <w:rPr/>
            </w:pPr>
            <w:r>
              <w:rPr/>
              <w:t> </w:t>
            </w:r>
          </w:p>
        </w:tc>
      </w:tr>
      <w:tr>
        <w:trPr/>
        <w:tc>
          <w:tcPr>
            <w:tcW w:w="6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593" w:type="dxa"/>
            <w:tcBorders/>
            <w:shd w:fill="CFF0FC" w:val="clear"/>
            <w:vAlign w:val="center"/>
          </w:tcPr>
          <w:p>
            <w:pPr>
              <w:pStyle w:val="TableContents"/>
              <w:bidi w:val="0"/>
              <w:spacing w:before="0" w:after="283"/>
              <w:jc w:val="left"/>
              <w:rPr/>
            </w:pPr>
            <w:r>
              <w:rPr/>
              <w:t> </w:t>
            </w:r>
          </w:p>
        </w:tc>
      </w:tr>
      <w:tr>
        <w:trPr/>
        <w:tc>
          <w:tcPr>
            <w:tcW w:w="6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w:t>
            </w:r>
          </w:p>
        </w:tc>
        <w:tc>
          <w:tcPr>
            <w:tcW w:w="593" w:type="dxa"/>
            <w:tcBorders/>
            <w:shd w:fill="FFFFFF" w:val="clear"/>
            <w:vAlign w:val="center"/>
          </w:tcPr>
          <w:p>
            <w:pPr>
              <w:pStyle w:val="TableContents"/>
              <w:bidi w:val="0"/>
              <w:spacing w:before="0" w:after="283"/>
              <w:jc w:val="left"/>
              <w:rPr/>
            </w:pPr>
            <w:r>
              <w:rPr/>
              <w:t> </w:t>
            </w:r>
          </w:p>
        </w:tc>
      </w:tr>
      <w:tr>
        <w:trPr/>
        <w:tc>
          <w:tcPr>
            <w:tcW w:w="6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Amortizable intangible assets, net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593" w:type="dxa"/>
            <w:tcBorders/>
            <w:shd w:fill="CFF0FC" w:val="clear"/>
            <w:vAlign w:val="center"/>
          </w:tcPr>
          <w:p>
            <w:pPr>
              <w:pStyle w:val="TableContents"/>
              <w:bidi w:val="0"/>
              <w:spacing w:before="0" w:after="283"/>
              <w:jc w:val="left"/>
              <w:rPr/>
            </w:pPr>
            <w:r>
              <w:rPr/>
              <w:t> </w:t>
            </w:r>
          </w:p>
        </w:tc>
      </w:tr>
      <w:tr>
        <w:trPr/>
        <w:tc>
          <w:tcPr>
            <w:tcW w:w="6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3" w:type="dxa"/>
            <w:tcBorders/>
            <w:shd w:fill="FFFFFF" w:val="clear"/>
            <w:vAlign w:val="center"/>
          </w:tcPr>
          <w:p>
            <w:pPr>
              <w:pStyle w:val="TableContents"/>
              <w:bidi w:val="0"/>
              <w:spacing w:before="0" w:after="283"/>
              <w:jc w:val="left"/>
              <w:rPr/>
            </w:pPr>
            <w:r>
              <w:rPr/>
              <w:t> </w:t>
            </w:r>
          </w:p>
        </w:tc>
      </w:tr>
      <w:tr>
        <w:trPr/>
        <w:tc>
          <w:tcPr>
            <w:tcW w:w="6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14,883</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8"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jc w:val="right"/>
              <w:rPr/>
            </w:pPr>
            <w:r>
              <w:rPr/>
              <w:t> </w:t>
            </w:r>
          </w:p>
        </w:tc>
      </w:tr>
      <w:tr>
        <w:trPr/>
        <w:tc>
          <w:tcPr>
            <w:tcW w:w="6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6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Fiduciary liabilities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Losses and loss adjustment reserve</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Unearned premiums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w:t>
            </w:r>
          </w:p>
        </w:tc>
        <w:tc>
          <w:tcPr>
            <w:tcW w:w="593" w:type="dxa"/>
            <w:tcBorders/>
            <w:shd w:fill="CFF0FC" w:val="clear"/>
            <w:vAlign w:val="center"/>
          </w:tcPr>
          <w:p>
            <w:pPr>
              <w:pStyle w:val="TableContents"/>
              <w:bidi w:val="0"/>
              <w:spacing w:before="0" w:after="283"/>
              <w:jc w:val="left"/>
              <w:rPr/>
            </w:pPr>
            <w:r>
              <w:rPr/>
              <w:t> </w:t>
            </w:r>
          </w:p>
        </w:tc>
      </w:tr>
      <w:tr>
        <w:trPr/>
        <w:tc>
          <w:tcPr>
            <w:tcW w:w="6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unamortized discount and debt issuance costs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593" w:type="dxa"/>
            <w:tcBorders/>
            <w:shd w:fill="FFFFFF" w:val="clear"/>
            <w:vAlign w:val="center"/>
          </w:tcPr>
          <w:p>
            <w:pPr>
              <w:pStyle w:val="TableContents"/>
              <w:bidi w:val="0"/>
              <w:spacing w:before="0" w:after="283"/>
              <w:jc w:val="left"/>
              <w:rPr/>
            </w:pPr>
            <w:r>
              <w:rPr/>
              <w:t> </w:t>
            </w:r>
          </w:p>
        </w:tc>
      </w:tr>
      <w:tr>
        <w:trPr/>
        <w:tc>
          <w:tcPr>
            <w:tcW w:w="6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593" w:type="dxa"/>
            <w:tcBorders/>
            <w:shd w:fill="CFF0FC" w:val="clear"/>
            <w:vAlign w:val="center"/>
          </w:tcPr>
          <w:p>
            <w:pPr>
              <w:pStyle w:val="TableContents"/>
              <w:bidi w:val="0"/>
              <w:spacing w:before="0" w:after="283"/>
              <w:jc w:val="left"/>
              <w:rPr/>
            </w:pPr>
            <w:r>
              <w:rPr/>
              <w:t> </w:t>
            </w:r>
          </w:p>
        </w:tc>
      </w:tr>
      <w:tr>
        <w:trPr/>
        <w:tc>
          <w:tcPr>
            <w:tcW w:w="6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593" w:type="dxa"/>
            <w:tcBorders/>
            <w:shd w:fill="FFFFFF" w:val="clear"/>
            <w:vAlign w:val="center"/>
          </w:tcPr>
          <w:p>
            <w:pPr>
              <w:pStyle w:val="TableContents"/>
              <w:bidi w:val="0"/>
              <w:spacing w:before="0" w:after="283"/>
              <w:jc w:val="left"/>
              <w:rPr/>
            </w:pPr>
            <w:r>
              <w:rPr/>
              <w:t> </w:t>
            </w:r>
          </w:p>
        </w:tc>
      </w:tr>
      <w:tr>
        <w:trPr/>
        <w:tc>
          <w:tcPr>
            <w:tcW w:w="6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593" w:type="dxa"/>
            <w:tcBorders/>
            <w:shd w:fill="CFF0FC" w:val="clear"/>
            <w:vAlign w:val="center"/>
          </w:tcPr>
          <w:p>
            <w:pPr>
              <w:pStyle w:val="TableContents"/>
              <w:bidi w:val="0"/>
              <w:spacing w:before="0" w:after="283"/>
              <w:jc w:val="left"/>
              <w:rPr/>
            </w:pPr>
            <w:r>
              <w:rPr/>
              <w:t> </w:t>
            </w:r>
          </w:p>
        </w:tc>
      </w:tr>
      <w:tr>
        <w:trPr/>
        <w:tc>
          <w:tcPr>
            <w:tcW w:w="6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8"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ind w:left="0" w:right="0" w:firstLine="200"/>
              <w:jc w:val="right"/>
              <w:rPr/>
            </w:pPr>
            <w:r>
              <w:rPr/>
              <w:t> </w:t>
            </w:r>
          </w:p>
        </w:tc>
      </w:tr>
      <w:tr>
        <w:trPr/>
        <w:tc>
          <w:tcPr>
            <w:tcW w:w="6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par value $0.10 per share; authorized 560 shares; issued 305 shares and outstanding 285 shares at 2024, issued 304</w:t>
              <w:br/>
              <w:t>shares and outstanding 285 shares at 2023, respectively</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6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 at cost 20 shares at 2024, 20 shares at 2023, respectively</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593"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9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pPr>
            <w:r>
              <w:rPr/>
              <w:t> </w:t>
            </w:r>
          </w:p>
        </w:tc>
        <w:tc>
          <w:tcPr>
            <w:tcW w:w="936" w:type="dxa"/>
            <w:tcBorders/>
            <w:shd w:fill="CFF0FC" w:val="clear"/>
            <w:vAlign w:val="center"/>
          </w:tcPr>
          <w:p>
            <w:pPr>
              <w:pStyle w:val="TableContents"/>
              <w:bidi w:val="0"/>
              <w:spacing w:before="0" w:after="283"/>
              <w:jc w:val="right"/>
              <w:rPr>
                <w:color w:val="000000"/>
              </w:rPr>
            </w:pPr>
            <w:r>
              <w:rPr>
                <w:color w:val="000000"/>
              </w:rPr>
              <w:t>—</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6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14,883</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sz w:val="20"/>
        </w:rPr>
      </w:pPr>
      <w:bookmarkStart w:id="8" w:name="condensed_consolidated_statements_equity"/>
      <w:bookmarkEnd w:id="8"/>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946" w:type="dxa"/>
        <w:jc w:val="left"/>
        <w:tblInd w:w="0" w:type="dxa"/>
        <w:tblLayout w:type="fixed"/>
        <w:tblCellMar>
          <w:top w:w="28" w:type="dxa"/>
          <w:left w:w="28" w:type="dxa"/>
          <w:bottom w:w="28" w:type="dxa"/>
          <w:right w:w="28" w:type="dxa"/>
        </w:tblCellMar>
      </w:tblPr>
      <w:tblGrid>
        <w:gridCol w:w="1216"/>
        <w:gridCol w:w="146"/>
        <w:gridCol w:w="281"/>
        <w:gridCol w:w="725"/>
        <w:gridCol w:w="166"/>
        <w:gridCol w:w="146"/>
        <w:gridCol w:w="213"/>
        <w:gridCol w:w="313"/>
        <w:gridCol w:w="146"/>
        <w:gridCol w:w="146"/>
        <w:gridCol w:w="241"/>
        <w:gridCol w:w="630"/>
        <w:gridCol w:w="166"/>
        <w:gridCol w:w="146"/>
        <w:gridCol w:w="237"/>
        <w:gridCol w:w="529"/>
        <w:gridCol w:w="166"/>
        <w:gridCol w:w="146"/>
        <w:gridCol w:w="377"/>
        <w:gridCol w:w="839"/>
        <w:gridCol w:w="166"/>
        <w:gridCol w:w="146"/>
        <w:gridCol w:w="208"/>
        <w:gridCol w:w="543"/>
        <w:gridCol w:w="166"/>
        <w:gridCol w:w="146"/>
        <w:gridCol w:w="472"/>
        <w:gridCol w:w="834"/>
        <w:gridCol w:w="146"/>
        <w:gridCol w:w="146"/>
        <w:gridCol w:w="196"/>
        <w:gridCol w:w="511"/>
        <w:gridCol w:w="2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2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non-controlling interest acquired (disposed)</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472"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91" w:type="dxa"/>
            <w:tcBorders/>
            <w:shd w:fill="CFF0FC" w:val="cle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shares to fund tax withholdings for non-cash stock-based compensation</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($0.1300</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2024</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77" w:type="dxa"/>
            <w:tcBorders/>
            <w:shd w:fill="CFF0FC" w:val="clear"/>
            <w:vAlign w:val="center"/>
          </w:tcPr>
          <w:p>
            <w:pPr>
              <w:pStyle w:val="TableContents"/>
              <w:bidi w:val="0"/>
              <w:spacing w:before="0" w:after="283"/>
              <w:jc w:val="left"/>
              <w:rPr/>
            </w:pPr>
            <w:r>
              <w:rPr/>
              <w:t> </w:t>
            </w:r>
          </w:p>
        </w:tc>
        <w:tc>
          <w:tcPr>
            <w:tcW w:w="83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91" w:type="dxa"/>
            <w:tcBorders/>
            <w:shd w:fill="CFF0FC" w:val="cle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 employee stock compensation plans:</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2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12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incentive plans</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shares to fund tax withholdings for non-cash stock-based compensation</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9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dividends paid ($0.1150</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1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2023</w:t>
            </w:r>
          </w:p>
        </w:tc>
        <w:tc>
          <w:tcPr>
            <w:tcW w:w="146" w:type="dxa"/>
            <w:tcBorders/>
            <w:shd w:fill="CFF0FC" w:val="cle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BROWN &amp; BROWN, INC.</w:t>
      </w:r>
    </w:p>
    <w:p>
      <w:pPr>
        <w:pStyle w:val="TextBody"/>
        <w:bidi w:val="0"/>
        <w:spacing w:before="240" w:after="283"/>
        <w:jc w:val="center"/>
        <w:rPr>
          <w:rFonts w:ascii="Times New Roman" w:hAnsi="Times New Roman"/>
          <w:sz w:val="20"/>
        </w:rPr>
      </w:pPr>
      <w:bookmarkStart w:id="9" w:name="condensed_consolidated_statements_cash"/>
      <w:bookmarkEnd w:id="9"/>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9"/>
        <w:gridCol w:w="146"/>
        <w:gridCol w:w="250"/>
        <w:gridCol w:w="678"/>
        <w:gridCol w:w="197"/>
        <w:gridCol w:w="173"/>
        <w:gridCol w:w="250"/>
        <w:gridCol w:w="678"/>
        <w:gridCol w:w="614"/>
      </w:tblGrid>
      <w:tr>
        <w:trPr/>
        <w:tc>
          <w:tcPr>
            <w:tcW w:w="7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72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9"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28"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928"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7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14" w:type="dxa"/>
            <w:tcBorders/>
            <w:shd w:fill="FFFFFF" w:val="clear"/>
            <w:vAlign w:val="center"/>
          </w:tcPr>
          <w:p>
            <w:pPr>
              <w:pStyle w:val="TableContents"/>
              <w:bidi w:val="0"/>
              <w:spacing w:before="0" w:after="283"/>
              <w:jc w:val="left"/>
              <w:rPr/>
            </w:pPr>
            <w:r>
              <w:rPr/>
              <w:t> </w:t>
            </w:r>
          </w:p>
        </w:tc>
      </w:tr>
      <w:tr>
        <w:trPr/>
        <w:tc>
          <w:tcPr>
            <w:tcW w:w="7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before non-controlling interest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928"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928"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ind w:left="0" w:right="0" w:firstLine="200"/>
              <w:jc w:val="right"/>
              <w:rPr/>
            </w:pPr>
            <w:r>
              <w:rPr/>
              <w:t> </w:t>
            </w:r>
          </w:p>
        </w:tc>
      </w:tr>
      <w:tr>
        <w:trPr/>
        <w:tc>
          <w:tcPr>
            <w:tcW w:w="72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721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72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721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estimated acquisition earn-out payables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721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loss/(gain) on sales/disposals of investments, fixed assets and customer accounts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on acquisition earn-outs in excess of original estimated payables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r>
        <w:trPr/>
        <w:tc>
          <w:tcPr>
            <w:tcW w:w="7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 net of effect from acquisitions and divestitures:</w:t>
            </w:r>
          </w:p>
        </w:tc>
        <w:tc>
          <w:tcPr>
            <w:tcW w:w="146" w:type="dxa"/>
            <w:tcBorders/>
            <w:shd w:fill="CFF0FC" w:val="clear"/>
            <w:vAlign w:val="center"/>
          </w:tcPr>
          <w:p>
            <w:pPr>
              <w:pStyle w:val="TableContents"/>
              <w:bidi w:val="0"/>
              <w:spacing w:before="0" w:after="283"/>
              <w:jc w:val="left"/>
              <w:rPr/>
            </w:pPr>
            <w:r>
              <w:rPr/>
              <w:t> </w:t>
            </w:r>
          </w:p>
        </w:tc>
        <w:tc>
          <w:tcPr>
            <w:tcW w:w="928"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928"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ind w:left="0" w:right="0" w:firstLine="200"/>
              <w:jc w:val="right"/>
              <w:rPr/>
            </w:pPr>
            <w:r>
              <w:rPr/>
              <w:t> </w:t>
            </w:r>
          </w:p>
        </w:tc>
      </w:tr>
      <w:tr>
        <w:trPr/>
        <w:tc>
          <w:tcPr>
            <w:tcW w:w="72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Commissions, fees and other receivables (increase) decrease</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6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Reinsurance recoverable (increase) decrease</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614" w:type="dxa"/>
            <w:tcBorders/>
            <w:shd w:fill="CFF0FC" w:val="clear"/>
            <w:vAlign w:val="center"/>
          </w:tcPr>
          <w:p>
            <w:pPr>
              <w:pStyle w:val="TableContents"/>
              <w:bidi w:val="0"/>
              <w:spacing w:before="0" w:after="283"/>
              <w:ind w:left="0" w:right="0" w:firstLine="200"/>
              <w:jc w:val="left"/>
              <w:rPr/>
            </w:pPr>
            <w:r>
              <w:rPr/>
              <w:t> </w:t>
            </w:r>
          </w:p>
        </w:tc>
      </w:tr>
      <w:tr>
        <w:trPr/>
        <w:tc>
          <w:tcPr>
            <w:tcW w:w="72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reinsurance premiums (increase) decrease</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721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 (increase) decrease</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color w:val="000000"/>
              </w:rPr>
            </w:pPr>
            <w:r>
              <w:rPr>
                <w:color w:val="000000"/>
              </w:rPr>
              <w:t>—</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Losses and loss adjustment reserve increase (decrease)</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61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Unearned premiums increase (decrease)</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increase (decrease)</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614" w:type="dxa"/>
            <w:tcBorders/>
            <w:shd w:fill="FFFFFF" w:val="clear"/>
            <w:vAlign w:val="center"/>
          </w:tcPr>
          <w:p>
            <w:pPr>
              <w:pStyle w:val="TableContents"/>
              <w:bidi w:val="0"/>
              <w:spacing w:before="0" w:after="283"/>
              <w:ind w:left="0" w:right="0" w:firstLine="200"/>
              <w:jc w:val="left"/>
              <w:rPr/>
            </w:pPr>
            <w:r>
              <w:rPr/>
              <w:t> </w:t>
            </w:r>
          </w:p>
        </w:tc>
      </w:tr>
      <w:tr>
        <w:trPr/>
        <w:tc>
          <w:tcPr>
            <w:tcW w:w="721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liabilities increase (decrease)</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614"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 increase (decrease)</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28"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928"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jc w:val="right"/>
              <w:rPr/>
            </w:pPr>
            <w:r>
              <w:rPr/>
              <w:t> </w:t>
            </w:r>
          </w:p>
        </w:tc>
      </w:tr>
      <w:tr>
        <w:trPr/>
        <w:tc>
          <w:tcPr>
            <w:tcW w:w="7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fixed assets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businesses acquired, net of cash acquired</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of fixed assets and customer accounts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color w:val="000000"/>
              </w:rPr>
            </w:pPr>
            <w:r>
              <w:rPr>
                <w:color w:val="000000"/>
              </w:rPr>
              <w:t>—</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4" w:type="dxa"/>
            <w:tcBorders/>
            <w:shd w:fill="CFF0FC" w:val="clear"/>
            <w:vAlign w:val="center"/>
          </w:tcPr>
          <w:p>
            <w:pPr>
              <w:pStyle w:val="TableContents"/>
              <w:bidi w:val="0"/>
              <w:spacing w:before="0" w:after="283"/>
              <w:jc w:val="left"/>
              <w:rPr/>
            </w:pPr>
            <w:r>
              <w:rPr/>
              <w:t> </w:t>
            </w:r>
          </w:p>
        </w:tc>
      </w:tr>
      <w:tr>
        <w:trPr/>
        <w:tc>
          <w:tcPr>
            <w:tcW w:w="7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color w:val="000000"/>
              </w:rPr>
            </w:pPr>
            <w:r>
              <w:rPr>
                <w:color w:val="000000"/>
              </w:rPr>
              <w:t>—</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of investments</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9"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28"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928" w:type="dxa"/>
            <w:gridSpan w:val="2"/>
            <w:tcBorders/>
            <w:shd w:fill="CFF0FC" w:val="clear"/>
            <w:vAlign w:val="center"/>
          </w:tcPr>
          <w:p>
            <w:pPr>
              <w:pStyle w:val="TableContents"/>
              <w:bidi w:val="0"/>
              <w:spacing w:before="0" w:after="283"/>
              <w:jc w:val="right"/>
              <w:rPr/>
            </w:pPr>
            <w:r>
              <w:rPr/>
              <w:t> </w:t>
            </w:r>
          </w:p>
        </w:tc>
        <w:tc>
          <w:tcPr>
            <w:tcW w:w="614" w:type="dxa"/>
            <w:tcBorders/>
            <w:shd w:fill="CFF0FC" w:val="clear"/>
            <w:vAlign w:val="center"/>
          </w:tcPr>
          <w:p>
            <w:pPr>
              <w:pStyle w:val="TableContents"/>
              <w:bidi w:val="0"/>
              <w:spacing w:before="0" w:after="283"/>
              <w:jc w:val="right"/>
              <w:rPr/>
            </w:pPr>
            <w:r>
              <w:rPr/>
              <w:t> </w:t>
            </w:r>
          </w:p>
        </w:tc>
      </w:tr>
      <w:tr>
        <w:trPr/>
        <w:tc>
          <w:tcPr>
            <w:tcW w:w="7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Fiduciary receivables and liabilities, net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acquisition earn-outs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long-term debt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on revolving credit facility</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color w:val="000000"/>
              </w:rPr>
            </w:pPr>
            <w:r>
              <w:rPr>
                <w:color w:val="000000"/>
              </w:rPr>
              <w:t>—</w:t>
            </w:r>
          </w:p>
        </w:tc>
        <w:tc>
          <w:tcPr>
            <w:tcW w:w="614" w:type="dxa"/>
            <w:tcBorders/>
            <w:shd w:fill="CFF0FC" w:val="clear"/>
            <w:vAlign w:val="center"/>
          </w:tcPr>
          <w:p>
            <w:pPr>
              <w:pStyle w:val="TableContents"/>
              <w:bidi w:val="0"/>
              <w:spacing w:before="0" w:after="283"/>
              <w:jc w:val="left"/>
              <w:rPr/>
            </w:pPr>
            <w:r>
              <w:rPr/>
              <w:t> </w:t>
            </w:r>
          </w:p>
        </w:tc>
      </w:tr>
      <w:tr>
        <w:trPr/>
        <w:tc>
          <w:tcPr>
            <w:tcW w:w="7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revolving credit facilities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color w:val="000000"/>
              </w:rPr>
            </w:pPr>
            <w:r>
              <w:rPr>
                <w:color w:val="000000"/>
              </w:rPr>
              <w:t>—</w:t>
            </w:r>
          </w:p>
        </w:tc>
        <w:tc>
          <w:tcPr>
            <w:tcW w:w="614" w:type="dxa"/>
            <w:tcBorders/>
            <w:shd w:fill="FFFFFF" w:val="clear"/>
            <w:vAlign w:val="center"/>
          </w:tcPr>
          <w:p>
            <w:pPr>
              <w:pStyle w:val="TableContents"/>
              <w:bidi w:val="0"/>
              <w:spacing w:before="0" w:after="283"/>
              <w:jc w:val="left"/>
              <w:rPr/>
            </w:pPr>
            <w:r>
              <w:rPr/>
              <w:t> </w:t>
            </w:r>
          </w:p>
        </w:tc>
      </w:tr>
      <w:tr>
        <w:trPr/>
        <w:tc>
          <w:tcPr>
            <w:tcW w:w="7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shares to fund tax withholdings for non-cash stock-based compensation</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6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dividends paid</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 acquired (disposed), net</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9"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 and cash equivalents inclusive of fiduciary cash</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9"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Net decrease in cash and cash equivalents inclusive of fiduciary cash</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6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inclusive of fiduciary cash at beginning of period</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19"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Cash and cash equivalents inclusive of fiduciary cash at end of period</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 Refer to Note 10 for the reconciliations of cash and cash equivalents inclusive of fiduciary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Nature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Brown &amp; Brown, Inc., a Florida corporation, and its subsidiaries (collectively, “Brown &amp; Brown” or the “Company”) is a diversified insurance agency, wholesale brokerage, insurance programs and service organization that markets and sells insurance products and services, primarily in the property, casualty and employee benefits areas. Brown &amp; Brown’s business is divided into three reportable segments. The Retail segment provides a broad range of insurance products and services to commercial, public and quasi-public entities, professional and individual insured customers, and non-insurance risk-mitigating products through our automobile and recreational vehicle dealer services (“F&amp;I”) businesses. The Programs segment, which acts as a managing general underwriter (“MGU”), provides professional liability and related package products for certain professionals, a range of insurance products for individuals, flood coverage, and targeted products and services designated for specific industries, trade groups, governmental entities and market niches, all of which are delivered through a nationwide network of independent agents, including Brown &amp; Brown retail agents. The Wholesale Brokerage segment markets and sells excess and surplus commercial and personal lines insurance, primarily through independent agents and brokers, as well as Brown &amp; Brown retail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primarily operates as an agent or broker not assuming underwriting risks. However, we operate a write-your-own flood insurance carrier, Wright National Flood Insurance Company (“WNFIC”). WNFIC’s underwriting business consists of policies written pursuant to the National Flood Insurance Program (“NFIP”), the program administered by the Federal Emergency Management Agency (“FEMA”). In addition, WNFIC writes excess flood policies that are fully reinsured by a private carrier. The Company also operates two capitalized captive insurance facilities (the "Captives") for the purpose of facilitating additional underwriting capacity, generating incremental revenues and participating in underwriting results.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Basis of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of America (“U.S. GAAP”) for interim financial information and with the instructions for Form 10-Q and Article 10 of Regulation S-X. Accordingly, they do not include all of the information and footnotes required by U.S. GAAP for complete financial statements. In the opinion of management, all adjustments (consisting of recurring accruals) necessary for a fair presentation have been included. These unaudited Condensed Consolidated Financial Statements should be read in conjunction with the audited Consolidated Financial Statements and the Notes thereto set forth in the Company’s Annual Report on Form 10-K for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these financial statements in conformity with U.S. GAAP requires management to make estimates and assumptions that affect the reported amounts of assets and liabilities, as well as disclosures of contingent assets and liabilities, at the date of the Condensed Consolidated Financial Statements, and the reported amounts of revenues and expenses during the reporting period. Actual results may differ from those estimates.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Business Realignment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divestiture of certain businesses within the Company’s Services segment in the fourth quarter of 2023, the Company aligned its business from four to three segments beginning in fiscal year 2024. As a result of the segment reorganization, the Services segment was eliminated as a business segment. The Company reports its financial results in the following three reportable segments: Retail, Programs and Wholesale Brokerage. The historical results, discussion and presentation of our business segments as set forth in the accompanying Condensed Consolidated Financial Statements and these Notes reflect the impact of these changes for all periods presented in order to present segment information on a comparable basis. There is no impact on our previously reported consolidated statements of income, balance sheets, statements of cash flows, statements of comprehensive income or statements of shareholders’ equity resulting from these changes. See Note 12 of these Notes to Condensed Consolidated Financial Statements for further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27, 2023, the Financial Accounting Standards Board ("FASB") issued Accounting Standards Update ("ASU") 2023-07, "Improvements to Reportable Segment Disclosures." This ASU requires additional reportable segment disclosures, primarily through enhanced disclosures about significant segment expenses. In addition, the ASU enhances interim disclosure requirements effectively making the current annual requirements a requirement for interim reporting. This ASU is effective for fiscal years beginning after December 15, 2023, and interim periods within fiscal years beginning after December 15, 2024. Early adoption is permitted. The Company is currently evaluating these new disclosure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14, 2023, the FASB issued ASU 2023-09, "Improvements to Income Tax Disclosures." This ASU improves the transparency of income tax disclosures by requiring consistent categories and greater disaggregation of information in the rate reconciliation and income taxes paid disaggregated by jurisdiction. This ASU is effective for annual periods beginning after December 15, 2024. Early adoption is permitted. The Company is currently evaluating these new disclosure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on income from operations for the three months ended March 31, 2024, was 19.5%. The first quarter tax rate is generally lower than the full year rate due to the timing of vestings on equity-based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revenues disaggregated by revenue source:</w:t>
      </w:r>
    </w:p>
    <w:tbl>
      <w:tblPr>
        <w:tblW w:w="8987" w:type="dxa"/>
        <w:jc w:val="left"/>
        <w:tblInd w:w="0" w:type="dxa"/>
        <w:tblLayout w:type="fixed"/>
        <w:tblCellMar>
          <w:top w:w="28" w:type="dxa"/>
          <w:left w:w="28" w:type="dxa"/>
          <w:bottom w:w="28" w:type="dxa"/>
          <w:right w:w="28" w:type="dxa"/>
        </w:tblCellMar>
      </w:tblPr>
      <w:tblGrid>
        <w:gridCol w:w="3466"/>
        <w:gridCol w:w="146"/>
        <w:gridCol w:w="211"/>
        <w:gridCol w:w="421"/>
        <w:gridCol w:w="146"/>
        <w:gridCol w:w="146"/>
        <w:gridCol w:w="275"/>
        <w:gridCol w:w="551"/>
        <w:gridCol w:w="146"/>
        <w:gridCol w:w="146"/>
        <w:gridCol w:w="290"/>
        <w:gridCol w:w="581"/>
        <w:gridCol w:w="146"/>
        <w:gridCol w:w="146"/>
        <w:gridCol w:w="267"/>
        <w:gridCol w:w="438"/>
        <w:gridCol w:w="146"/>
        <w:gridCol w:w="146"/>
        <w:gridCol w:w="211"/>
        <w:gridCol w:w="57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commissions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Fees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supplemental commissions </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Profit-sharing contingent commissions </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Earned premium </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income </w:t>
            </w:r>
            <w:r>
              <w:rPr>
                <w:rFonts w:ascii="Times New Roman" w:hAnsi="Times New Roman"/>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(7)</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07" w:type="dxa"/>
        <w:jc w:val="left"/>
        <w:tblInd w:w="0" w:type="dxa"/>
        <w:tblLayout w:type="fixed"/>
        <w:tblCellMar>
          <w:top w:w="28" w:type="dxa"/>
          <w:left w:w="28" w:type="dxa"/>
          <w:bottom w:w="28" w:type="dxa"/>
          <w:right w:w="28" w:type="dxa"/>
        </w:tblCellMar>
      </w:tblPr>
      <w:tblGrid>
        <w:gridCol w:w="3466"/>
        <w:gridCol w:w="146"/>
        <w:gridCol w:w="211"/>
        <w:gridCol w:w="421"/>
        <w:gridCol w:w="146"/>
        <w:gridCol w:w="146"/>
        <w:gridCol w:w="275"/>
        <w:gridCol w:w="551"/>
        <w:gridCol w:w="146"/>
        <w:gridCol w:w="146"/>
        <w:gridCol w:w="290"/>
        <w:gridCol w:w="581"/>
        <w:gridCol w:w="146"/>
        <w:gridCol w:w="146"/>
        <w:gridCol w:w="267"/>
        <w:gridCol w:w="438"/>
        <w:gridCol w:w="166"/>
        <w:gridCol w:w="146"/>
        <w:gridCol w:w="211"/>
        <w:gridCol w:w="57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00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Other </w:t>
            </w:r>
            <w:r>
              <w:rPr>
                <w:rFonts w:ascii="Times New Roman" w:hAnsi="Times New Roman"/>
                <w:b/>
                <w:color w:val="000000"/>
                <w:sz w:val="11"/>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commissions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Fees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supplemental commissions </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Profit-sharing contingent commissions </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Earned premium </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Investment income </w:t>
            </w:r>
            <w:r>
              <w:rPr>
                <w:rFonts w:ascii="Times New Roman" w:hAnsi="Times New Roman"/>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vAlign w:val="center"/>
          </w:tcPr>
          <w:p>
            <w:pPr>
              <w:pStyle w:val="TableContents"/>
              <w:bidi w:val="0"/>
              <w:spacing w:before="0" w:after="283"/>
              <w:jc w:val="left"/>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(7)</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 commissions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or sales and payroll levels) to determine what premium to charge the insured. Insurance companies establish these premium rates based upon many factors, including loss experience, risk profile and reinsurance rates paid by such insurance companies, none of which we control.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Fee revenues relate to fees for services other than securing coverage for our customers, fees negotiated in lieu of commissions, and F&amp;I products and services.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supplemental commissions include additional commissions over base commissions received from insurance carriers based on predetermined growth or production measures. This includes incentive commissions and guaranteed supplemental commissions.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Profit-sharing contingent commissions are based primarily on underwriting results, but may also reflect considerations for volume, growth and/or retention.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Earned premium relates to the premiums earned in the Captives.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income consists primarily of interest on cash and investments.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income consists primarily of other miscellaneous income.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Fees within Other primarily reflects the elimination of intercompany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presents the revenues disaggregated by geographic area where our services are being performed:</w:t>
      </w:r>
    </w:p>
    <w:tbl>
      <w:tblPr>
        <w:tblW w:w="5255" w:type="dxa"/>
        <w:jc w:val="left"/>
        <w:tblInd w:w="0" w:type="dxa"/>
        <w:tblLayout w:type="fixed"/>
        <w:tblCellMar>
          <w:top w:w="28" w:type="dxa"/>
          <w:left w:w="28" w:type="dxa"/>
          <w:bottom w:w="28" w:type="dxa"/>
          <w:right w:w="28" w:type="dxa"/>
        </w:tblCellMar>
      </w:tblPr>
      <w:tblGrid>
        <w:gridCol w:w="2566"/>
        <w:gridCol w:w="146"/>
        <w:gridCol w:w="267"/>
        <w:gridCol w:w="724"/>
        <w:gridCol w:w="185"/>
        <w:gridCol w:w="185"/>
        <w:gridCol w:w="267"/>
        <w:gridCol w:w="724"/>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9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FFFFFF" w:val="cle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7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balances of contract assets and contract liabilities arising from contracts with customers as of March 31, 2024 and December 31, 2023 were as follows:</w:t>
      </w:r>
    </w:p>
    <w:p>
      <w:pPr>
        <w:pStyle w:val="TextBody"/>
        <w:bidi w:val="0"/>
        <w:jc w:val="left"/>
        <w:rPr/>
      </w:pPr>
      <w:r>
        <w:rPr/>
        <w:t> </w:t>
      </w:r>
    </w:p>
    <w:tbl>
      <w:tblPr>
        <w:tblW w:w="5040" w:type="dxa"/>
        <w:jc w:val="left"/>
        <w:tblInd w:w="0" w:type="dxa"/>
        <w:tblLayout w:type="fixed"/>
        <w:tblCellMar>
          <w:top w:w="28" w:type="dxa"/>
          <w:left w:w="28" w:type="dxa"/>
          <w:bottom w:w="28" w:type="dxa"/>
          <w:right w:w="28" w:type="dxa"/>
        </w:tblCellMar>
      </w:tblPr>
      <w:tblGrid>
        <w:gridCol w:w="1651"/>
        <w:gridCol w:w="146"/>
        <w:gridCol w:w="420"/>
        <w:gridCol w:w="840"/>
        <w:gridCol w:w="146"/>
        <w:gridCol w:w="146"/>
        <w:gridCol w:w="499"/>
        <w:gridCol w:w="1001"/>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91" w:type="dxa"/>
            <w:tcBorders/>
            <w:shd w:fill="CFF0FC"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Unbilled receivables (contract assets) arise when the Company recognizes revenue for amounts which have not yet been billed in the Company's systems and are reflected in commissions, fees and other receivables in the Company's Condensed Consolidated Balance Sheet. The increase in contract assets over the balance as of December 31, 2023 is due to normal seasonality and growth in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(contract liabilities) relates to payments received in advance of performance under the contract before the transfer of a good or service to the customer. Deferred revenue is reflected within accrued expenses and other liabilities for those to be recognized in less than twelve months and in other liabilities for those to be recognized more than twelve months from the date presented in the Company's Condensed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deferred revenue consisted of $69 million as the current portion to be recognized within one year and $38 million in long-term to be recognized beyond one year. As of December 31, 2023, deferred revenue consisted of $78 million as the current portion to be recognized within one year and $35 million in long-term deferred revenue to be recognized beyond one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and 2023, the net amount of revenue recognized related to performance obligations satisfied in a previous period was $16 million and $12 million, consisting of additional variable consideration received on our incentive and profit-sharing contingent commissions.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Assets and Deferred Cost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Incremental cost to obtain customer contracts - The Company defers certain costs to obtain customer contracts primarily as they relate to commission-based compensation plans in the Retail segment, in which the Company pays an incremental amount of compensation on new business. These incremental costs are deferred and amortized over a 15-year period, consistent with the period for acquired customer intangibles. The cost to obtain customer contracts balance within the other assets caption in the Company's Condensed Consolidated Balance Sheet was $102 million and $96 million as of March 31, 2024 and December 31, 2023, respectively. For the three months ended March 31, 2024, the Company deferred $8 million of incremental cost to obtain customer contracts. The Company recorded an expense of $2 million associated with the incremental cost to obtain customer contracts for the three months ended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to fulfill customer contracts - The Company defers certain costs to fulfill contracts and recognizes these costs as the associated performance obligations are fulfilled. The cost to fulfill balance within the other current assets caption in the Company's Condensed Consolidated Balance Sheet as of March 31, 2024 was $107 million. The cost to fulfill customer contracts balance as of December 31, 2023 was $123 million. For the three months ended March 31, 2024, the Company had net expense of $17 million related to the release of previously deferred contract fulfillment costs associated with performance obligations that were satisfied in the period, net of current year deferrals for costs incurred that related to performance obligations yet to be fulfilled.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Net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per share is computed based on the weighted average number of common shares (including participating securities) issued and outstanding during the period. Diluted net income per share is computed based on the weighted average number of common shares issued and outstanding plus equivalent shares, assuming the issuance of all potentially issuable common shares. The dilutive effect of potentially issuable common shares is computed by application of the treasury stock method. The following is a reconciliation between basic and diluted weighted average shares outstanding:</w:t>
      </w:r>
    </w:p>
    <w:p>
      <w:pPr>
        <w:pStyle w:val="TextBody"/>
        <w:bidi w:val="0"/>
        <w:jc w:val="left"/>
        <w:rPr/>
      </w:pPr>
      <w:r>
        <w:rPr/>
        <w:t> </w:t>
      </w:r>
    </w:p>
    <w:tbl>
      <w:tblPr>
        <w:tblW w:w="8617" w:type="dxa"/>
        <w:jc w:val="left"/>
        <w:tblInd w:w="0" w:type="dxa"/>
        <w:tblLayout w:type="fixed"/>
        <w:tblCellMar>
          <w:top w:w="28" w:type="dxa"/>
          <w:left w:w="28" w:type="dxa"/>
          <w:bottom w:w="28" w:type="dxa"/>
          <w:right w:w="28" w:type="dxa"/>
        </w:tblCellMar>
      </w:tblPr>
      <w:tblGrid>
        <w:gridCol w:w="5706"/>
        <w:gridCol w:w="146"/>
        <w:gridCol w:w="298"/>
        <w:gridCol w:w="659"/>
        <w:gridCol w:w="234"/>
        <w:gridCol w:w="206"/>
        <w:gridCol w:w="298"/>
        <w:gridCol w:w="659"/>
        <w:gridCol w:w="411"/>
      </w:tblGrid>
      <w:tr>
        <w:trPr/>
        <w:tc>
          <w:tcPr>
            <w:tcW w:w="5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shd w:fill="FFFFFF" w:val="cle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the Company</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34"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7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attributable to unvested awarded performance stock</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shares</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 – basic</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34"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7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unvested awarded performance stock included in weighted</w:t>
              <w:br/>
              <w:t>   average number of common shares outstanding – basic</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number of common shares outstanding for basic</w:t>
              <w:br/>
              <w:t>   net income per common share</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34"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7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Dilutive effect of potentially issuable common shares</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vAlign w:val="center"/>
          </w:tcPr>
          <w:p>
            <w:pPr>
              <w:pStyle w:val="TableContents"/>
              <w:bidi w:val="0"/>
              <w:spacing w:before="0" w:after="283"/>
              <w:jc w:val="left"/>
              <w:rPr/>
            </w:pPr>
            <w:r>
              <w:rPr/>
              <w:t> </w:t>
            </w:r>
          </w:p>
        </w:tc>
        <w:tc>
          <w:tcPr>
            <w:tcW w:w="957" w:type="dxa"/>
            <w:gridSpan w:val="2"/>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95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7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Brown &amp; Brown acquired all of the stock of two insurance intermediaries, purchased assets and assumed certain liabilities of three insurance intermediaries, and purchased one book of business (customer accounts) for a total of six acquisitions. Additionally, adjustments were recorded to the purchase price allocation of certain prior acquisitions completed within the last twelve months as permitted by Accounting Standards Codification Topic 805 — Business Combinations (“ASC 805”).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recorded purchase price for all acquisitions includes an estimation of the fair value of liabilities associated with any potential earn-out provisions. Subsequent changes in the fair value of earn-out obligations will be recorded in the Condensed Consolidated Statements of Income when incurred. The fair value of earn-out obligations is based on the present value of the expected future payments to be made to the sellers of the acquired businesses in accordance with the provisions outlined in the respective purchase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consideration for acquisition activity during the three months ended March 31, 2024, was $87 million and included gross cash paid of $76 million, initial fair value of earnout-out liabilities of $9 million and other payables of $2 million. The Company recorded $66 million of goodwill and $21 million of other identifiable intangible assets in connection with the acquisitions and measurement period adjustments during the three months ended March 31, 2024. The weighted average useful lives for the acquired amortizable intangible assets are 15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acquisition date and the complexity of the underlying valuation work, certain amounts included in the Company’s Consolidated Financial Statements are provisional and thus subject to further adjustments within the permitted measurement periods, as defined in ASC 805, including balances related to the acquisition of Kentro Capital Limited as of the October 1, 2023 acquisition date, primarily for intangible assets, goodwill, customer contract related balances and tax related balances.</w:t>
      </w:r>
    </w:p>
    <w:p>
      <w:pPr>
        <w:pStyle w:val="TextBody"/>
        <w:bidi w:val="0"/>
        <w:spacing w:before="120" w:after="283"/>
        <w:jc w:val="left"/>
        <w:rPr>
          <w:rFonts w:ascii="Times New Roman" w:hAnsi="Times New Roman"/>
          <w:sz w:val="20"/>
        </w:rPr>
      </w:pPr>
      <w:r>
        <w:rPr>
          <w:rFonts w:ascii="Times New Roman" w:hAnsi="Times New Roman"/>
          <w:color w:val="000000"/>
          <w:sz w:val="20"/>
        </w:rPr>
        <w:t>Certain disclosures have not been presented as the effect of the acquisitions were not material to the Company's financial results</w:t>
      </w:r>
      <w:r>
        <w:rPr>
          <w:rFonts w:ascii="Calibri;sans-serif" w:hAnsi="Calibri;sans-serif"/>
          <w:color w:val="000000"/>
          <w:sz w:val="22"/>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Acquisition Earn-Out Payables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March 31, 2024 and 2023, the fair values of the estimated acquisition earn-out payables were re-evaluated and measured at fair value on a recurring basis using unobservable inputs (Level 3) as defined in ASC 820- </w:t>
      </w:r>
      <w:r>
        <w:rPr>
          <w:rFonts w:ascii="Times New Roman" w:hAnsi="Times New Roman"/>
          <w:i/>
          <w:color w:val="000000"/>
          <w:sz w:val="20"/>
        </w:rPr>
        <w:t>Fair Value Measurement</w:t>
      </w:r>
      <w:r>
        <w:rPr>
          <w:rFonts w:ascii="Times New Roman" w:hAnsi="Times New Roman"/>
          <w:color w:val="000000"/>
          <w:sz w:val="20"/>
        </w:rPr>
        <w:t>. The resulting additions, payments, and net changes, as well as the interest expense accretion on the estimated acquisition earn-out payables, for the three months ended March 31, 2024 and 2023, were as follows:</w:t>
      </w:r>
    </w:p>
    <w:p>
      <w:pPr>
        <w:pStyle w:val="TextBody"/>
        <w:bidi w:val="0"/>
        <w:jc w:val="left"/>
        <w:rPr/>
      </w:pPr>
      <w:r>
        <w:rPr/>
        <w:t> </w:t>
      </w:r>
    </w:p>
    <w:tbl>
      <w:tblPr>
        <w:tblW w:w="8842" w:type="dxa"/>
        <w:jc w:val="left"/>
        <w:tblInd w:w="0" w:type="dxa"/>
        <w:tblLayout w:type="fixed"/>
        <w:tblCellMar>
          <w:top w:w="28" w:type="dxa"/>
          <w:left w:w="28" w:type="dxa"/>
          <w:bottom w:w="28" w:type="dxa"/>
          <w:right w:w="28" w:type="dxa"/>
        </w:tblCellMar>
      </w:tblPr>
      <w:tblGrid>
        <w:gridCol w:w="5731"/>
        <w:gridCol w:w="146"/>
        <w:gridCol w:w="315"/>
        <w:gridCol w:w="629"/>
        <w:gridCol w:w="248"/>
        <w:gridCol w:w="218"/>
        <w:gridCol w:w="315"/>
        <w:gridCol w:w="629"/>
        <w:gridCol w:w="611"/>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the beginning of the period</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48"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Additions to estimated acquisition earn-out payables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48"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Payments for estimated acquisition earn-out payables</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7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48"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611" w:type="dxa"/>
            <w:tcBorders/>
            <w:shd w:fill="FFFFFF" w:val="clear"/>
            <w:vAlign w:val="center"/>
          </w:tcPr>
          <w:p>
            <w:pPr>
              <w:pStyle w:val="TableContents"/>
              <w:bidi w:val="0"/>
              <w:spacing w:before="0" w:after="283"/>
              <w:jc w:val="left"/>
              <w:rPr/>
            </w:pPr>
            <w:r>
              <w:rPr/>
              <w:t> </w:t>
            </w:r>
          </w:p>
        </w:tc>
      </w:tr>
      <w:tr>
        <w:trPr/>
        <w:tc>
          <w:tcPr>
            <w:tcW w:w="5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earnings from estimated acquisition earn-out payables:</w:t>
            </w:r>
          </w:p>
        </w:tc>
        <w:tc>
          <w:tcPr>
            <w:tcW w:w="146" w:type="dxa"/>
            <w:tcBorders/>
            <w:shd w:fill="CFF0FC" w:val="clear"/>
            <w:vAlign w:val="center"/>
          </w:tcPr>
          <w:p>
            <w:pPr>
              <w:pStyle w:val="TableContents"/>
              <w:bidi w:val="0"/>
              <w:spacing w:before="0" w:after="283"/>
              <w:jc w:val="left"/>
              <w:rPr/>
            </w:pPr>
            <w:r>
              <w:rPr/>
              <w:t> </w:t>
            </w:r>
          </w:p>
        </w:tc>
        <w:tc>
          <w:tcPr>
            <w:tcW w:w="944" w:type="dxa"/>
            <w:gridSpan w:val="2"/>
            <w:tcBorders/>
            <w:shd w:fill="CFF0FC" w:val="clear"/>
            <w:vAlign w:val="center"/>
          </w:tcPr>
          <w:p>
            <w:pPr>
              <w:pStyle w:val="TableContents"/>
              <w:bidi w:val="0"/>
              <w:spacing w:before="0" w:after="283"/>
              <w:jc w:val="right"/>
              <w:rPr/>
            </w:pPr>
            <w:r>
              <w:rPr/>
              <w:t> </w:t>
            </w:r>
          </w:p>
        </w:tc>
        <w:tc>
          <w:tcPr>
            <w:tcW w:w="248"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944"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5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on estimated acquisition earn-out payables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expense accretion</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change in earnings from estimated acquisition</w:t>
              <w:br/>
              <w:t>   earn-out payables</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during the year</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the $203 million of estimated acquisition earn-out payables as of March 31, 2024, $118 million was recorded as current liabilities within the accounts payable caption in the Company's Consolidated Balance sheets and $85 million was recorded as non-current liabilities within the other liabilities caption in the Company's Consolidated Balance Sheets. Included within additions to estimated acquisition earn-out payables are any adjustments to opening balance sheet items within the allowable measurement period, which may therefore differ from previously reported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the maximum future acquisition contingency payments related to all acquisitions was $566 million. Six of the estimated acquisition earn-out payables included provisions with no maximum potential earn-out amount. The amount recorded for these acquisitions as of March 31, 2024 is $5 million. The Company deems a significant increase to this amount to be unlikely.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changes in the carrying value of goodwill by reportable segment for the three months ended March 31, 2024 are as follows:</w:t>
      </w:r>
    </w:p>
    <w:p>
      <w:pPr>
        <w:pStyle w:val="TextBody"/>
        <w:bidi w:val="0"/>
        <w:jc w:val="left"/>
        <w:rPr/>
      </w:pPr>
      <w:r>
        <w:rPr/>
        <w:t> </w:t>
      </w:r>
    </w:p>
    <w:tbl>
      <w:tblPr>
        <w:tblW w:w="10024" w:type="dxa"/>
        <w:jc w:val="left"/>
        <w:tblInd w:w="0" w:type="dxa"/>
        <w:tblLayout w:type="fixed"/>
        <w:tblCellMar>
          <w:top w:w="28" w:type="dxa"/>
          <w:left w:w="28" w:type="dxa"/>
          <w:bottom w:w="28" w:type="dxa"/>
          <w:right w:w="28" w:type="dxa"/>
        </w:tblCellMar>
      </w:tblPr>
      <w:tblGrid>
        <w:gridCol w:w="4711"/>
        <w:gridCol w:w="146"/>
        <w:gridCol w:w="211"/>
        <w:gridCol w:w="571"/>
        <w:gridCol w:w="166"/>
        <w:gridCol w:w="146"/>
        <w:gridCol w:w="222"/>
        <w:gridCol w:w="604"/>
        <w:gridCol w:w="166"/>
        <w:gridCol w:w="146"/>
        <w:gridCol w:w="549"/>
        <w:gridCol w:w="1101"/>
        <w:gridCol w:w="146"/>
        <w:gridCol w:w="146"/>
        <w:gridCol w:w="211"/>
        <w:gridCol w:w="571"/>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Retail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w:t>
            </w:r>
          </w:p>
        </w:tc>
        <w:tc>
          <w:tcPr>
            <w:tcW w:w="21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of acquired businesses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49"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1" w:type="dxa"/>
            <w:tcBorders/>
            <w:shd w:fill="FFFFFF" w:val="clear"/>
            <w:vAlign w:val="center"/>
          </w:tcPr>
          <w:p>
            <w:pPr>
              <w:pStyle w:val="TableContents"/>
              <w:bidi w:val="0"/>
              <w:spacing w:before="0" w:after="283"/>
              <w:jc w:val="left"/>
              <w:rPr/>
            </w:pPr>
            <w:r>
              <w:rPr/>
              <w:t> </w:t>
            </w:r>
          </w:p>
        </w:tc>
      </w:tr>
      <w:tr>
        <w:trPr/>
        <w:tc>
          <w:tcPr>
            <w:tcW w:w="47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 adjustment during measurement period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49" w:type="dxa"/>
            <w:tcBorders/>
            <w:shd w:fill="CFF0FC" w:val="clear"/>
            <w:vAlign w:val="center"/>
          </w:tcPr>
          <w:p>
            <w:pPr>
              <w:pStyle w:val="TableContents"/>
              <w:bidi w:val="0"/>
              <w:spacing w:before="0" w:after="283"/>
              <w:jc w:val="left"/>
              <w:rPr/>
            </w:pPr>
            <w:r>
              <w:rPr/>
              <w:t> </w:t>
            </w:r>
          </w:p>
        </w:tc>
        <w:tc>
          <w:tcPr>
            <w:tcW w:w="11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CFF0FC"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during the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Provisional estimates of fair value are established at the time of each acquisition and are subsequently reviewed and finalized within the first year of operations subsequent to the acquisition date to determine the necessity for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December 31, 2023 Retail balance includes $127 million of goodwill reclassified from the former Services segment as a result of our segment realignment.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Amortizable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Amortizable intangible assets at March 31, 2024 and December 31, 2023 consisted of the following:</w:t>
      </w:r>
    </w:p>
    <w:p>
      <w:pPr>
        <w:pStyle w:val="TextBody"/>
        <w:bidi w:val="0"/>
        <w:jc w:val="left"/>
        <w:rPr/>
      </w:pPr>
      <w:r>
        <w:rPr/>
        <w:t> </w:t>
      </w:r>
    </w:p>
    <w:tbl>
      <w:tblPr>
        <w:tblW w:w="11019" w:type="dxa"/>
        <w:jc w:val="left"/>
        <w:tblInd w:w="0" w:type="dxa"/>
        <w:tblLayout w:type="fixed"/>
        <w:tblCellMar>
          <w:top w:w="28" w:type="dxa"/>
          <w:left w:w="28" w:type="dxa"/>
          <w:bottom w:w="28" w:type="dxa"/>
          <w:right w:w="28" w:type="dxa"/>
        </w:tblCellMar>
      </w:tblPr>
      <w:tblGrid>
        <w:gridCol w:w="1096"/>
        <w:gridCol w:w="146"/>
        <w:gridCol w:w="211"/>
        <w:gridCol w:w="571"/>
        <w:gridCol w:w="166"/>
        <w:gridCol w:w="146"/>
        <w:gridCol w:w="282"/>
        <w:gridCol w:w="844"/>
        <w:gridCol w:w="166"/>
        <w:gridCol w:w="146"/>
        <w:gridCol w:w="211"/>
        <w:gridCol w:w="571"/>
        <w:gridCol w:w="166"/>
        <w:gridCol w:w="146"/>
        <w:gridCol w:w="265"/>
        <w:gridCol w:w="576"/>
        <w:gridCol w:w="146"/>
        <w:gridCol w:w="146"/>
        <w:gridCol w:w="211"/>
        <w:gridCol w:w="571"/>
        <w:gridCol w:w="146"/>
        <w:gridCol w:w="146"/>
        <w:gridCol w:w="282"/>
        <w:gridCol w:w="844"/>
        <w:gridCol w:w="166"/>
        <w:gridCol w:w="146"/>
        <w:gridCol w:w="211"/>
        <w:gridCol w:w="571"/>
        <w:gridCol w:w="146"/>
        <w:gridCol w:w="146"/>
        <w:gridCol w:w="265"/>
        <w:gridCol w:w="576"/>
        <w:gridCol w:w="5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w:t>
              <w:br/>
              <w:t>average</w:t>
              <w:br/>
              <w:t>life</w:t>
              <w:br/>
              <w:t xml:space="preserve">(years)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w:t>
              <w:br/>
              <w:t>average</w:t>
              <w:br/>
              <w:t>life</w:t>
              <w:br/>
              <w:t xml:space="preserve">(years) </w:t>
            </w:r>
            <w:r>
              <w:rPr>
                <w:rFonts w:ascii="Times New Roman" w:hAnsi="Times New Roman"/>
                <w:b/>
                <w:color w:val="000000"/>
                <w:sz w:val="12"/>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customer accounts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91"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 during the year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10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Weighted average life calculated as of the date of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for amortizable intangible assets for the years ending December 31, 2024, 2025, 2026, 2027 and 2028 is estimated to be $171 million, $167 million, $161 million, $149 million, and $142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debt at March 31, 2024 and December 31, 2023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10"/>
        <w:gridCol w:w="146"/>
        <w:gridCol w:w="271"/>
        <w:gridCol w:w="733"/>
        <w:gridCol w:w="166"/>
        <w:gridCol w:w="146"/>
        <w:gridCol w:w="306"/>
        <w:gridCol w:w="834"/>
        <w:gridCol w:w="993"/>
      </w:tblGrid>
      <w:tr>
        <w:trPr/>
        <w:tc>
          <w:tcPr>
            <w:tcW w:w="6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610"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100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ind w:left="0" w:right="0" w:firstLine="200"/>
              <w:jc w:val="right"/>
              <w:rPr/>
            </w:pPr>
            <w:r>
              <w:rPr/>
              <w:t> </w:t>
            </w:r>
          </w:p>
        </w:tc>
      </w:tr>
      <w:tr>
        <w:trPr/>
        <w:tc>
          <w:tcPr>
            <w:tcW w:w="661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5-year term loan facility expires 2026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993" w:type="dxa"/>
            <w:tcBorders/>
            <w:shd w:fill="FFFFFF" w:val="clear"/>
            <w:vAlign w:val="center"/>
          </w:tcPr>
          <w:p>
            <w:pPr>
              <w:pStyle w:val="TableContents"/>
              <w:bidi w:val="0"/>
              <w:spacing w:before="0" w:after="283"/>
              <w:ind w:left="0" w:right="0" w:firstLine="200"/>
              <w:jc w:val="left"/>
              <w:rPr/>
            </w:pPr>
            <w:r>
              <w:rPr/>
              <w:t> </w:t>
            </w:r>
          </w:p>
        </w:tc>
      </w:tr>
      <w:tr>
        <w:trPr/>
        <w:tc>
          <w:tcPr>
            <w:tcW w:w="661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3-year term loan facility expires 2025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993" w:type="dxa"/>
            <w:tcBorders/>
            <w:shd w:fill="CFF0FC" w:val="clear"/>
            <w:vAlign w:val="center"/>
          </w:tcPr>
          <w:p>
            <w:pPr>
              <w:pStyle w:val="TableContents"/>
              <w:bidi w:val="0"/>
              <w:spacing w:before="0" w:after="283"/>
              <w:ind w:left="0" w:right="0" w:firstLine="200"/>
              <w:jc w:val="left"/>
              <w:rPr/>
            </w:pPr>
            <w:r>
              <w:rPr/>
              <w:t> </w:t>
            </w:r>
          </w:p>
        </w:tc>
      </w:tr>
      <w:tr>
        <w:trPr/>
        <w:tc>
          <w:tcPr>
            <w:tcW w:w="661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5-year term loan facility expires 2027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993" w:type="dxa"/>
            <w:tcBorders/>
            <w:shd w:fill="FFFFFF" w:val="clear"/>
            <w:vAlign w:val="center"/>
          </w:tcPr>
          <w:p>
            <w:pPr>
              <w:pStyle w:val="TableContents"/>
              <w:bidi w:val="0"/>
              <w:spacing w:before="0" w:after="283"/>
              <w:ind w:left="0" w:right="0" w:firstLine="200"/>
              <w:jc w:val="left"/>
              <w:rPr/>
            </w:pPr>
            <w:r>
              <w:rPr/>
              <w:t> </w:t>
            </w:r>
          </w:p>
        </w:tc>
      </w:tr>
      <w:tr>
        <w:trPr/>
        <w:tc>
          <w:tcPr>
            <w:tcW w:w="661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4.200% senior notes, semi-annual interest payments, balloon due 2024</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portion of long-term debt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100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jc w:val="right"/>
              <w:rPr/>
            </w:pPr>
            <w:r>
              <w:rPr/>
              <w:t> </w:t>
            </w:r>
          </w:p>
        </w:tc>
      </w:tr>
      <w:tr>
        <w:trPr/>
        <w:tc>
          <w:tcPr>
            <w:tcW w:w="66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agreements:</w:t>
            </w:r>
          </w:p>
        </w:tc>
        <w:tc>
          <w:tcPr>
            <w:tcW w:w="146" w:type="dxa"/>
            <w:tcBorders/>
            <w:shd w:fill="FFFFFF" w:val="clear"/>
            <w:vAlign w:val="center"/>
          </w:tcPr>
          <w:p>
            <w:pPr>
              <w:pStyle w:val="TableContents"/>
              <w:bidi w:val="0"/>
              <w:spacing w:before="0" w:after="283"/>
              <w:jc w:val="left"/>
              <w:rPr/>
            </w:pPr>
            <w:r>
              <w:rPr/>
              <w:t> </w:t>
            </w:r>
          </w:p>
        </w:tc>
        <w:tc>
          <w:tcPr>
            <w:tcW w:w="100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ind w:left="0" w:right="0" w:firstLine="200"/>
              <w:jc w:val="right"/>
              <w:rPr/>
            </w:pPr>
            <w:r>
              <w:rPr/>
              <w:t> </w:t>
            </w:r>
          </w:p>
        </w:tc>
      </w:tr>
      <w:tr>
        <w:trPr/>
        <w:tc>
          <w:tcPr>
            <w:tcW w:w="661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4.500% senior notes, semi-annual interest payments, net of the unamortized discount,</w:t>
              <w:br/>
              <w:t>   balloon due 2029</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993" w:type="dxa"/>
            <w:tcBorders/>
            <w:shd w:fill="CFF0FC" w:val="clear"/>
            <w:vAlign w:val="center"/>
          </w:tcPr>
          <w:p>
            <w:pPr>
              <w:pStyle w:val="TableContents"/>
              <w:bidi w:val="0"/>
              <w:spacing w:before="0" w:after="283"/>
              <w:ind w:left="0" w:right="0" w:firstLine="200"/>
              <w:jc w:val="left"/>
              <w:rPr/>
            </w:pPr>
            <w:r>
              <w:rPr/>
              <w:t> </w:t>
            </w:r>
          </w:p>
        </w:tc>
      </w:tr>
      <w:tr>
        <w:trPr/>
        <w:tc>
          <w:tcPr>
            <w:tcW w:w="661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2.375% senior notes, semi-annual interest payments, net of the unamortized discount,</w:t>
              <w:br/>
              <w:t>   balloon due 2031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993" w:type="dxa"/>
            <w:tcBorders/>
            <w:shd w:fill="FFFFFF" w:val="clear"/>
            <w:vAlign w:val="center"/>
          </w:tcPr>
          <w:p>
            <w:pPr>
              <w:pStyle w:val="TableContents"/>
              <w:bidi w:val="0"/>
              <w:spacing w:before="0" w:after="283"/>
              <w:ind w:left="0" w:right="0" w:firstLine="200"/>
              <w:jc w:val="left"/>
              <w:rPr/>
            </w:pPr>
            <w:r>
              <w:rPr/>
              <w:t> </w:t>
            </w:r>
          </w:p>
        </w:tc>
      </w:tr>
      <w:tr>
        <w:trPr/>
        <w:tc>
          <w:tcPr>
            <w:tcW w:w="661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4.200% senior notes, semi-annual interest payments, net of the unamortized discount,</w:t>
              <w:br/>
              <w:t>   balloon due 2032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993" w:type="dxa"/>
            <w:tcBorders/>
            <w:shd w:fill="CFF0FC" w:val="clear"/>
            <w:vAlign w:val="center"/>
          </w:tcPr>
          <w:p>
            <w:pPr>
              <w:pStyle w:val="TableContents"/>
              <w:bidi w:val="0"/>
              <w:spacing w:before="0" w:after="283"/>
              <w:ind w:left="0" w:right="0" w:firstLine="200"/>
              <w:jc w:val="left"/>
              <w:rPr/>
            </w:pPr>
            <w:r>
              <w:rPr/>
              <w:t> </w:t>
            </w:r>
          </w:p>
        </w:tc>
      </w:tr>
      <w:tr>
        <w:trPr/>
        <w:tc>
          <w:tcPr>
            <w:tcW w:w="661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4.950% senior notes, semi-annual interest payments, net of the unamortized discount,</w:t>
              <w:br/>
              <w:t>   balloon due 2052</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notes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agreements:</w:t>
            </w:r>
          </w:p>
        </w:tc>
        <w:tc>
          <w:tcPr>
            <w:tcW w:w="146" w:type="dxa"/>
            <w:tcBorders/>
            <w:shd w:fill="FFFFFF" w:val="clear"/>
            <w:vAlign w:val="center"/>
          </w:tcPr>
          <w:p>
            <w:pPr>
              <w:pStyle w:val="TableContents"/>
              <w:bidi w:val="0"/>
              <w:spacing w:before="0" w:after="283"/>
              <w:jc w:val="left"/>
              <w:rPr/>
            </w:pPr>
            <w:r>
              <w:rPr/>
              <w:t> </w:t>
            </w:r>
          </w:p>
        </w:tc>
        <w:tc>
          <w:tcPr>
            <w:tcW w:w="100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ind w:left="0" w:right="0" w:firstLine="200"/>
              <w:jc w:val="right"/>
              <w:rPr/>
            </w:pPr>
            <w:r>
              <w:rPr/>
              <w:t> </w:t>
            </w:r>
          </w:p>
        </w:tc>
      </w:tr>
      <w:tr>
        <w:trPr/>
        <w:tc>
          <w:tcPr>
            <w:tcW w:w="661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5-year term loan facility, periodic interest and principal payments, SOFR plus up to</w:t>
              <w:br/>
              <w:t>   1.750%, expires October 27, 2026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993" w:type="dxa"/>
            <w:tcBorders/>
            <w:shd w:fill="CFF0FC" w:val="clear"/>
            <w:vAlign w:val="center"/>
          </w:tcPr>
          <w:p>
            <w:pPr>
              <w:pStyle w:val="TableContents"/>
              <w:bidi w:val="0"/>
              <w:spacing w:before="0" w:after="283"/>
              <w:ind w:left="0" w:right="0" w:firstLine="200"/>
              <w:jc w:val="left"/>
              <w:rPr/>
            </w:pPr>
            <w:r>
              <w:rPr/>
              <w:t> </w:t>
            </w:r>
          </w:p>
        </w:tc>
      </w:tr>
      <w:tr>
        <w:trPr/>
        <w:tc>
          <w:tcPr>
            <w:tcW w:w="661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5-year revolving loan facility, periodic interest payments, SOFR plus up to 1.525%, plus commitment fees up to 0.225%, expires October 27, 2026</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993" w:type="dxa"/>
            <w:tcBorders/>
            <w:shd w:fill="FFFFFF" w:val="clear"/>
            <w:vAlign w:val="center"/>
          </w:tcPr>
          <w:p>
            <w:pPr>
              <w:pStyle w:val="TableContents"/>
              <w:bidi w:val="0"/>
              <w:spacing w:before="0" w:after="283"/>
              <w:ind w:left="0" w:right="0" w:firstLine="200"/>
              <w:jc w:val="left"/>
              <w:rPr/>
            </w:pPr>
            <w:r>
              <w:rPr/>
              <w:t> </w:t>
            </w:r>
          </w:p>
        </w:tc>
      </w:tr>
      <w:tr>
        <w:trPr/>
        <w:tc>
          <w:tcPr>
            <w:tcW w:w="661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3-year term loan facility, periodic interest payments, SOFR plus up to 1.625%, expires March 31, 2025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993" w:type="dxa"/>
            <w:tcBorders/>
            <w:shd w:fill="CFF0FC" w:val="clear"/>
            <w:vAlign w:val="center"/>
          </w:tcPr>
          <w:p>
            <w:pPr>
              <w:pStyle w:val="TableContents"/>
              <w:bidi w:val="0"/>
              <w:spacing w:before="0" w:after="283"/>
              <w:ind w:left="0" w:right="0" w:firstLine="200"/>
              <w:jc w:val="left"/>
              <w:rPr/>
            </w:pPr>
            <w:r>
              <w:rPr/>
              <w:t> </w:t>
            </w:r>
          </w:p>
        </w:tc>
      </w:tr>
      <w:tr>
        <w:trPr/>
        <w:tc>
          <w:tcPr>
            <w:tcW w:w="661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5-year term loan facility, periodic interest and principal payments, SOFR plus up to 1.750%, expires March 31, 2027</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1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credit agreements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10"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Debt issuance costs (contra)</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10"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long-term debt less unamortized discount and debt issuance costs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610"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10"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 xml:space="preserve">Note agreements: </w:t>
      </w:r>
      <w:r>
        <w:rPr>
          <w:rFonts w:ascii="Times New Roman" w:hAnsi="Times New Roman"/>
          <w:color w:val="000000"/>
          <w:sz w:val="20"/>
        </w:rPr>
        <w:t>The Company maintains senior notes aggregating to a total outstanding debt balance of $2,750 million exclusive of the associated discount balance as of March 31, 2024 and December 31, 2023.</w:t>
      </w:r>
    </w:p>
    <w:p>
      <w:pPr>
        <w:pStyle w:val="TextBody"/>
        <w:bidi w:val="0"/>
        <w:spacing w:before="120" w:after="283"/>
        <w:jc w:val="left"/>
        <w:rPr>
          <w:rFonts w:ascii="Times New Roman" w:hAnsi="Times New Roman"/>
          <w:sz w:val="20"/>
        </w:rPr>
      </w:pPr>
      <w:r>
        <w:rPr>
          <w:rFonts w:ascii="Times New Roman" w:hAnsi="Times New Roman"/>
          <w:b/>
          <w:color w:val="000000"/>
          <w:sz w:val="20"/>
        </w:rPr>
        <w:t>Credit agreements:</w:t>
      </w:r>
      <w:r>
        <w:rPr>
          <w:rFonts w:ascii="Times New Roman" w:hAnsi="Times New Roman"/>
          <w:color w:val="000000"/>
          <w:sz w:val="20"/>
        </w:rPr>
        <w:t xml:space="preserve"> On October 27, 2021, the Company entered into an amended and restated credit agreement (the “Second Amended and Restated Credit Agreement”) with the lenders named therein, JPMorgan Chase Bank, N.A. as administrative agent, Bank of America, N.A., Truist Bank and BMO Harris Bank N.A. as co-syndication agents, and U.S. Bank National Association, Fifth Third Bank, National Association, Wells Fargo Bank, National Association, PNC Bank, National Association, Morgan Stanley Senior Funding, Inc. and Citizens Bank, N.A. as co-documentation agents. The Second Amended and Restated Credit Agreement amended and restated the credit agreement dated April 17, 2014, among certain of such parties, as amended by that certain amended and restated credit agreement dated June 28, 2017 (the “Original Credit Agreement”). The Second Amended and Restated Credit Agreement, among other certain terms, extended the maturity of the Revolving Credit Facility of $800 million and unsecured term loans associated with the agreement of $250 million to October 27, 2026. At the time of the renewal, the Company added an additional $3 million in debt issuance costs related to the transaction. The Company carried forward $1 million of existing debt issuance costs related to the previous credit facility agreements after expensing debt issuance costs due to certain lenders exiting the renewed facility agreement. On February 10, 2023, the Company entered into Amendment No.1 ("Amendment") of the Second Amended and Restated Credit Agreement which provided that the overnight LIBOR should be replaced with a successor rate. The amendment also included additional terms and conditions for the Secured Overnight Financing Rate (“SOFR”) loans and Risk-free Reference Rate ("RFR")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maintains credit agreements that include term loans and a Revolving Credit Facility, all having similar terms and covenants. The outstanding balances on the other term loans as of March 31, 2024 was $962 million and on December 31, 2023, the outstanding balance on these term loans was $975 million. As of March 31, 2024 there was a $200 million outstanding balance on the Revolving Credit Facility and as of December 31, 2023, there was a $100 million outstanding balance on the Revolving Credit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Amended and Restated Credit Agreement and Loan Agreement require the Company to maintain certain financial ratios and comply with certain other covenants. The Company was in compliance with all such covenants as of March 31, 2024 and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1-month Term SOFR Rate for the term loan and Revolving Credit Facility of the Second Amended and Restated Credit Agreement is 5.430% and 5.423%, respectively, while the 1-month Term SOFR Rate for the Term A-1 Loans and Term A-2 Loans is 5.427% as of March 31, 2024. These SOFR rates are inclusive of a 0.100% credit-spread adjustment per the terms of the relevant agreements.</w:t>
      </w:r>
    </w:p>
    <w:p>
      <w:pPr>
        <w:pStyle w:val="TextBody"/>
        <w:bidi w:val="0"/>
        <w:spacing w:before="240" w:after="283"/>
        <w:jc w:val="left"/>
        <w:rPr>
          <w:rFonts w:ascii="Times New Roman" w:hAnsi="Times New Roman"/>
          <w:sz w:val="20"/>
        </w:rPr>
      </w:pPr>
      <w:r>
        <w:rPr>
          <w:rFonts w:ascii="Times New Roman" w:hAnsi="Times New Roman"/>
          <w:b/>
          <w:color w:val="000000"/>
          <w:sz w:val="20"/>
        </w:rPr>
        <w:t>Fair value information about financial instruments not measured at fair value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presents liabilities that are not measured at fair value on a recurring basis at March 31, 2024 and December 31, 2023: </w:t>
      </w:r>
    </w:p>
    <w:p>
      <w:pPr>
        <w:pStyle w:val="TextBody"/>
        <w:bidi w:val="0"/>
        <w:jc w:val="left"/>
        <w:rPr/>
      </w:pPr>
      <w:r>
        <w:rPr/>
        <w:t> </w:t>
      </w:r>
    </w:p>
    <w:tbl>
      <w:tblPr>
        <w:tblW w:w="8709" w:type="dxa"/>
        <w:jc w:val="left"/>
        <w:tblInd w:w="0" w:type="dxa"/>
        <w:tblLayout w:type="fixed"/>
        <w:tblCellMar>
          <w:top w:w="28" w:type="dxa"/>
          <w:left w:w="28" w:type="dxa"/>
          <w:bottom w:w="28" w:type="dxa"/>
          <w:right w:w="28" w:type="dxa"/>
        </w:tblCellMar>
      </w:tblPr>
      <w:tblGrid>
        <w:gridCol w:w="3036"/>
        <w:gridCol w:w="146"/>
        <w:gridCol w:w="336"/>
        <w:gridCol w:w="909"/>
        <w:gridCol w:w="146"/>
        <w:gridCol w:w="146"/>
        <w:gridCol w:w="239"/>
        <w:gridCol w:w="646"/>
        <w:gridCol w:w="146"/>
        <w:gridCol w:w="146"/>
        <w:gridCol w:w="336"/>
        <w:gridCol w:w="909"/>
        <w:gridCol w:w="146"/>
        <w:gridCol w:w="146"/>
        <w:gridCol w:w="239"/>
        <w:gridCol w:w="646"/>
        <w:gridCol w:w="391"/>
      </w:tblGrid>
      <w:tr>
        <w:trPr/>
        <w:tc>
          <w:tcPr>
            <w:tcW w:w="3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the Company's borrowings under various credit agreements approximates its fair value due to the variable interest rate based upon adjusted SOFR.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are considered Level 2 financial instruments as they are corroborated by observable market data.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of the Company's operating lease right-of-use assets and operating lease liabilities represent real estate leases for office space used to conduct the Company's business that expire on various dates through 2041. Leases generally contain renewal options and escalation clauses based upon increases in the lessors’ operating expenses and other charges. The Company anticipates that most of these leases will be renewed or replaced upon expiration, although not necessarily for the same amount of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assesses at the inception of a contract, if it contains a lease. This assessment is based on: (i) whether the contract involves the use of a distinct identified asset; (ii) whether the Company obtains the right to substantially all the economic benefit from the use of the asset throughout the period; and (iii) whether the Company has the right to direct the use of the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right-of-use asset is initially measured at cost, which is primarily composed of the initial lease liability, plus any initial direct costs incurred, less any lease incentives received. The lease liability is initially measured at the present value of the minimum lease payments through the term of the lease. Minimum lease payments are discounted to present value using the incremental borrowing rate at the lease commencement date, which approximates the rate of interest the Company expects to pay on a secured borrowing in an amount equal to the lease payments for the underlying asset under similar terms and economic conditions. The Company has elected not to recognize right-of-use assets and lease liabilities for short-term leases that have a total term of twelve months or less. The effect of short-term leases on the Company's right-of-use asset and lease liability would not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balances and classification of operating lease right-of-use assets and operating lease liabilities within the Condensed Consolidated Balance Sheet is as follows:</w:t>
      </w:r>
    </w:p>
    <w:p>
      <w:pPr>
        <w:pStyle w:val="TextBody"/>
        <w:bidi w:val="0"/>
        <w:jc w:val="left"/>
        <w:rPr/>
      </w:pPr>
      <w:r>
        <w:rPr/>
        <w:t> </w:t>
      </w:r>
    </w:p>
    <w:tbl>
      <w:tblPr>
        <w:tblW w:w="9781" w:type="dxa"/>
        <w:jc w:val="left"/>
        <w:tblInd w:w="0" w:type="dxa"/>
        <w:tblLayout w:type="fixed"/>
        <w:tblCellMar>
          <w:top w:w="28" w:type="dxa"/>
          <w:left w:w="28" w:type="dxa"/>
          <w:bottom w:w="28" w:type="dxa"/>
          <w:right w:w="28" w:type="dxa"/>
        </w:tblCellMar>
      </w:tblPr>
      <w:tblGrid>
        <w:gridCol w:w="3196"/>
        <w:gridCol w:w="3196"/>
        <w:gridCol w:w="146"/>
        <w:gridCol w:w="420"/>
        <w:gridCol w:w="840"/>
        <w:gridCol w:w="146"/>
        <w:gridCol w:w="146"/>
        <w:gridCol w:w="499"/>
        <w:gridCol w:w="1001"/>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3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9"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9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3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the Company has entered into future lease agreements expected to commence later in 2024 consisting of undiscounted lease liabilities of $1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expense for operating leases consists of the lease payments, inclusive of lease incentives, plus any initial direct costs, and is recognized on a straight-line basis over the lease term. Included in lease expense are any variable lease payments incurred in the period that were not included in the initial lease liability. Variable lease cost is lease payments that are based on an index or similar rate. They are initially measured using the index or rate in effect at lease commencement and are based on the minimum payments stated in the lease.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based on the change in an index or rate, or payments based on a change in the Company's portion of the operating expenses, including real estate taxes and insurance, are recorded as a period expense when incurred.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lease cost for operating leases for the three months ended March 31, 2024 and 2023 were:</w:t>
      </w:r>
    </w:p>
    <w:p>
      <w:pPr>
        <w:pStyle w:val="TextBody"/>
        <w:bidi w:val="0"/>
        <w:spacing w:before="120" w:after="283"/>
        <w:jc w:val="left"/>
        <w:rPr/>
      </w:pPr>
      <w:r>
        <w:rPr/>
        <w:t> </w:t>
      </w:r>
    </w:p>
    <w:tbl>
      <w:tblPr>
        <w:tblW w:w="5026" w:type="dxa"/>
        <w:jc w:val="left"/>
        <w:tblInd w:w="0" w:type="dxa"/>
        <w:tblLayout w:type="fixed"/>
        <w:tblCellMar>
          <w:top w:w="28" w:type="dxa"/>
          <w:left w:w="28" w:type="dxa"/>
          <w:bottom w:w="28" w:type="dxa"/>
          <w:right w:w="28" w:type="dxa"/>
        </w:tblCellMar>
      </w:tblPr>
      <w:tblGrid>
        <w:gridCol w:w="2081"/>
        <w:gridCol w:w="369"/>
        <w:gridCol w:w="553"/>
        <w:gridCol w:w="255"/>
        <w:gridCol w:w="255"/>
        <w:gridCol w:w="369"/>
        <w:gridCol w:w="553"/>
        <w:gridCol w:w="591"/>
      </w:tblGrid>
      <w:tr>
        <w:trPr/>
        <w:tc>
          <w:tcPr>
            <w:tcW w:w="208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81" w:type="dxa"/>
            <w:tcBorders/>
            <w:shd w:fill="FFFFFF" w:val="cle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1" w:type="dxa"/>
            <w:tcBorders/>
            <w:shd w:fill="FFFFFF" w:val="cle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Operating leases:</w:t>
            </w:r>
          </w:p>
        </w:tc>
        <w:tc>
          <w:tcPr>
            <w:tcW w:w="922" w:type="dxa"/>
            <w:gridSpan w:val="2"/>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right"/>
              <w:rPr/>
            </w:pPr>
            <w:r>
              <w:rPr/>
              <w:t> </w:t>
            </w:r>
          </w:p>
        </w:tc>
        <w:tc>
          <w:tcPr>
            <w:tcW w:w="92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0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cost</w:t>
            </w:r>
          </w:p>
        </w:tc>
        <w:tc>
          <w:tcPr>
            <w:tcW w:w="3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55"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right"/>
              <w:rPr/>
            </w:pPr>
            <w:r>
              <w:rPr/>
              <w:t> </w:t>
            </w:r>
          </w:p>
        </w:tc>
        <w:tc>
          <w:tcPr>
            <w:tcW w:w="3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0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Variable lease cost</w:t>
            </w:r>
          </w:p>
        </w:tc>
        <w:tc>
          <w:tcPr>
            <w:tcW w:w="369"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55"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pPr>
            <w:r>
              <w:rPr/>
              <w:t> </w:t>
            </w:r>
          </w:p>
        </w:tc>
        <w:tc>
          <w:tcPr>
            <w:tcW w:w="369"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0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lease cost net</w:t>
            </w:r>
          </w:p>
        </w:tc>
        <w:tc>
          <w:tcPr>
            <w:tcW w:w="3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right"/>
              <w:rPr/>
            </w:pPr>
            <w:r>
              <w:rPr/>
              <w:t> </w:t>
            </w:r>
          </w:p>
        </w:tc>
        <w:tc>
          <w:tcPr>
            <w:tcW w:w="3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remaining lease term and the weighted average discount rate for operating leases as of March 31, 2024 were:</w:t>
      </w:r>
    </w:p>
    <w:p>
      <w:pPr>
        <w:pStyle w:val="TextBody"/>
        <w:bidi w:val="0"/>
        <w:jc w:val="left"/>
        <w:rPr/>
      </w:pPr>
      <w:r>
        <w:rPr/>
        <w:t> </w:t>
      </w:r>
    </w:p>
    <w:tbl>
      <w:tblPr>
        <w:tblW w:w="5065" w:type="dxa"/>
        <w:jc w:val="left"/>
        <w:tblInd w:w="0" w:type="dxa"/>
        <w:tblLayout w:type="fixed"/>
        <w:tblCellMar>
          <w:top w:w="28" w:type="dxa"/>
          <w:left w:w="28" w:type="dxa"/>
          <w:bottom w:w="28" w:type="dxa"/>
          <w:right w:w="28" w:type="dxa"/>
        </w:tblCellMar>
      </w:tblPr>
      <w:tblGrid>
        <w:gridCol w:w="3991"/>
        <w:gridCol w:w="146"/>
        <w:gridCol w:w="146"/>
        <w:gridCol w:w="466"/>
        <w:gridCol w:w="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16"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Maturities of the operating lease liabilities by fiscal year at March 31, 2024 for the Company's operating leases are as follows:</w:t>
      </w:r>
    </w:p>
    <w:p>
      <w:pPr>
        <w:pStyle w:val="TextBody"/>
        <w:bidi w:val="0"/>
        <w:jc w:val="left"/>
        <w:rPr/>
      </w:pPr>
      <w:r>
        <w:rPr/>
        <w:t> </w:t>
      </w:r>
    </w:p>
    <w:tbl>
      <w:tblPr>
        <w:tblW w:w="4628" w:type="dxa"/>
        <w:jc w:val="left"/>
        <w:tblInd w:w="0" w:type="dxa"/>
        <w:tblLayout w:type="fixed"/>
        <w:tblCellMar>
          <w:top w:w="28" w:type="dxa"/>
          <w:left w:w="28" w:type="dxa"/>
          <w:bottom w:w="28" w:type="dxa"/>
          <w:right w:w="28" w:type="dxa"/>
        </w:tblCellMar>
      </w:tblPr>
      <w:tblGrid>
        <w:gridCol w:w="2986"/>
        <w:gridCol w:w="146"/>
        <w:gridCol w:w="434"/>
        <w:gridCol w:w="871"/>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(Remainder)</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vAlign w:val="center"/>
          </w:tcPr>
          <w:p>
            <w:pPr>
              <w:pStyle w:val="TableContents"/>
              <w:bidi w:val="0"/>
              <w:spacing w:before="0" w:after="283"/>
              <w:jc w:val="left"/>
              <w:rPr/>
            </w:pPr>
            <w:r>
              <w:rPr/>
              <w:t> </w:t>
            </w:r>
          </w:p>
        </w:tc>
        <w:tc>
          <w:tcPr>
            <w:tcW w:w="43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payments</w:t>
            </w:r>
          </w:p>
        </w:tc>
        <w:tc>
          <w:tcPr>
            <w:tcW w:w="146" w:type="dxa"/>
            <w:tcBorders/>
            <w:shd w:fill="CFF0FC" w:val="clear"/>
            <w:vAlign w:val="center"/>
          </w:tcPr>
          <w:p>
            <w:pPr>
              <w:pStyle w:val="TableContents"/>
              <w:bidi w:val="0"/>
              <w:spacing w:before="0" w:after="283"/>
              <w:jc w:val="left"/>
              <w:rPr/>
            </w:pPr>
            <w:r>
              <w:rPr/>
              <w:t> </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Supplemental cash flow information for operating leases for the three months ended March 31, 2024 and 2023:</w:t>
      </w:r>
    </w:p>
    <w:p>
      <w:pPr>
        <w:pStyle w:val="TextBody"/>
        <w:bidi w:val="0"/>
        <w:jc w:val="left"/>
        <w:rPr/>
      </w:pPr>
      <w:r>
        <w:rPr/>
        <w:t> </w:t>
      </w:r>
    </w:p>
    <w:tbl>
      <w:tblPr>
        <w:tblW w:w="8489" w:type="dxa"/>
        <w:jc w:val="left"/>
        <w:tblInd w:w="0" w:type="dxa"/>
        <w:tblLayout w:type="fixed"/>
        <w:tblCellMar>
          <w:top w:w="28" w:type="dxa"/>
          <w:left w:w="28" w:type="dxa"/>
          <w:bottom w:w="28" w:type="dxa"/>
          <w:right w:w="28" w:type="dxa"/>
        </w:tblCellMar>
      </w:tblPr>
      <w:tblGrid>
        <w:gridCol w:w="5746"/>
        <w:gridCol w:w="284"/>
        <w:gridCol w:w="426"/>
        <w:gridCol w:w="466"/>
        <w:gridCol w:w="466"/>
        <w:gridCol w:w="284"/>
        <w:gridCol w:w="426"/>
        <w:gridCol w:w="391"/>
      </w:tblGrid>
      <w:tr>
        <w:trPr/>
        <w:tc>
          <w:tcPr>
            <w:tcW w:w="57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46" w:type="dxa"/>
            <w:tcBorders/>
            <w:shd w:fill="FFFFFF" w:val="clear"/>
            <w:vAlign w:val="center"/>
          </w:tcPr>
          <w:p>
            <w:pPr>
              <w:pStyle w:val="TableContents"/>
              <w:bidi w:val="0"/>
              <w:spacing w:before="0" w:after="283"/>
              <w:jc w:val="left"/>
              <w:rPr/>
            </w:pPr>
            <w:r>
              <w:rPr/>
              <w:t> </w:t>
            </w:r>
          </w:p>
        </w:tc>
        <w:tc>
          <w:tcPr>
            <w:tcW w:w="23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measurement of liabilities</w:t>
            </w:r>
          </w:p>
        </w:tc>
        <w:tc>
          <w:tcPr>
            <w:tcW w:w="710" w:type="dxa"/>
            <w:gridSpan w:val="2"/>
            <w:tcBorders/>
            <w:shd w:fill="FFFFFF" w:val="clear"/>
            <w:vAlign w:val="center"/>
          </w:tcPr>
          <w:p>
            <w:pPr>
              <w:pStyle w:val="TableContents"/>
              <w:bidi w:val="0"/>
              <w:spacing w:before="0" w:after="283"/>
              <w:jc w:val="right"/>
              <w:rPr/>
            </w:pPr>
            <w:r>
              <w:rPr/>
              <w:t> </w:t>
            </w:r>
          </w:p>
        </w:tc>
        <w:tc>
          <w:tcPr>
            <w:tcW w:w="466" w:type="dxa"/>
            <w:tcBorders/>
            <w:shd w:fill="FFFFFF" w:val="clear"/>
            <w:vAlign w:val="center"/>
          </w:tcPr>
          <w:p>
            <w:pPr>
              <w:pStyle w:val="TableContents"/>
              <w:bidi w:val="0"/>
              <w:spacing w:before="0" w:after="283"/>
              <w:jc w:val="right"/>
              <w:rPr/>
            </w:pPr>
            <w:r>
              <w:rPr/>
              <w:t> </w:t>
            </w:r>
          </w:p>
        </w:tc>
        <w:tc>
          <w:tcPr>
            <w:tcW w:w="466" w:type="dxa"/>
            <w:tcBorders/>
            <w:shd w:fill="FFFFFF" w:val="clear"/>
            <w:vAlign w:val="center"/>
          </w:tcPr>
          <w:p>
            <w:pPr>
              <w:pStyle w:val="TableContents"/>
              <w:bidi w:val="0"/>
              <w:spacing w:before="0" w:after="283"/>
              <w:jc w:val="left"/>
              <w:rPr/>
            </w:pPr>
            <w:r>
              <w:rPr/>
              <w:t> </w:t>
            </w:r>
          </w:p>
        </w:tc>
        <w:tc>
          <w:tcPr>
            <w:tcW w:w="71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7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66" w:type="dxa"/>
            <w:tcBorders/>
            <w:shd w:fill="CFF0FC" w:val="clear"/>
            <w:vAlign w:val="center"/>
          </w:tcPr>
          <w:p>
            <w:pPr>
              <w:pStyle w:val="TableContents"/>
              <w:bidi w:val="0"/>
              <w:spacing w:before="0" w:after="283"/>
              <w:ind w:left="0" w:right="0" w:firstLine="200"/>
              <w:jc w:val="left"/>
              <w:rPr/>
            </w:pPr>
            <w:r>
              <w:rPr/>
              <w:t> </w:t>
            </w:r>
          </w:p>
        </w:tc>
        <w:tc>
          <w:tcPr>
            <w:tcW w:w="466" w:type="dxa"/>
            <w:tcBorders/>
            <w:shd w:fill="CFF0FC" w:val="clear"/>
            <w:vAlign w:val="center"/>
          </w:tcPr>
          <w:p>
            <w:pPr>
              <w:pStyle w:val="TableContents"/>
              <w:bidi w:val="0"/>
              <w:spacing w:before="0" w:after="283"/>
              <w:ind w:left="200" w:right="0" w:firstLine="200"/>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vAlign w:val="center"/>
          </w:tcPr>
          <w:p>
            <w:pPr>
              <w:pStyle w:val="TableContents"/>
              <w:bidi w:val="0"/>
              <w:spacing w:before="0" w:after="283"/>
              <w:jc w:val="left"/>
              <w:rPr/>
            </w:pPr>
            <w:r>
              <w:rPr/>
              <w:t> </w:t>
            </w:r>
          </w:p>
        </w:tc>
      </w:tr>
      <w:tr>
        <w:trPr/>
        <w:tc>
          <w:tcPr>
            <w:tcW w:w="5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liabilities</w:t>
            </w:r>
          </w:p>
        </w:tc>
        <w:tc>
          <w:tcPr>
            <w:tcW w:w="2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6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Supplemental Disclosures of Cash Flow Information and Non-Cash Financing and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the Company had an impact of $(11) million from foreign exchange rate changes on cash and cash equivalents inclusive of fiduciary cash reported on its Condensed Consolidated Statements of Cash Flows, which is primarily due to the change in currency exchange rates primarily for British pounds and, to a lesser extent, Canadian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2023, the Company accrued for and deferred $91 million related to certain federal income tax payments. This deferral was allowed under Hurricane Idalia tax relief, which was announced by the Internal Revenue Service on August 30, 2023. These deferral of income tax payments were paid by the deadline of February 15, 2024. On March 15, 2023, the Company paid $31 million of accrued federal income tax payments originally due in the fourth quarter of 2022 which was deferred under a similar tax deferral announced by the Internal Revenue Service associated with Hurricane Ian which was announced on September 29, 2022. During the first quarter of 2024, the Company also made tax payments of approximately $30 million associated with the gain on disposal of certain third-party claims administration and adjusting services businesses sold in the fourth quarter of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paid during the period for interest and income taxes are summarized as follows: </w:t>
      </w:r>
    </w:p>
    <w:p>
      <w:pPr>
        <w:pStyle w:val="TextBody"/>
        <w:bidi w:val="0"/>
        <w:jc w:val="left"/>
        <w:rPr/>
      </w:pPr>
      <w:r>
        <w:rPr/>
        <w:t> </w:t>
      </w:r>
    </w:p>
    <w:tbl>
      <w:tblPr>
        <w:tblW w:w="5607" w:type="dxa"/>
        <w:jc w:val="left"/>
        <w:tblInd w:w="0" w:type="dxa"/>
        <w:tblLayout w:type="fixed"/>
        <w:tblCellMar>
          <w:top w:w="28" w:type="dxa"/>
          <w:left w:w="28" w:type="dxa"/>
          <w:bottom w:w="28" w:type="dxa"/>
          <w:right w:w="28" w:type="dxa"/>
        </w:tblCellMar>
      </w:tblPr>
      <w:tblGrid>
        <w:gridCol w:w="2716"/>
        <w:gridCol w:w="146"/>
        <w:gridCol w:w="342"/>
        <w:gridCol w:w="683"/>
        <w:gridCol w:w="237"/>
        <w:gridCol w:w="237"/>
        <w:gridCol w:w="342"/>
        <w:gridCol w:w="513"/>
        <w:gridCol w:w="3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period for:</w:t>
            </w:r>
          </w:p>
        </w:tc>
        <w:tc>
          <w:tcPr>
            <w:tcW w:w="146" w:type="dxa"/>
            <w:tcBorders/>
            <w:shd w:fill="FFFFFF" w:val="clear"/>
            <w:vAlign w:val="center"/>
          </w:tcPr>
          <w:p>
            <w:pPr>
              <w:pStyle w:val="TableContents"/>
              <w:bidi w:val="0"/>
              <w:spacing w:before="0" w:after="283"/>
              <w:jc w:val="left"/>
              <w:rPr/>
            </w:pPr>
            <w:r>
              <w:rPr/>
              <w:t> </w:t>
            </w:r>
          </w:p>
        </w:tc>
        <w:tc>
          <w:tcPr>
            <w:tcW w:w="1025" w:type="dxa"/>
            <w:gridSpan w:val="2"/>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7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37"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net of refunds</w:t>
            </w:r>
          </w:p>
        </w:tc>
        <w:tc>
          <w:tcPr>
            <w:tcW w:w="146"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3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non-cash investing and financing activities are summarized as follows:</w:t>
      </w:r>
    </w:p>
    <w:p>
      <w:pPr>
        <w:pStyle w:val="TextBody"/>
        <w:bidi w:val="0"/>
        <w:jc w:val="left"/>
        <w:rPr/>
      </w:pPr>
      <w:r>
        <w:rPr/>
        <w:t> </w:t>
      </w:r>
    </w:p>
    <w:tbl>
      <w:tblPr>
        <w:tblW w:w="9277" w:type="dxa"/>
        <w:jc w:val="left"/>
        <w:tblInd w:w="0" w:type="dxa"/>
        <w:tblLayout w:type="fixed"/>
        <w:tblCellMar>
          <w:top w:w="28" w:type="dxa"/>
          <w:left w:w="28" w:type="dxa"/>
          <w:bottom w:w="28" w:type="dxa"/>
          <w:right w:w="28" w:type="dxa"/>
        </w:tblCellMar>
      </w:tblPr>
      <w:tblGrid>
        <w:gridCol w:w="6586"/>
        <w:gridCol w:w="146"/>
        <w:gridCol w:w="391"/>
        <w:gridCol w:w="391"/>
        <w:gridCol w:w="270"/>
        <w:gridCol w:w="270"/>
        <w:gridCol w:w="391"/>
        <w:gridCol w:w="641"/>
        <w:gridCol w:w="191"/>
      </w:tblGrid>
      <w:tr>
        <w:trPr/>
        <w:tc>
          <w:tcPr>
            <w:tcW w:w="6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payables issued for agency acquisitions and purchased customer accounts</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0"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acquisition earn-out payables issued for agency acquisitions</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restricted cash balance is composed of funds held in separate premium trust accounts as required by state law or, in some cases, by agreement with carrier partners. The following is a reconciliation of cash and cash equivalents inclusive of restricted cash as of March 31, 2024 and 2023.</w:t>
      </w:r>
    </w:p>
    <w:p>
      <w:pPr>
        <w:pStyle w:val="TextBody"/>
        <w:bidi w:val="0"/>
        <w:jc w:val="left"/>
        <w:rPr/>
      </w:pPr>
      <w:r>
        <w:rPr/>
        <w:t> </w:t>
      </w:r>
    </w:p>
    <w:tbl>
      <w:tblPr>
        <w:tblW w:w="8950" w:type="dxa"/>
        <w:jc w:val="left"/>
        <w:tblInd w:w="0" w:type="dxa"/>
        <w:tblLayout w:type="fixed"/>
        <w:tblCellMar>
          <w:top w:w="28" w:type="dxa"/>
          <w:left w:w="28" w:type="dxa"/>
          <w:bottom w:w="28" w:type="dxa"/>
          <w:right w:w="28" w:type="dxa"/>
        </w:tblCellMar>
      </w:tblPr>
      <w:tblGrid>
        <w:gridCol w:w="6171"/>
        <w:gridCol w:w="146"/>
        <w:gridCol w:w="230"/>
        <w:gridCol w:w="625"/>
        <w:gridCol w:w="146"/>
        <w:gridCol w:w="146"/>
        <w:gridCol w:w="294"/>
        <w:gridCol w:w="801"/>
        <w:gridCol w:w="391"/>
      </w:tblGrid>
      <w:tr>
        <w:trPr/>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Table to reconcile restricted and non-restricted fiduciary cash</w:t>
            </w:r>
          </w:p>
        </w:tc>
        <w:tc>
          <w:tcPr>
            <w:tcW w:w="146"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fiduciary cash</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391" w:type="dxa"/>
            <w:tcBorders/>
            <w:shd w:fill="FFFFFF" w:val="clear"/>
            <w:vAlign w:val="center"/>
          </w:tcPr>
          <w:p>
            <w:pPr>
              <w:pStyle w:val="TableContents"/>
              <w:bidi w:val="0"/>
              <w:spacing w:before="0" w:after="283"/>
              <w:jc w:val="left"/>
              <w:rPr/>
            </w:pPr>
            <w:r>
              <w:rPr/>
              <w:t> </w:t>
            </w:r>
          </w:p>
        </w:tc>
      </w:tr>
      <w:tr>
        <w:trPr/>
        <w:tc>
          <w:tcPr>
            <w:tcW w:w="6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Non-restricted fiduciary cash</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restricted and non-restricted fiduciary cash at the end of the period</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fiduciary cash increased as of March 31, 2024 compared to December 31, 2023 primarily due to businesses acquired during 2024 and 2023. </w:t>
      </w:r>
    </w:p>
    <w:p>
      <w:pPr>
        <w:pStyle w:val="TextBody"/>
        <w:bidi w:val="0"/>
        <w:jc w:val="left"/>
        <w:rPr/>
      </w:pPr>
      <w:r>
        <w:rPr/>
        <w:t> </w:t>
      </w:r>
    </w:p>
    <w:tbl>
      <w:tblPr>
        <w:tblW w:w="9421" w:type="dxa"/>
        <w:jc w:val="left"/>
        <w:tblInd w:w="0" w:type="dxa"/>
        <w:tblLayout w:type="fixed"/>
        <w:tblCellMar>
          <w:top w:w="28" w:type="dxa"/>
          <w:left w:w="28" w:type="dxa"/>
          <w:bottom w:w="28" w:type="dxa"/>
          <w:right w:w="28" w:type="dxa"/>
        </w:tblCellMar>
      </w:tblPr>
      <w:tblGrid>
        <w:gridCol w:w="7026"/>
        <w:gridCol w:w="146"/>
        <w:gridCol w:w="211"/>
        <w:gridCol w:w="572"/>
        <w:gridCol w:w="146"/>
        <w:gridCol w:w="146"/>
        <w:gridCol w:w="211"/>
        <w:gridCol w:w="572"/>
        <w:gridCol w:w="391"/>
      </w:tblGrid>
      <w:tr>
        <w:trPr/>
        <w:tc>
          <w:tcPr>
            <w:tcW w:w="7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as of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Table to reconcile cash and cash equivalents inclusive of fiduciary cash</w:t>
            </w:r>
          </w:p>
        </w:tc>
        <w:tc>
          <w:tcPr>
            <w:tcW w:w="146" w:type="dxa"/>
            <w:tcBorders/>
            <w:shd w:fill="CFF0FC" w:val="clear"/>
            <w:vAlign w:val="center"/>
          </w:tcPr>
          <w:p>
            <w:pPr>
              <w:pStyle w:val="TableContents"/>
              <w:bidi w:val="0"/>
              <w:spacing w:before="0" w:after="283"/>
              <w:jc w:val="left"/>
              <w:rPr/>
            </w:pPr>
            <w:r>
              <w:rPr/>
              <w:t> </w:t>
            </w:r>
          </w:p>
        </w:tc>
        <w:tc>
          <w:tcPr>
            <w:tcW w:w="7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3"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91" w:type="dxa"/>
            <w:tcBorders/>
            <w:shd w:fill="FFFFFF" w:val="cle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Fiduciary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cash and cash equivalents inclusive of restricted cash at the end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Legal and Regulatory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involved in numerous pending or threatened proceedings by or against Brown &amp; Brown, Inc. or one or more of its subsidiaries that arise in the ordinary course of business. The damages that may be claimed against the Company in these various proceedings are in some cases substantial, including in certain instances claims for punitive or extraordinary damages. Some of these claims and lawsuits have been resolved; others are in the process of being resolved and others are still in the investigation or discovery phase. The Company will continue to respond appropriately to these claims and lawsuits and to vigorously protect its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continues to assess certain litigation and claims to determine the amounts, if any, that management believes will be paid as a result of such claims and litigation and, therefore, additional losses may be accrued and paid in the future, which could adversely impact the Company’s operating results, cash flows and overall liquidity. The Company maintains third-party insurance policies to provide coverage for certain legal claims, in an effort to mitigate its overall exposure to unanticipated claims or adverse decisions. However, as (i) one or more of the Company’s insurance carriers could take the position that portions of these claims are not covered by the Company’s insurance, (ii) to the extent that payments are made to resolve claims and lawsuits, applicable insurance policy limits are eroded and (iii) the claims and lawsuits relating to these matters are continuing to develop, it is possible that future results of operations or cash flows for any particular quarterly or annual period could be materially affected by unfavorable resolutions of these matters. Based upon the AM Best Company ratings of these third-party insurers and other factors, management does not believe there is a substantial risk of an insurer’s material non-performance related to any current insured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basis of current information, the availability of insurance and legal advice, in management’s opinion, the Company is not currently involved in any legal proceedings which, individually or in the aggregate, would have a material adverse effect on its financial condition, operations and/or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Brown &amp; Brown’s business is divided into three reportable segments: (i) the Retail segment, which provides a broad range of insurance products and services to commercial, public and quasi-public entities, and to professional and individual customers, and non-insurance risk-mitigating products through our F&amp;I businesses; (ii) the Programs segment, which primarily acts as an managing general underwriters (“MGUs”), provides professional liability and related package products for certain professionals, a range of insurance products for individuals, flood coverage, and targeted products and services designated for specific industries, trade groups, governmental entities and market niches, all of which are delivered through nationwide networks of independent agents, and Brown &amp; Brown retail agents; and (iii) the Wholesale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Brokerage segment, which markets and sells excess and surplus commercial and personal lines insurance, primarily through independent agents and brokers, as well as Brown &amp; Brown retail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Brown &amp; Brown conducts most of its operations within the United States of America. International operations include retail operations based in Bermuda, Canada, Cayman Islands, Republic of Ireland and the United Kingdom, managing general underwriter operations in Canada, France, Germany, Hong Kong, Italy, Malaysia, the Netherlands, United Arab Emirates and the United Kingdom and wholesale brokerage operations based in Belgium, Hong Kong, Italy and the United Kingdom. These operations earned $159 million and $117 million of total revenues for the three months ended March 31, 2024 and 2023,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policies of the reportable segments are the same as those described in Note 1 of the Company’s Annual Report on Form 10-K for the year ended December 31, 2023. Intersegment revenues are eliminated.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Summarized financial information concerning the Company’s reportable segments is shown in the following tables. The “Other” column includes any income and expenses not allocated to reportable segments, corporate-related items, including the intercompany interest expense charged to the reporting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fourth quarter of 2023, the Company sold certain third-party claims administration and adjusting services businesses representing approximately 50% of the total revenues of the Services segment. As a result, beginning in fiscal year 2024, the Company operates three segments: Retail, Programs (formerly National Programs) and Wholesale Brokerage. Balances presented for the three months ended March 31, 2023 have been recast to align with the three-segment structure.</w:t>
      </w:r>
    </w:p>
    <w:p>
      <w:pPr>
        <w:pStyle w:val="TextBody"/>
        <w:bidi w:val="0"/>
        <w:jc w:val="left"/>
        <w:rPr/>
      </w:pPr>
      <w:r>
        <w:rPr/>
        <w:t> </w:t>
      </w:r>
    </w:p>
    <w:tbl>
      <w:tblPr>
        <w:tblW w:w="7909" w:type="dxa"/>
        <w:jc w:val="left"/>
        <w:tblInd w:w="0" w:type="dxa"/>
        <w:tblLayout w:type="fixed"/>
        <w:tblCellMar>
          <w:top w:w="28" w:type="dxa"/>
          <w:left w:w="28" w:type="dxa"/>
          <w:bottom w:w="28" w:type="dxa"/>
          <w:right w:w="28" w:type="dxa"/>
        </w:tblCellMar>
      </w:tblPr>
      <w:tblGrid>
        <w:gridCol w:w="2386"/>
        <w:gridCol w:w="146"/>
        <w:gridCol w:w="211"/>
        <w:gridCol w:w="571"/>
        <w:gridCol w:w="146"/>
        <w:gridCol w:w="146"/>
        <w:gridCol w:w="222"/>
        <w:gridCol w:w="604"/>
        <w:gridCol w:w="146"/>
        <w:gridCol w:w="146"/>
        <w:gridCol w:w="235"/>
        <w:gridCol w:w="636"/>
        <w:gridCol w:w="146"/>
        <w:gridCol w:w="146"/>
        <w:gridCol w:w="211"/>
        <w:gridCol w:w="421"/>
        <w:gridCol w:w="166"/>
        <w:gridCol w:w="146"/>
        <w:gridCol w:w="211"/>
        <w:gridCol w:w="67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8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14,806</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7909" w:type="dxa"/>
        <w:jc w:val="left"/>
        <w:tblInd w:w="0" w:type="dxa"/>
        <w:tblLayout w:type="fixed"/>
        <w:tblCellMar>
          <w:top w:w="28" w:type="dxa"/>
          <w:left w:w="28" w:type="dxa"/>
          <w:bottom w:w="28" w:type="dxa"/>
          <w:right w:w="28" w:type="dxa"/>
        </w:tblCellMar>
      </w:tblPr>
      <w:tblGrid>
        <w:gridCol w:w="2386"/>
        <w:gridCol w:w="146"/>
        <w:gridCol w:w="211"/>
        <w:gridCol w:w="571"/>
        <w:gridCol w:w="146"/>
        <w:gridCol w:w="146"/>
        <w:gridCol w:w="222"/>
        <w:gridCol w:w="604"/>
        <w:gridCol w:w="146"/>
        <w:gridCol w:w="146"/>
        <w:gridCol w:w="235"/>
        <w:gridCol w:w="636"/>
        <w:gridCol w:w="146"/>
        <w:gridCol w:w="146"/>
        <w:gridCol w:w="211"/>
        <w:gridCol w:w="421"/>
        <w:gridCol w:w="166"/>
        <w:gridCol w:w="146"/>
        <w:gridCol w:w="211"/>
        <w:gridCol w:w="676"/>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8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91" w:type="dxa"/>
            <w:tcBorders/>
            <w:shd w:fill="FFFFFF" w:val="clear"/>
            <w:vAlign w:val="center"/>
          </w:tcPr>
          <w:p>
            <w:pPr>
              <w:pStyle w:val="TableContents"/>
              <w:bidi w:val="0"/>
              <w:spacing w:before="0" w:after="283"/>
              <w:jc w:val="left"/>
              <w:rPr/>
            </w:pPr>
            <w:r>
              <w:rPr/>
              <w:t> </w:t>
            </w:r>
          </w:p>
        </w:tc>
      </w:tr>
      <w:tr>
        <w:trPr/>
        <w:tc>
          <w:tcPr>
            <w:tcW w:w="23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191" w:type="dxa"/>
            <w:tcBorders/>
            <w:shd w:fill="CFF0FC"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March 31, 2024, the Company’s amortized cost and fair values of fixed maturity securities are summarized as follows: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867"/>
        <w:gridCol w:w="146"/>
        <w:gridCol w:w="211"/>
        <w:gridCol w:w="346"/>
        <w:gridCol w:w="146"/>
        <w:gridCol w:w="146"/>
        <w:gridCol w:w="335"/>
        <w:gridCol w:w="551"/>
        <w:gridCol w:w="146"/>
        <w:gridCol w:w="146"/>
        <w:gridCol w:w="335"/>
        <w:gridCol w:w="551"/>
        <w:gridCol w:w="146"/>
        <w:gridCol w:w="146"/>
        <w:gridCol w:w="211"/>
        <w:gridCol w:w="316"/>
        <w:gridCol w:w="146"/>
        <w:gridCol w:w="146"/>
        <w:gridCol w:w="335"/>
        <w:gridCol w:w="551"/>
        <w:gridCol w:w="146"/>
        <w:gridCol w:w="146"/>
        <w:gridCol w:w="335"/>
        <w:gridCol w:w="551"/>
        <w:gridCol w:w="166"/>
        <w:gridCol w:w="146"/>
        <w:gridCol w:w="211"/>
        <w:gridCol w:w="316"/>
        <w:gridCol w:w="146"/>
        <w:gridCol w:w="146"/>
        <w:gridCol w:w="232"/>
        <w:gridCol w:w="348"/>
        <w:gridCol w:w="393"/>
      </w:tblGrid>
      <w:tr>
        <w:trPr/>
        <w:tc>
          <w:tcPr>
            <w:tcW w:w="1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8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8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7"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 obligations of U.S. Government</w:t>
              <w:br/>
              <w:t>   agencies and municipalities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3" w:type="dxa"/>
            <w:tcBorders/>
            <w:shd w:fill="CFF0FC" w:val="clear"/>
            <w:vAlign w:val="center"/>
          </w:tcPr>
          <w:p>
            <w:pPr>
              <w:pStyle w:val="TableContents"/>
              <w:bidi w:val="0"/>
              <w:spacing w:before="0" w:after="283"/>
              <w:jc w:val="left"/>
              <w:rPr/>
            </w:pPr>
            <w:r>
              <w:rPr/>
              <w:t> </w:t>
            </w:r>
          </w:p>
        </w:tc>
      </w:tr>
      <w:tr>
        <w:trPr/>
        <w:tc>
          <w:tcPr>
            <w:tcW w:w="18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3" w:type="dxa"/>
            <w:tcBorders/>
            <w:shd w:fill="FFFFFF" w:val="clear"/>
            <w:vAlign w:val="center"/>
          </w:tcPr>
          <w:p>
            <w:pPr>
              <w:pStyle w:val="TableContents"/>
              <w:bidi w:val="0"/>
              <w:spacing w:before="0" w:after="283"/>
              <w:jc w:val="left"/>
              <w:rPr/>
            </w:pPr>
            <w:r>
              <w:rPr/>
              <w:t> </w:t>
            </w:r>
          </w:p>
        </w:tc>
      </w:tr>
      <w:tr>
        <w:trPr/>
        <w:tc>
          <w:tcPr>
            <w:tcW w:w="18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Non-subsidiary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6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March 31, 2024, the Company had 31 securities in an unrealized loss position. The unrealized losses for the period ended March 31, 2024 in the Company’s investments in U.S. Treasury Securities and obligations of U.S. Government agencies were caused by interest 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The corporate securities are highly rated securities with no indicators of potential impairment. Based on the ability and intent of the Company to hold these investments until recovery of fair value, which may be maturity, the bonds were not considered to be other-than-temporarily impaired at March 31, 2024. The stated maturity for any investment held during the period is less than five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2023, the Company’s amortized cost and fair values of fixed maturity securities are summarized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867"/>
        <w:gridCol w:w="146"/>
        <w:gridCol w:w="211"/>
        <w:gridCol w:w="346"/>
        <w:gridCol w:w="146"/>
        <w:gridCol w:w="146"/>
        <w:gridCol w:w="335"/>
        <w:gridCol w:w="551"/>
        <w:gridCol w:w="146"/>
        <w:gridCol w:w="146"/>
        <w:gridCol w:w="335"/>
        <w:gridCol w:w="551"/>
        <w:gridCol w:w="146"/>
        <w:gridCol w:w="146"/>
        <w:gridCol w:w="211"/>
        <w:gridCol w:w="316"/>
        <w:gridCol w:w="146"/>
        <w:gridCol w:w="146"/>
        <w:gridCol w:w="335"/>
        <w:gridCol w:w="551"/>
        <w:gridCol w:w="146"/>
        <w:gridCol w:w="146"/>
        <w:gridCol w:w="335"/>
        <w:gridCol w:w="551"/>
        <w:gridCol w:w="166"/>
        <w:gridCol w:w="146"/>
        <w:gridCol w:w="211"/>
        <w:gridCol w:w="316"/>
        <w:gridCol w:w="146"/>
        <w:gridCol w:w="146"/>
        <w:gridCol w:w="232"/>
        <w:gridCol w:w="348"/>
        <w:gridCol w:w="393"/>
      </w:tblGrid>
      <w:tr>
        <w:trPr/>
        <w:tc>
          <w:tcPr>
            <w:tcW w:w="1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8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8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7"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 obligations of U.S. Government</w:t>
              <w:br/>
              <w:t>   agencies and municipalities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3" w:type="dxa"/>
            <w:tcBorders/>
            <w:shd w:fill="CFF0FC" w:val="clear"/>
            <w:vAlign w:val="center"/>
          </w:tcPr>
          <w:p>
            <w:pPr>
              <w:pStyle w:val="TableContents"/>
              <w:bidi w:val="0"/>
              <w:spacing w:before="0" w:after="283"/>
              <w:jc w:val="left"/>
              <w:rPr/>
            </w:pPr>
            <w:r>
              <w:rPr/>
              <w:t> </w:t>
            </w:r>
          </w:p>
        </w:tc>
      </w:tr>
      <w:tr>
        <w:trPr/>
        <w:tc>
          <w:tcPr>
            <w:tcW w:w="18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3" w:type="dxa"/>
            <w:tcBorders/>
            <w:shd w:fill="FFFFFF" w:val="clear"/>
            <w:vAlign w:val="center"/>
          </w:tcPr>
          <w:p>
            <w:pPr>
              <w:pStyle w:val="TableContents"/>
              <w:bidi w:val="0"/>
              <w:spacing w:before="0" w:after="283"/>
              <w:jc w:val="left"/>
              <w:rPr/>
            </w:pPr>
            <w:r>
              <w:rPr/>
              <w:t> </w:t>
            </w:r>
          </w:p>
        </w:tc>
      </w:tr>
      <w:tr>
        <w:trPr/>
        <w:tc>
          <w:tcPr>
            <w:tcW w:w="18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Non-subsidiary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6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2023, the Company had 28 securities in an unrealized loss position. The unrealized losses for the period ended December 31, 2023 in the Company’s investments in U.S. Treasury Securities and obligations of U.S. Government agencies were caused by interest rate increases. The corporate securities are highly rated securities with no indicators of potential impairment. Based on the ability and intent of the Company to hold these investments until recovery of fair value, which may be maturity, the bonds were not considered to be other-than-temporarily impaired at December 31, 2023. The stated maturity for any investment held during the period is less than five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Proceeds from the sales and maturity of the Company’s investment in fixed maturity securities and maturing time deposits were $1 million from the period of January 1, 2024 to March 31, 2024. Their gains or losses realized on the sale of securities for the period from January 1, 2024 to March 31, 2024 were insignificant.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Realized gains and losses are reported on the Condensed Consolidated Statements of Income, with the cost of securities sold determined on a specific identification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March 31, 2024, investments with a fair value of approximately $4 million were on deposit with state insurance departments to satisfy regulatory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14 Insurance Company Subsidiary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National Flood Insurance Program (“NFIP”) is a program administered by the Federal Emergency Management Agency (“FEMA”) whereby the Company sells and services NFIP flood insurance policies on behalf of FEMA and receives fees for its services. Congressional authorization for the NFIP is periodically evaluated and may be subject to potential government shutdowns. The Company sells excess flood policies which are 100% ceded to a highly rated reinsurance carrier. The Company also operates two Captives for the purpose of facilitating additional underwriting capacity and to participate in a portion of the underwriting results. One Captive participates on a quota share basis for policies placed by certain of our MGU businesses that are currently focused on property insurance for earthquake and wind exposed properties with a portion of premiums ceded to reinsurance companies, limiting, but not fully eliminating the Company's exposure to underwriting losses. The other Captive participates through excess of loss reinsurance layers associated with one of our MGU businesses focused on placements of personal property, excluding flood, primarily in the southeastern United States with one layer of per risk excess reinsurance and three layers of catastrophe ("CAT") per occurrence reinsurance. All four layers have limited reinstatements and therefore have capped, maximum aggregate limits. The effects of reinsurance on premiums written and earned are as follows:</w:t>
      </w:r>
    </w:p>
    <w:p>
      <w:pPr>
        <w:pStyle w:val="TextBody"/>
        <w:bidi w:val="0"/>
        <w:jc w:val="left"/>
        <w:rPr/>
      </w:pPr>
      <w:r>
        <w:rPr/>
        <w:t> </w:t>
      </w:r>
    </w:p>
    <w:tbl>
      <w:tblPr>
        <w:tblW w:w="9347" w:type="dxa"/>
        <w:jc w:val="left"/>
        <w:tblInd w:w="0" w:type="dxa"/>
        <w:tblLayout w:type="fixed"/>
        <w:tblCellMar>
          <w:top w:w="28" w:type="dxa"/>
          <w:left w:w="28" w:type="dxa"/>
          <w:bottom w:w="28" w:type="dxa"/>
          <w:right w:w="28" w:type="dxa"/>
        </w:tblCellMar>
      </w:tblPr>
      <w:tblGrid>
        <w:gridCol w:w="6031"/>
        <w:gridCol w:w="146"/>
        <w:gridCol w:w="343"/>
        <w:gridCol w:w="783"/>
        <w:gridCol w:w="270"/>
        <w:gridCol w:w="237"/>
        <w:gridCol w:w="343"/>
        <w:gridCol w:w="783"/>
        <w:gridCol w:w="4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Written</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premiums - WNFIC</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70"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4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premiums - WNFIC</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premiums - WNFIC</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Assumed premiums - Quota share captive and excess of loss layer captive</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Ceded premiums - Quota share captive</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premiums - Quota share captive and excess of loss layer captive</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premiums - Total</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premiums written by the Company under NFIP are 100% ceded to FEMA, for which WNFIC received a 29.5% gross expense allowance from January 1, 2024 through March 31, 2024. For the same period, the Company ceded $189 million of written premiums to FEMA for NFIP policies and $1 million to a highly rated carrier for excess flood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the Condensed Consolidated Balance Sheet contained reinsurance recoverable of $65 million and prepaid reinsurance premiums of $428 million which are related to the WNFIC business. For flood policies, there was no change in the balance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reserve for losses and loss adjustment expense net of reinsurance recoverable during the period January 1, 2024 through March 31, 2024, as the Company's direct premiums written were 100% ceded to two reinsurers. The balance of the reserve for losses and loss adjustment expense for the WNFIC, excluding related reinsurance recoverable, as of March 31, 2024 was $65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WNFIC maintains capital in excess of the minimum statutory amount of $8 million as required by regulatory authorities. The statutory capital and surplus of WNFIC was $40 million at March 31, 2024 and $39 million as of December 31, 2023. For the period from January 1, 2024 through March 31, 2024, WNFIC generated a statutory net loss of $0.3 million. For the period from January 1, 2023 through December 31, 2023, WNFIC generated statutory net income of $7 million. The maximum amount of ordinary dividends that WNFIC can pay to the shareholders in a rolling 12-month period is limited to the greater of 10% of statutory adjusted capital and surplus or 100% of adjusted net income. On April 28, 2023, WNFIC paid an ordinary dividend of $3 million. The dividend was declared and approved by the WNFIC Board of Directors by consent on March 17, 2023. The maximum dividend payout that may be made in 2024 and without prior approval is $7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2021, the initial funding to capitalize the quota share Captive was $6 million. This capital in addition to earnings of </w:t>
      </w:r>
    </w:p>
    <w:p>
      <w:pPr>
        <w:pStyle w:val="TextBody"/>
        <w:bidi w:val="0"/>
        <w:jc w:val="left"/>
        <w:rPr>
          <w:rFonts w:ascii="Times New Roman" w:hAnsi="Times New Roman"/>
          <w:color w:val="000000"/>
          <w:sz w:val="20"/>
        </w:rPr>
      </w:pPr>
      <w:r>
        <w:rPr>
          <w:rFonts w:ascii="Times New Roman" w:hAnsi="Times New Roman"/>
          <w:color w:val="000000"/>
          <w:sz w:val="20"/>
        </w:rPr>
        <w:t>$1 million through March 31, 2024 is considered at risk for loss. Assumed net written and net earned premiums for the quota share Captive for the three months ended March 31, 2024, were $19 million and $10 million, respectively. For three months ended March 31, 2024 the ultimate loss expense inclusive of incurred but not reported ("IBNR") claims was $8 million, of which $3 million is related to the estimated insured losses with Hurricane Ian. As of March 31, 2024, reported insured losses associated with Hurricane Ian were $2 million. As of March 31, 2024, the Condensed Consolidated Balance Sheet contained deferred acquisitions costs of $37 million and the reserve for losses and loss adjustment expense, excluding related reinsurance recoverable, was $4 million. The first collateral release was received in March 2024 and is based on an IBNR factor times earned premium compared to the current collateral balance.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excess of loss layer Captive was renewed in June 2023 with underlying reinsurance treaties effective from June 1 through May 31, 2024. This Captive’s maximum aggregate annual underwriting exposure is $3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15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authorization from the Company’s Board of Directors, shares may be purchased from time to time, at the Company’s discretion and subject to the availability of stock, market conditions, the trading price of the stock, alternative uses for capital, the Company’s financial performance and other potential factors. These purchases may be carried out through open market purchases, block trades, accelerated share repurchase plans of up to $100 million each (unless otherwise approved by the Board of Directors), negotiated private transactions or pursuant to any trading plan that may be adopted in accordance with Rule 10b5-1 of the Securities 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outstanding approval to purchase up to approximately $249 million, in the aggregate, of the Company's outstanding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the Company paid a dividend of $0.1300 per share, which was approved by the Board of Directors on January 17, 2024 and paid on February 14, 2024 for a total of $38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22, 2024 the Board of Directors approved a dividend of $0.1300 per share payable on May 15, 2024 to shareholders of record on May 6,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2024 the Company received $5 million in exchange for a 49% interest in our quota-share captive.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first quarter of 2024, the Company paid $2 million to buy additional interest in an entity in which it was already the majority owner.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has approximately $6 million of minority interest arising from consolidated acquisitions where the Company acquired a controlling majority ownership position with a residual noncontrolling ownership position held by unaffiliated entities.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sale of certain third-party claims administration and adjusting services businesses in the fourth quarter of 2023, the Company is entitled to future consideration payments upon achievement of certain conditions in accordance with the terms of the sale agreement. Subsequent to the balance sheet date of March 31, 2024, the conditions associated with one of the contingent payments has been achieved which will result in the Company recognizing a gain of approximately $30 million in the second quarter of 2024. Receipt of funds for this contingent payment is also expected in the second quarter of 2024.</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updates the Management’s Discussion and Analysis of Financial Condition and Results of Operations contained in the Company’s Annual Report on Form 10-K for the fiscal year ended December 31, 2023, and the two discussions should be read together.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sz w:val="20"/>
        </w:rPr>
      </w:pPr>
      <w:r>
        <w:rPr>
          <w:rFonts w:ascii="Times New Roman" w:hAnsi="Times New Roman"/>
          <w:b/>
          <w:color w:val="000000"/>
          <w:sz w:val="20"/>
        </w:rPr>
        <w:t>Company Overview —</w:t>
      </w:r>
      <w:r>
        <w:rPr>
          <w:rFonts w:ascii="Times New Roman" w:hAnsi="Times New Roman"/>
          <w:color w:val="000000"/>
          <w:sz w:val="20"/>
        </w:rPr>
        <w:t xml:space="preserve"> </w:t>
      </w:r>
      <w:r>
        <w:rPr>
          <w:rFonts w:ascii="Times New Roman" w:hAnsi="Times New Roman"/>
          <w:b/>
          <w:color w:val="000000"/>
          <w:sz w:val="20"/>
        </w:rPr>
        <w:t>First Quarter</w:t>
      </w:r>
      <w:r>
        <w:rPr>
          <w:rFonts w:ascii="Times New Roman" w:hAnsi="Times New Roman"/>
          <w:color w:val="000000"/>
          <w:sz w:val="20"/>
        </w:rPr>
        <w:t xml:space="preserve"> </w:t>
      </w:r>
      <w:r>
        <w:rPr>
          <w:rFonts w:ascii="Times New Roman" w:hAnsi="Times New Roman"/>
          <w:b/>
          <w:color w:val="000000"/>
          <w:sz w:val="20"/>
        </w:rPr>
        <w:t>of</w:t>
      </w:r>
      <w:r>
        <w:rPr>
          <w:rFonts w:ascii="Times New Roman" w:hAnsi="Times New Roman"/>
          <w:color w:val="000000"/>
          <w:sz w:val="20"/>
        </w:rPr>
        <w:t xml:space="preserve"> </w:t>
      </w:r>
      <w:r>
        <w:rPr>
          <w:rFonts w:ascii="Times New Roman" w:hAnsi="Times New Roman"/>
          <w:b/>
          <w:color w:val="000000"/>
          <w:sz w:val="20"/>
        </w:rPr>
        <w:t>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should be read in conjunction with our Condensed Consolidated Financial Statements and the related Notes to those Financial Statements included elsewhere in this Quarterly Report on Form 10-Q. In addition, please see “Information Regarding Non-GAAP Financial Measures” below concerning important information on non-GAAP financial measures contained in our discussion and analysis.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diversified insurance agency, wholesale brokerage, insurance programs and services organization headquartered in Daytona Beach, Florida. As an insurance intermediary, our principal sources of revenue are commissions paid by insurance companies and, to a lesser extent, fees paid directly by customers. Commission revenues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sales or payroll levels) to determine what premium to charge the insured. Insurance companies establish these premium rates based upon many factors, including loss experience, risk profile and reinsurance rates paid by such insurance companies, none of which we control. We also operate capitalized captive insurance facilities (the "Captives") for the purpose of having additional capacity to place coverage, drive additional revenues and to participate in underwriting results. The Captives focus on property insurance for earthquake and wind exposed properties underwritten by certain of our MGUs and limit the Company's exposure to claims expenses through reinsurance or by only participating in certain tranches of the underwriting.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volume of business from new and existing customers, fluctuations in insurable exposure units, changes in premium rate levels, changes in general economic and competitive conditions, a reduction of purchased limits, or the occurrence of catastrophic weather events all affect our revenues. For example, higher levels of inflation, generally increase the value of insurable exposure units, or a decline in economic activity, could decrease the value or amount of insurable exposure units. Conversely, increasing costs of litigation settlements and/or awards could cause some customers to seek higher levels of insurance coverage. Historically, we have grown our revenues as a result of our focus on new business, customer retention and acquisitions. We foster a strong, decentralized sales and service culture, which enables responsiveness to changing business conditions and drives accountability for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“core commissions and fees” excludes profit-sharing contingent commissions, and therefore represents the revenues earned directly from specific insurance policies sold, and specific fee-based services rendered. The net change in core commissions and fees reflects the aggregate changes attributable to: (i) net new and lost accounts; (ii) net changes in our customers’ exposure units, deductibles or insured limits; (iii) net changes in insurance premium rates or the commission rate paid to us by our carrier partners; (iv) the net change in fees paid to us by our customers; and (v) any businesses acquired or disposed 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earn profit-sharing contingent commissions, which are commissions based primarily on underwriting results, but in select situations may reflect additional considerations for volume, growth and/or retention. These commissions, which are included in our commissions and fees in the Consolidated Statements of Income, are estimated and accrued throughout the year based on actual premiums written and knowledge, to the extent it is available, of losses incurred. Payments are primarily received in the first and second quarters of each subsequent year, based upon the aforementioned considerations for the prior year(s), but may differ from the amount estimated and accrued due to the lack of complete visibility regarding loss information until they are received. Over the last three years, profit-sharing contingent commissions have averaged approximately 3.3% of commissions and fees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 revenues primarily relate to services other than securing coverage for our customers, and for fees negotiated in lieu of commissions. Fee revenues are generated by: (i) our Programs and Wholesale Brokerage segments, which earn fees primarily for the issuance of insurance policies on behalf of insurance companies; and (ii) our Retail segment in our large-account customer base, where we primarily earn fees for securing insurance for our customers, in our automobile dealer services (“F&amp;I”) businesses where we earn fees for assisting our customers with creating and selling warranty and service risk management programs, and fees for Medicare Set-aside services, Social Security disability and Medicare benefits advocacy services. Fee revenues as a percentage of our total commissions and fees, were 23.9% in 2023 and 25.8% in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our total commissions and fees growth rate was 11.6%, and our consolidated Organic Revenue growth rate was 8.6%.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investment income has consisted primarily of interest earnings on operating cash and where permitted, on premiums and advance premiums collected and held in a fiduciary capacity before being remitted to insurance companies. Our policy as it relates to the Company’s capital is to invest available funds in high-quality, short-term money-market funds and fixed income investment securities. Investment income also includes gains and losses realized from the sale of investments. Other income primarily reflects other miscellaneous revenues.</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three months ended March 31, 2024 increased from the first quarter of 2023 by $70 million or 23.8%, driven by net new business, increased profit-sharing contingent commissions and acquisitions completed in the past twelve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for fiscal year 2024, in conjunction with the divestiture of certain businesses within our Services segment in the fourth quarter of 2023, we aligned our business from four to three segments, and we now report our financial results in the following three reportable segments: Retail, Programs (formerly National Programs) and Wholesale Brokerage. See Note 12 of the Notes to Condensed Consolidated Financial Statements for further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Information Regarding 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discussion and analysis of our results of operations, in addition to reporting financial results in accordance with generally accepted accounting principles (“GAAP”), we provide references to the following non-GAAP financial measures as defined in Regulation G of the SEC rules: Organic Revenue, EBITDAC, EBITDAC Margin, EBITDAC - Adjusted and EBITDAC Margin - Adjusted. We present these measures because we believe such information is of interest to the investment community and because we believe it provides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tabular reconciliations of this supplemental non-GAAP financial information to our most comparable GAAP information are contained in this Quarterly Report on Form 10-Q under “Results of Operations -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view Organic Revenue and Organic Revenue growth as important indicators when assessing and evaluating our performance on a consolidated basis and for each of our three segments, because they allow us to determine a comparable, but non-GAAP, measurement of revenue growth that is associated with the revenue sources that were a part of our business in both the current and prior year and that are expected to continue in the future.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and EBITDAC Margin - Adjusted as key performance metrics for our short-term and long-term incentive compensation plans for executive officers and other key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Beginning January 1, 2024, we no longer exclude Foreign Currency Translation from the calculation of EBITDAC - Adjusted and EBITDAC Margin - Adjusted. Prior periods are presented accordingly on the same basis so that the calculations of EBITDAC - Adjusted and EBITDAC Margin - Adjusted are comparable for both periods. We no longer exclude Foreign Currency Translation from the calculation of these earnings measures because fluctuations in Foreign Currency Translation affect both our revenues and expenses, largely offsetting each other. Therefore, excluding Foreign Currency Translation from these earnings measures provides no meaningful incremental value in evaluating our financial performance. </w:t>
      </w:r>
    </w:p>
    <w:p>
      <w:pPr>
        <w:pStyle w:val="TextBody"/>
        <w:bidi w:val="0"/>
        <w:jc w:val="both"/>
        <w:rPr>
          <w:rFonts w:ascii="Times New Roman" w:hAnsi="Times New Roman"/>
          <w:b/>
          <w:color w:val="000000"/>
          <w:sz w:val="20"/>
        </w:rPr>
      </w:pPr>
      <w:r>
        <w:rPr>
          <w:rFonts w:ascii="Times New Roman" w:hAnsi="Times New Roman"/>
          <w:b/>
          <w:color w:val="000000"/>
          <w:sz w:val="20"/>
        </w:rPr>
        <w:t>Non-GAAP Revenue Measures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Organic Revenue</w:t>
      </w:r>
      <w:r>
        <w:rPr>
          <w:color w:val="000000"/>
        </w:rPr>
        <w:t xml:space="preserve"> </w:t>
      </w:r>
      <w:r>
        <w:rPr>
          <w:rFonts w:ascii="Times New Roman" w:hAnsi="Times New Roman"/>
          <w:color w:val="000000"/>
          <w:sz w:val="20"/>
        </w:rPr>
        <w:t xml:space="preserve">is our core commissions and fees less: (i) the core commissions and fees earned for the first twelve months by newly acquired 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 therefore represents the revenues earned directly from specific insurance policies sold and specific fee-based services rendered. Organic Revenue can be expressed as a dollar amount or a percentage rate when describing Organic Revenue growth. </w:t>
      </w:r>
    </w:p>
    <w:p>
      <w:pPr>
        <w:pStyle w:val="TextBody"/>
        <w:bidi w:val="0"/>
        <w:jc w:val="both"/>
        <w:rPr>
          <w:rFonts w:ascii="Times New Roman" w:hAnsi="Times New Roman"/>
          <w:b/>
          <w:color w:val="000000"/>
          <w:sz w:val="20"/>
        </w:rPr>
      </w:pPr>
      <w:r>
        <w:rPr>
          <w:rFonts w:ascii="Times New Roman" w:hAnsi="Times New Roman"/>
          <w:b/>
          <w:color w:val="000000"/>
          <w:sz w:val="20"/>
        </w:rPr>
        <w:t>Non-GAAP Earnings Measures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w:t>
      </w:r>
      <w:r>
        <w:rPr>
          <w:color w:val="000000"/>
        </w:rPr>
        <w:t xml:space="preserve"> </w:t>
      </w:r>
      <w:r>
        <w:rPr>
          <w:rFonts w:ascii="Times New Roman" w:hAnsi="Times New Roman"/>
          <w:color w:val="000000"/>
          <w:sz w:val="20"/>
        </w:rPr>
        <w:t>is defined as income before interest, income taxes, depreciation, amortization and the change in estimated acquisition earn-out payables.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 Margin</w:t>
      </w:r>
      <w:r>
        <w:rPr>
          <w:color w:val="000000"/>
        </w:rPr>
        <w:t xml:space="preserve"> </w:t>
      </w:r>
      <w:r>
        <w:rPr>
          <w:rFonts w:ascii="Times New Roman" w:hAnsi="Times New Roman"/>
          <w:color w:val="000000"/>
          <w:sz w:val="20"/>
        </w:rPr>
        <w:t xml:space="preserve">is defined as EBITDAC divided by total revenues.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 - Adjusted</w:t>
      </w:r>
      <w:r>
        <w:rPr>
          <w:color w:val="000000"/>
        </w:rPr>
        <w:t xml:space="preserve"> </w:t>
      </w:r>
      <w:r>
        <w:rPr>
          <w:rFonts w:ascii="Times New Roman" w:hAnsi="Times New Roman"/>
          <w:color w:val="000000"/>
          <w:sz w:val="20"/>
        </w:rPr>
        <w:t xml:space="preserve">is defined as EBITDAC, excluding (i) (gain)/loss on disposal, (ii) for 2022 and 2023, Acquisition/Integration Costs (as defined below) and (iii) for 2023, the 1Q23 Nonrecurring Cost (as defined below).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EBITDAC Margin - Adjusted</w:t>
      </w:r>
      <w:r>
        <w:rPr>
          <w:color w:val="000000"/>
        </w:rPr>
        <w:t xml:space="preserve"> </w:t>
      </w:r>
      <w:r>
        <w:rPr>
          <w:rFonts w:ascii="Times New Roman" w:hAnsi="Times New Roman"/>
          <w:color w:val="000000"/>
          <w:sz w:val="20"/>
        </w:rPr>
        <w:t>is defined as EBITDAC - Adjusted divided by total revenues.</w:t>
      </w:r>
    </w:p>
    <w:p>
      <w:pPr>
        <w:pStyle w:val="TextBody"/>
        <w:bidi w:val="0"/>
        <w:jc w:val="both"/>
        <w:rPr>
          <w:rFonts w:ascii="Times New Roman" w:hAnsi="Times New Roman"/>
          <w:sz w:val="20"/>
        </w:rPr>
      </w:pPr>
      <w:r>
        <w:rPr>
          <w:rFonts w:ascii="Times New Roman" w:hAnsi="Times New Roman"/>
          <w:b/>
          <w:color w:val="000000"/>
          <w:sz w:val="20"/>
        </w:rPr>
        <w:t>Definitions Related to Certain Components of Non-GAAP Measures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0"/>
        </w:rPr>
        <w:t>Acquisition/Integration Costs”</w:t>
      </w:r>
      <w:r>
        <w:rPr>
          <w:color w:val="000000"/>
        </w:rPr>
        <w:t xml:space="preserve"> </w:t>
      </w:r>
      <w:r>
        <w:rPr>
          <w:rFonts w:ascii="Times New Roman" w:hAnsi="Times New Roman"/>
          <w:color w:val="000000"/>
          <w:sz w:val="20"/>
        </w:rPr>
        <w:t>means the acquisition and integration costs (e.g., costs associated with regulatory filings, legal/accounting services, due diligence and the costs of integrating our information technology systems) arising out of our acquisitions of GRP (Jersey) Holdco Limited and its business ("GRP"), Orchid Underwriters Agency and CrossCover Insurance Services, and BdB Limited companies, which are not considered to be normal, recurring or part of the ongoing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0"/>
        </w:rPr>
        <w:t xml:space="preserve">Foreign Currency Translation” </w:t>
      </w:r>
      <w:r>
        <w:rPr>
          <w:rFonts w:ascii="Times New Roman" w:hAnsi="Times New Roman"/>
          <w:color w:val="000000"/>
          <w:sz w:val="20"/>
        </w:rPr>
        <w:t>means the period-over-period impact of foreign currency translation, which is calculated by applying current-year foreign exchange rates to the various functional currencies in our business to our reporting currency of U.S. dollars for the same period in the prior year.</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0"/>
        </w:rPr>
        <w:t xml:space="preserve">1Q23 Nonrecurring Cost” </w:t>
      </w:r>
      <w:r>
        <w:rPr>
          <w:rFonts w:ascii="Times New Roman" w:hAnsi="Times New Roman"/>
          <w:color w:val="000000"/>
          <w:sz w:val="20"/>
        </w:rPr>
        <w:t>means approximately $11 million expensed and substantially paid in the first quarter of 2023 to resolve a business matter, which is not considered to be normal, recurring or part of the ongoing operations.</w:t>
      </w:r>
    </w:p>
    <w:p>
      <w:pPr>
        <w:pStyle w:val="TextBody"/>
        <w:bidi w:val="0"/>
        <w:spacing w:before="120" w:after="283"/>
        <w:jc w:val="both"/>
        <w:rPr>
          <w:color w:val="000000"/>
        </w:rPr>
      </w:pPr>
      <w:r>
        <w:rPr>
          <w:color w:val="000000"/>
        </w:rPr>
        <w:t>•</w:t>
      </w:r>
    </w:p>
    <w:p>
      <w:pPr>
        <w:pStyle w:val="TextBody"/>
        <w:bidi w:val="0"/>
        <w:spacing w:before="120" w:after="283"/>
        <w:jc w:val="both"/>
        <w:rPr/>
      </w:pPr>
      <w:r>
        <w:rPr>
          <w:color w:val="000000"/>
        </w:rPr>
        <w:t>“</w:t>
      </w:r>
      <w:r>
        <w:rPr>
          <w:rFonts w:ascii="Times New Roman" w:hAnsi="Times New Roman"/>
          <w:b/>
          <w:color w:val="000000"/>
          <w:sz w:val="20"/>
        </w:rPr>
        <w:t>(Gain)/loss on disposal”</w:t>
      </w:r>
      <w:r>
        <w:rPr>
          <w:color w:val="000000"/>
        </w:rPr>
        <w:t xml:space="preserve"> </w:t>
      </w:r>
      <w:r>
        <w:rPr>
          <w:rFonts w:ascii="Times New Roman" w:hAnsi="Times New Roman"/>
          <w:color w:val="000000"/>
          <w:sz w:val="20"/>
        </w:rPr>
        <w:t>a caption on our consolidated statements of income which reflects net proceeds received as compared to net book value related to sales of books of business and other divestiture transactions, such as the disposal of a business through sale or closure.</w:t>
      </w:r>
    </w:p>
    <w:p>
      <w:pPr>
        <w:pStyle w:val="TextBody"/>
        <w:bidi w:val="0"/>
        <w:spacing w:before="120" w:after="283"/>
        <w:jc w:val="left"/>
        <w:rPr>
          <w:rFonts w:ascii="Times New Roman" w:hAnsi="Times New Roman"/>
          <w:sz w:val="20"/>
        </w:rPr>
      </w:pPr>
      <w:r>
        <w:rPr>
          <w:rFonts w:ascii="Times New Roman" w:hAnsi="Times New Roman"/>
          <w:color w:val="000000"/>
          <w:sz w:val="20"/>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Calibri;sans-serif" w:hAnsi="Calibri;sans-serif"/>
          <w:color w:val="000000"/>
          <w:sz w:val="20"/>
        </w:rPr>
        <w:t>'</w:t>
      </w:r>
      <w:r>
        <w:rPr>
          <w:rFonts w:ascii="Times New Roman" w:hAnsi="Times New Roman"/>
          <w:color w:val="000000"/>
          <w:sz w:val="20"/>
        </w:rPr>
        <w:t>s Condensed Consolidated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 of our continuing business strategy is to attract high-quality insurance intermediaries and service organizations to join our operations. From 1993 through the first quarter of 2024, we acquired 650 insurance intermediary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had no changes to our Critical Accounting Policies as described in our most recent Form 10-K for the year ended December 31, 2023. We believe that of our significant accounting and reporting policies, the more critical policies include our accounting for revenue recognition, business combinations and purchase price allocations, intangible asset impairments, non-cash stock-based compensation and reserves for litigation. In particular, the accounting for these areas is subject to uncertainty because it requires significant use of judgment to be made by management. Different assumptions in the application of these policies could result in material changes in our consolidated financial position or consolidated results of operations. Refer to Note 1 in the “Notes to Consolidated Financial Statements” in our Annual Report on Form 10-K for the year ended December 31, 2023 for details regarding our critical and significant accounting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 FOR THE THREE MONTHS ENDED MARCH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and analysis regarding results of operations and liquidity and capital resources should be considered in conjunction with the accompanying Condensed Consolidated Financial Statements and related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condensed consolidated financial results is as follows:</w:t>
      </w:r>
    </w:p>
    <w:p>
      <w:pPr>
        <w:pStyle w:val="TextBody"/>
        <w:bidi w:val="0"/>
        <w:jc w:val="left"/>
        <w:rPr/>
      </w:pPr>
      <w:r>
        <w:rPr/>
        <w:t> </w:t>
      </w:r>
    </w:p>
    <w:tbl>
      <w:tblPr>
        <w:tblW w:w="8912" w:type="dxa"/>
        <w:jc w:val="left"/>
        <w:tblInd w:w="0" w:type="dxa"/>
        <w:tblLayout w:type="fixed"/>
        <w:tblCellMar>
          <w:top w:w="28" w:type="dxa"/>
          <w:left w:w="28" w:type="dxa"/>
          <w:bottom w:w="28" w:type="dxa"/>
          <w:right w:w="28" w:type="dxa"/>
        </w:tblCellMar>
      </w:tblPr>
      <w:tblGrid>
        <w:gridCol w:w="4771"/>
        <w:gridCol w:w="146"/>
        <w:gridCol w:w="211"/>
        <w:gridCol w:w="676"/>
        <w:gridCol w:w="271"/>
        <w:gridCol w:w="146"/>
        <w:gridCol w:w="211"/>
        <w:gridCol w:w="676"/>
        <w:gridCol w:w="271"/>
        <w:gridCol w:w="146"/>
        <w:gridCol w:w="163"/>
        <w:gridCol w:w="708"/>
        <w:gridCol w:w="516"/>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non-controlling interests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the Company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jc w:val="right"/>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w:t>
              <w:br/>
              <w:t>   to 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jc w:val="right"/>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March 31,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spacing w:before="12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Commissions and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Commissions and fees, including profit-sharing contingent commissions and earned premiums, for the three months ended March 31, 2024 increased $129 million to $1,237 million, or 11.6%, over the same period in 2023. Core commissions and fees revenue for the first quarter of 2024 increased $110 million or 10.2%, composed of: (i) approximately $91 million of net new and renewal business, which reflects an Organic Revenue growth rate of 8.6%; (ii) $41 million from acquisitions that had no comparable revenues in the same period of 2023; (iii) an increase from the impact of Foreign Currency Translation of $5 million; and (iv) an offsetting decrease of $27 million related to commissions and fees revenue from businesses or books of business divested in the preceding twelve months. Profit-sharing contingent commissions for the first quarter of 2024 increased by $19 million, compared to the same period in 2023. This increase was driven primarily by (i) improved underwriting results and qualifying for certain profit-sharing contingent commissions in 2023 that had not been accrued as we did not qualify for them in the prior year and (ii) recent acquisitions.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Investment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income for the three months ended March 31, 2024 increased $11 million, from the same period in 2023. The increase was primarily driven by higher average interest rates compared to the prior year.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for the three months ended March 31, 2024 increased $2 million to $3 million as compared to the same period in 2023. Other income consists primarily of miscellaneous income and therefore can fluctuate between comparable periods.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Employee 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compensation and benefits expense as a percentage of total revenues was 50.2% for the three months ended March 31, 2024 as compared to 51.2% for the three months ended March 31, 2023, and increased 10.5%, or $60 million. This increase included $24 million of compensation costs related to stand-alone acquisitions that had no comparable costs in the same period of 2023. Therefore, employee compensation and benefits expense attributable to those offices that existed in the same time periods of 2024 and 2023 increased by $36 million, or 6.3%. This underlying employee compensation and benefits expense increase was primarily related to: (i) an increase in staff salaries and bonuses attributable to new hires; (ii) an increase in producer compensation associated with revenue growth and (iii) an increase in non-cash stock-based compensation driven by the strong financial performance of the Company, partially offset by (iv) employee compensation and benefits associated with businesses divested in the fourth quarter of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operating expenses represented 12.8% of total revenues for the first quarter of 2024 as compared to 14.4% for the first quarter of 2023. Other operating expenses for the first quarter of 2024 were flat compared to the same period of 2023. This includes: (i) $11 million of other operating expenses related to stand-alone acquisitions that had no comparable costs in the same period of 2023; (ii) increased information technology related costs; (iii) and to a lesser extent, increased variable costs associated with revenue growth, offset by (iv) expenses of approximately $11 million recorded in the first quarter of 2023 to resolve a business matter which was not considered to be normal or a recurring part of ongoing operations and (v) other operating expenses associated with businesses divested in the first quarter of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(Gain)/Loss on Disposal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on disposal for the first quarter of 2024 decreased $8 million from the first quarter of 2023. Activity for (Gain)/Loss on disposal is associated with book of business sales or sales of entire businesses. Although we do not routinely sell businesses or customer accounts, we periodically sell an office or a book of business (one or more customer accounts) that we believe does not produce reasonable margins or demonstrate a potential for adequate growth, or because doing so is in the Company’s best interest.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for the first quarter of 2024 increased $2 million, or 4.9%, compared to the first quarter of 2023. This change reflects the amortization of new intangibles from businesses acquired within the past twelve months, net of certain intangible assets becoming fully amortized or written off in the (Gain)/Loss on disposal.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Depreciation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for the first quarter of 2024 increased $1 million, or 10.0%, compared to the first quarter of 2023. Changes in depreciation expense reflect net additions of fixed assets resulting from businesses acquired in the past twelve months and the addition of fixed assets resulting from business initiatives, net of the impact of fixed assets that became fully depreciated or written off in the gain or loss on disposal.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first quarter of 2024 increased $1 million, or 2.1%, compared to the first quarter of 2023.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 in Estimated Acquisition Earn-Out Payables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Standards Codification (“ASC”) Topic 805-Business Combinations is the authoritative guidance requiring an acquirer to recognize 100% of the fair value of acquired assets, including goodwill, and assumed liabilities (with only limited exceptions) upon initially obtaining control of an acquired entity. Additionally, the fair value of contingent consideration arrangements (such as earn-out purchase price arrangements) at the acquisition date must be included in the purchase price consideration. The recorded purchase price for acquisitions includes an estimation of the fair value of liabilities associated with any potential earn-out provisions. Subsequent changes in these earn-out obligations are required to be recorded in the Condensed Consolidated Statements of Income when incurred or reasonably estimated. Estimations of potential earn-out obligations are typically based upon future earnings of the acquired operations or entities, usually for periods ranging from one to three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charge or credit to the Consolidated Statements of Income for the period is the combination of the net change in the estimated acquisition earn-out payables liability, and the accretion of the present value discount on those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and 2023, the fair values of the estimated acquisition earn-out payables were reevaluated and measured at fair value on a recurring basis using unobservable inputs (Level 3) as defined in ASC 820-Fair Value Measurement. The resulting net changes, as well as the interest expense accretion on the estimated acquisition earn-out payables, for the three months ended March 31, 2024 and 2023 were as follows:</w:t>
      </w:r>
    </w:p>
    <w:tbl>
      <w:tblPr>
        <w:tblW w:w="8761" w:type="dxa"/>
        <w:jc w:val="left"/>
        <w:tblInd w:w="0" w:type="dxa"/>
        <w:tblLayout w:type="fixed"/>
        <w:tblCellMar>
          <w:top w:w="28" w:type="dxa"/>
          <w:left w:w="28" w:type="dxa"/>
          <w:bottom w:w="28" w:type="dxa"/>
          <w:right w:w="28" w:type="dxa"/>
        </w:tblCellMar>
      </w:tblPr>
      <w:tblGrid>
        <w:gridCol w:w="5871"/>
        <w:gridCol w:w="146"/>
        <w:gridCol w:w="389"/>
        <w:gridCol w:w="500"/>
        <w:gridCol w:w="306"/>
        <w:gridCol w:w="269"/>
        <w:gridCol w:w="389"/>
        <w:gridCol w:w="500"/>
        <w:gridCol w:w="391"/>
      </w:tblGrid>
      <w:tr>
        <w:trPr/>
        <w:tc>
          <w:tcPr>
            <w:tcW w:w="5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estimated acquisition earn-out payables</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vAlign w:val="center"/>
          </w:tcPr>
          <w:p>
            <w:pPr>
              <w:pStyle w:val="TableContents"/>
              <w:bidi w:val="0"/>
              <w:spacing w:before="0" w:after="283"/>
              <w:jc w:val="right"/>
              <w:rPr/>
            </w:pPr>
            <w:r>
              <w:rPr/>
              <w:t> </w:t>
            </w:r>
          </w:p>
        </w:tc>
        <w:tc>
          <w:tcPr>
            <w:tcW w:w="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accretion</w:t>
            </w:r>
          </w:p>
        </w:tc>
        <w:tc>
          <w:tcPr>
            <w:tcW w:w="146" w:type="dxa"/>
            <w:tcBorders/>
            <w:shd w:fill="FFFFFF" w:val="cle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righ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change in earnings from estimated acquisition earn-out payables</w:t>
            </w:r>
          </w:p>
        </w:tc>
        <w:tc>
          <w:tcPr>
            <w:tcW w:w="146" w:type="dxa"/>
            <w:tcBorders/>
            <w:shd w:fill="CFF0FC" w:val="cle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2024 and 2023, the fair value of estimated earn-out payables was re-evaluated. The result was a decrease of $4 million in both periods which are credits, exclusive of interest accretion, in the Condensed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estimated acquisition earn-out payables totaled $203 million, of which $118 million was recorded as accounts payable and $85 million was recorded as other non-current liabilities.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on income from operations for the three months ended March 31, 2024 and 2023 was 19.5% and 19.7%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 —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12 to the Condensed Consolidated Financial Statements, we operate three reportable segments: Retail, Programs, and Wholesale Brokerage. On a segmented basis, changes in amortization, depreciation and interest expenses generally result from activity associated with acquisitions. Likewise, other income consists primarily of miscellaneous income and therefore can fluctuate between</w:t>
        <w:br/>
        <w:t>comparable periods. As such, in evaluating the operational efficiency of a segment, management focuses on the Organic Revenue growth rate and EBITDAC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commissions and fees included in the Condensed Consolidated Statements of Income to Organic Revenue, a non-GAAP financial measure, for the three months ended March 31, 2024, and the growth rates for Organic Revenue for the three months ended March 31, 2024, including by segment, are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18"/>
        <w:gridCol w:w="146"/>
        <w:gridCol w:w="196"/>
        <w:gridCol w:w="421"/>
        <w:gridCol w:w="256"/>
        <w:gridCol w:w="146"/>
        <w:gridCol w:w="196"/>
        <w:gridCol w:w="376"/>
        <w:gridCol w:w="166"/>
        <w:gridCol w:w="146"/>
        <w:gridCol w:w="196"/>
        <w:gridCol w:w="421"/>
        <w:gridCol w:w="256"/>
        <w:gridCol w:w="146"/>
        <w:gridCol w:w="196"/>
        <w:gridCol w:w="376"/>
        <w:gridCol w:w="166"/>
        <w:gridCol w:w="146"/>
        <w:gridCol w:w="208"/>
        <w:gridCol w:w="449"/>
        <w:gridCol w:w="272"/>
        <w:gridCol w:w="155"/>
        <w:gridCol w:w="208"/>
        <w:gridCol w:w="400"/>
        <w:gridCol w:w="166"/>
        <w:gridCol w:w="146"/>
        <w:gridCol w:w="196"/>
        <w:gridCol w:w="511"/>
        <w:gridCol w:w="256"/>
        <w:gridCol w:w="146"/>
        <w:gridCol w:w="196"/>
        <w:gridCol w:w="511"/>
        <w:gridCol w:w="215"/>
      </w:tblGrid>
      <w:tr>
        <w:trPr/>
        <w:tc>
          <w:tcPr>
            <w:tcW w:w="2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218" w:type="dxa"/>
            <w:tcBorders/>
            <w:shd w:fill="FFFFFF" w:val="cle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2024</w:t>
            </w:r>
          </w:p>
        </w:tc>
        <w:tc>
          <w:tcPr>
            <w:tcW w:w="146" w:type="dxa"/>
            <w:tcBorders/>
            <w:shd w:fill="FFFFFF" w:val="cle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Retail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Programs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Wholesale Brokerage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8"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millions, except percentages)</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6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Commissions and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804</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272"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w:t>
            </w:r>
          </w:p>
        </w:tc>
        <w:tc>
          <w:tcPr>
            <w:tcW w:w="215" w:type="dxa"/>
            <w:tcBorders/>
            <w:shd w:fill="CFF0FC" w:val="clear"/>
            <w:vAlign w:val="center"/>
          </w:tcPr>
          <w:p>
            <w:pPr>
              <w:pStyle w:val="TableContents"/>
              <w:bidi w:val="0"/>
              <w:spacing w:before="0" w:after="283"/>
              <w:jc w:val="left"/>
              <w:rPr/>
            </w:pPr>
            <w:r>
              <w:rPr/>
              <w:t> </w:t>
            </w:r>
          </w:p>
        </w:tc>
      </w:tr>
      <w:tr>
        <w:trPr/>
        <w:tc>
          <w:tcPr>
            <w:tcW w:w="221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change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72"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r>
      <w:tr>
        <w:trPr/>
        <w:tc>
          <w:tcPr>
            <w:tcW w:w="221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growth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27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vAlign w:val="center"/>
          </w:tcPr>
          <w:p>
            <w:pPr>
              <w:pStyle w:val="TableContents"/>
              <w:bidi w:val="0"/>
              <w:spacing w:before="0" w:after="283"/>
              <w:jc w:val="left"/>
              <w:rPr/>
            </w:pPr>
            <w:r>
              <w:rPr/>
              <w:t> </w:t>
            </w:r>
          </w:p>
        </w:tc>
        <w:tc>
          <w:tcPr>
            <w:tcW w:w="60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r>
      <w:tr>
        <w:trPr/>
        <w:tc>
          <w:tcPr>
            <w:tcW w:w="221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Profit-sharing contingent</w:t>
              <w:br/>
              <w:t>   commissions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1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commissions and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272"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215" w:type="dxa"/>
            <w:tcBorders/>
            <w:shd w:fill="CFF0FC" w:val="clear"/>
            <w:vAlign w:val="center"/>
          </w:tcPr>
          <w:p>
            <w:pPr>
              <w:pStyle w:val="TableContents"/>
              <w:bidi w:val="0"/>
              <w:spacing w:before="0" w:after="283"/>
              <w:jc w:val="left"/>
              <w:rPr/>
            </w:pPr>
            <w:r>
              <w:rPr/>
              <w:t> </w:t>
            </w:r>
          </w:p>
        </w:tc>
      </w:tr>
      <w:tr>
        <w:trPr/>
        <w:tc>
          <w:tcPr>
            <w:tcW w:w="221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7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21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Dispositions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right"/>
              <w:rPr>
                <w:color w:val="000000"/>
              </w:rPr>
            </w:pPr>
            <w:r>
              <w:rPr>
                <w:color w:val="000000"/>
              </w:rPr>
              <w:t>—</w:t>
            </w:r>
          </w:p>
        </w:tc>
        <w:tc>
          <w:tcPr>
            <w:tcW w:w="272"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right"/>
              <w:rPr/>
            </w:pPr>
            <w:r>
              <w:rPr/>
              <w:t> </w:t>
            </w:r>
          </w:p>
        </w:tc>
        <w:tc>
          <w:tcPr>
            <w:tcW w:w="208" w:type="dxa"/>
            <w:tcBorders/>
            <w:shd w:fill="CFF0FC" w:val="clear"/>
            <w:vAlign w:val="center"/>
          </w:tcPr>
          <w:p>
            <w:pPr>
              <w:pStyle w:val="TableContents"/>
              <w:bidi w:val="0"/>
              <w:spacing w:before="0" w:after="283"/>
              <w:jc w:val="left"/>
              <w:rPr/>
            </w:pPr>
            <w:r>
              <w:rPr/>
              <w:t> </w:t>
            </w:r>
          </w:p>
        </w:tc>
        <w:tc>
          <w:tcPr>
            <w:tcW w:w="40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1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8"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272"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w:t>
            </w:r>
          </w:p>
        </w:tc>
        <w:tc>
          <w:tcPr>
            <w:tcW w:w="215" w:type="dxa"/>
            <w:tcBorders/>
            <w:shd w:fill="CFF0FC" w:val="clear"/>
            <w:vAlign w:val="center"/>
          </w:tcPr>
          <w:p>
            <w:pPr>
              <w:pStyle w:val="TableContents"/>
              <w:bidi w:val="0"/>
              <w:spacing w:before="0" w:after="283"/>
              <w:jc w:val="left"/>
              <w:rPr/>
            </w:pPr>
            <w:r>
              <w:rPr/>
              <w:t> </w:t>
            </w:r>
          </w:p>
        </w:tc>
      </w:tr>
      <w:tr>
        <w:trPr/>
        <w:tc>
          <w:tcPr>
            <w:tcW w:w="2218"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w:t>
            </w: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72"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r>
      <w:tr>
        <w:trPr/>
        <w:tc>
          <w:tcPr>
            <w:tcW w:w="2218"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rate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27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5" w:type="dxa"/>
            <w:tcBorders/>
            <w:shd w:fill="CFF0FC" w:val="clear"/>
            <w:vAlign w:val="center"/>
          </w:tcPr>
          <w:p>
            <w:pPr>
              <w:pStyle w:val="TableContents"/>
              <w:bidi w:val="0"/>
              <w:spacing w:before="0" w:after="283"/>
              <w:jc w:val="left"/>
              <w:rPr/>
            </w:pPr>
            <w:r>
              <w:rPr/>
              <w:t> </w:t>
            </w:r>
          </w:p>
        </w:tc>
        <w:tc>
          <w:tcPr>
            <w:tcW w:w="60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Retail segment includes commissions and fees reported in the “Other” column of the Segment Information in Note 12 of this 10-Q of the Notes to the Condensed Consolidated Financial Statements, which includes corporate and consolidation items.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 of commissions and fees included in the Condensed Consolidated Statements of Income to Organic Revenue, a non-GAAP financial measure, for the three months ended March 31, 2023, including by segment, and the growth rates for Organic Revenue for the three months ended March 31, 2023, including by segment,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40"/>
        <w:gridCol w:w="146"/>
        <w:gridCol w:w="196"/>
        <w:gridCol w:w="421"/>
        <w:gridCol w:w="256"/>
        <w:gridCol w:w="146"/>
        <w:gridCol w:w="196"/>
        <w:gridCol w:w="376"/>
        <w:gridCol w:w="166"/>
        <w:gridCol w:w="146"/>
        <w:gridCol w:w="196"/>
        <w:gridCol w:w="421"/>
        <w:gridCol w:w="256"/>
        <w:gridCol w:w="146"/>
        <w:gridCol w:w="196"/>
        <w:gridCol w:w="376"/>
        <w:gridCol w:w="166"/>
        <w:gridCol w:w="146"/>
        <w:gridCol w:w="210"/>
        <w:gridCol w:w="452"/>
        <w:gridCol w:w="274"/>
        <w:gridCol w:w="156"/>
        <w:gridCol w:w="210"/>
        <w:gridCol w:w="403"/>
        <w:gridCol w:w="166"/>
        <w:gridCol w:w="146"/>
        <w:gridCol w:w="196"/>
        <w:gridCol w:w="511"/>
        <w:gridCol w:w="256"/>
        <w:gridCol w:w="146"/>
        <w:gridCol w:w="196"/>
        <w:gridCol w:w="376"/>
        <w:gridCol w:w="215"/>
      </w:tblGrid>
      <w:tr>
        <w:trPr/>
        <w:tc>
          <w:tcPr>
            <w:tcW w:w="2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340" w:type="dxa"/>
            <w:tcBorders/>
            <w:shd w:fill="FFFFFF" w:val="cle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2023</w:t>
            </w:r>
          </w:p>
        </w:tc>
        <w:tc>
          <w:tcPr>
            <w:tcW w:w="146" w:type="dxa"/>
            <w:tcBorders/>
            <w:shd w:fill="FFFFFF" w:val="cle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Retail</w:t>
            </w:r>
            <w:r>
              <w:rPr>
                <w:rFonts w:ascii="Times New Roman" w:hAnsi="Times New Roman"/>
                <w:color w:val="000000"/>
                <w:sz w:val="18"/>
              </w:rPr>
              <w:t xml:space="preserve"> </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Programs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Wholesale Brokerage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FFFFFF" w:val="cle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millions, except percentages)</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left"/>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Commissions and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274"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215" w:type="dxa"/>
            <w:tcBorders/>
            <w:shd w:fill="CFF0FC" w:val="clear"/>
            <w:vAlign w:val="center"/>
          </w:tcPr>
          <w:p>
            <w:pPr>
              <w:pStyle w:val="TableContents"/>
              <w:bidi w:val="0"/>
              <w:spacing w:before="0" w:after="283"/>
              <w:jc w:val="left"/>
              <w:rPr/>
            </w:pPr>
            <w:r>
              <w:rPr/>
              <w:t> </w:t>
            </w:r>
          </w:p>
        </w:tc>
      </w:tr>
      <w:tr>
        <w:trPr/>
        <w:tc>
          <w:tcPr>
            <w:tcW w:w="234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change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1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r>
      <w:tr>
        <w:trPr/>
        <w:tc>
          <w:tcPr>
            <w:tcW w:w="23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growth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27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vAlign w:val="center"/>
          </w:tcPr>
          <w:p>
            <w:pPr>
              <w:pStyle w:val="TableContents"/>
              <w:bidi w:val="0"/>
              <w:spacing w:before="0" w:after="283"/>
              <w:jc w:val="left"/>
              <w:rPr/>
            </w:pPr>
            <w:r>
              <w:rPr/>
              <w:t> </w:t>
            </w:r>
          </w:p>
        </w:tc>
        <w:tc>
          <w:tcPr>
            <w:tcW w:w="61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r>
      <w:tr>
        <w:trPr/>
        <w:tc>
          <w:tcPr>
            <w:tcW w:w="234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Profit-sharing contingent</w:t>
              <w:br/>
              <w:t>   commissions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Core commissions and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74"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215" w:type="dxa"/>
            <w:tcBorders/>
            <w:shd w:fill="CFF0FC" w:val="clear"/>
            <w:vAlign w:val="center"/>
          </w:tcPr>
          <w:p>
            <w:pPr>
              <w:pStyle w:val="TableContents"/>
              <w:bidi w:val="0"/>
              <w:spacing w:before="0" w:after="283"/>
              <w:jc w:val="left"/>
              <w:rPr/>
            </w:pPr>
            <w:r>
              <w:rPr/>
              <w:t> </w:t>
            </w:r>
          </w:p>
        </w:tc>
      </w:tr>
      <w:tr>
        <w:trPr/>
        <w:tc>
          <w:tcPr>
            <w:tcW w:w="234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revenues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7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3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Dispositions</w:t>
            </w:r>
          </w:p>
        </w:tc>
        <w:tc>
          <w:tcPr>
            <w:tcW w:w="146" w:type="dxa"/>
            <w:tcBorders/>
            <w:shd w:fill="CFF0FC" w:val="clear"/>
            <w:vAlign w:val="center"/>
          </w:tcPr>
          <w:p>
            <w:pPr>
              <w:pStyle w:val="TableContents"/>
              <w:bidi w:val="0"/>
              <w:spacing w:before="0" w:after="283"/>
              <w:jc w:val="left"/>
              <w:rPr/>
            </w:pPr>
            <w:r>
              <w:rPr/>
              <w:t> </w:t>
            </w:r>
          </w:p>
        </w:tc>
        <w:tc>
          <w:tcPr>
            <w:tcW w:w="617"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right"/>
              <w:rPr>
                <w:color w:val="000000"/>
              </w:rPr>
            </w:pPr>
            <w:r>
              <w:rPr>
                <w:color w:val="000000"/>
              </w:rPr>
              <w:t>—</w:t>
            </w:r>
          </w:p>
        </w:tc>
        <w:tc>
          <w:tcPr>
            <w:tcW w:w="274"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4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0"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274"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w:t>
            </w:r>
          </w:p>
        </w:tc>
        <w:tc>
          <w:tcPr>
            <w:tcW w:w="215" w:type="dxa"/>
            <w:tcBorders/>
            <w:shd w:fill="CFF0FC" w:val="clear"/>
            <w:vAlign w:val="center"/>
          </w:tcPr>
          <w:p>
            <w:pPr>
              <w:pStyle w:val="TableContents"/>
              <w:bidi w:val="0"/>
              <w:spacing w:before="0" w:after="283"/>
              <w:jc w:val="left"/>
              <w:rPr/>
            </w:pPr>
            <w:r>
              <w:rPr/>
              <w:t> </w:t>
            </w:r>
          </w:p>
        </w:tc>
      </w:tr>
      <w:tr>
        <w:trPr/>
        <w:tc>
          <w:tcPr>
            <w:tcW w:w="234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w:t>
            </w: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1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r>
      <w:tr>
        <w:trPr/>
        <w:tc>
          <w:tcPr>
            <w:tcW w:w="2340"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Organic Revenue growth rate </w:t>
            </w:r>
            <w:r>
              <w:rPr>
                <w:rFonts w:ascii="Times New Roman" w:hAnsi="Times New Roman"/>
                <w:color w:val="000000"/>
                <w:sz w:val="12"/>
              </w:rPr>
              <w:t>(2)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7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vAlign w:val="center"/>
          </w:tcPr>
          <w:p>
            <w:pPr>
              <w:pStyle w:val="TableContents"/>
              <w:bidi w:val="0"/>
              <w:spacing w:before="0" w:after="283"/>
              <w:jc w:val="left"/>
              <w:rPr/>
            </w:pPr>
            <w:r>
              <w:rPr/>
              <w:t> </w:t>
            </w:r>
          </w:p>
        </w:tc>
        <w:tc>
          <w:tcPr>
            <w:tcW w:w="61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572"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Retail segment includes commissions and fees reported in the “Other” column of the Segment Information in Note 12 of the Notes to the Condensed Consolidated Financial Statements, which includes corporate and consolidation items.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income before incomes taxes, included in the Condensed Consolidated Statement of Income, to EBITDAC, a non-GAAP measure, and EBITDAC - Adjusted, a non-GAAP measure, and Income Before Income Taxes Margin to EBITDAC Margin, a non-GAAP measure, and EBITDAC Margin - Adjusted, a non-GAAP measure, for the three months ended March 31, 2024, including by segment, is as follows:</w:t>
      </w:r>
    </w:p>
    <w:p>
      <w:pPr>
        <w:pStyle w:val="TextBody"/>
        <w:bidi w:val="0"/>
        <w:jc w:val="left"/>
        <w:rPr/>
      </w:pPr>
      <w:r>
        <w:rPr/>
        <w:t> </w:t>
      </w:r>
    </w:p>
    <w:tbl>
      <w:tblPr>
        <w:tblW w:w="9254" w:type="dxa"/>
        <w:jc w:val="left"/>
        <w:tblInd w:w="0" w:type="dxa"/>
        <w:tblLayout w:type="fixed"/>
        <w:tblCellMar>
          <w:top w:w="28" w:type="dxa"/>
          <w:left w:w="28" w:type="dxa"/>
          <w:bottom w:w="28" w:type="dxa"/>
          <w:right w:w="28" w:type="dxa"/>
        </w:tblCellMar>
      </w:tblPr>
      <w:tblGrid>
        <w:gridCol w:w="3286"/>
        <w:gridCol w:w="146"/>
        <w:gridCol w:w="211"/>
        <w:gridCol w:w="466"/>
        <w:gridCol w:w="271"/>
        <w:gridCol w:w="146"/>
        <w:gridCol w:w="257"/>
        <w:gridCol w:w="569"/>
        <w:gridCol w:w="271"/>
        <w:gridCol w:w="146"/>
        <w:gridCol w:w="271"/>
        <w:gridCol w:w="600"/>
        <w:gridCol w:w="271"/>
        <w:gridCol w:w="146"/>
        <w:gridCol w:w="211"/>
        <w:gridCol w:w="376"/>
        <w:gridCol w:w="166"/>
        <w:gridCol w:w="146"/>
        <w:gridCol w:w="211"/>
        <w:gridCol w:w="571"/>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w:t>
              <w:br/>
              <w:t>Brokerage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5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FFFFFF" w:val="clear"/>
            <w:vAlign w:val="center"/>
          </w:tcPr>
          <w:p>
            <w:pPr>
              <w:pStyle w:val="TableContents"/>
              <w:bidi w:val="0"/>
              <w:spacing w:before="0" w:after="283"/>
              <w:ind w:left="0" w:right="0" w:firstLine="100"/>
              <w:jc w:val="left"/>
              <w:rPr/>
            </w:pPr>
            <w:r>
              <w:rPr/>
              <w:t> </w:t>
            </w:r>
          </w:p>
        </w:tc>
      </w:tr>
      <w:tr>
        <w:trPr/>
        <w:tc>
          <w:tcPr>
            <w:tcW w:w="328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5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reconciliation of income before incomes taxes, included in the Condensed Consolidated Statement of Income, to EBITDAC, a non-GAAP measure, and EBITDAC - Adjusted, a non-GAAP measure, and Income Before Income Taxes Margin to EBITDAC Margin - Adjusted, a non-GAAP measure, for the three months ended March 31, 2023, including by segment, is as follows:</w:t>
      </w:r>
    </w:p>
    <w:p>
      <w:pPr>
        <w:pStyle w:val="TextBody"/>
        <w:bidi w:val="0"/>
        <w:spacing w:before="40" w:after="283"/>
        <w:jc w:val="left"/>
        <w:rPr/>
      </w:pPr>
      <w:r>
        <w:rPr/>
        <w:t> </w:t>
      </w:r>
    </w:p>
    <w:tbl>
      <w:tblPr>
        <w:tblW w:w="10033" w:type="dxa"/>
        <w:jc w:val="left"/>
        <w:tblInd w:w="0" w:type="dxa"/>
        <w:tblLayout w:type="fixed"/>
        <w:tblCellMar>
          <w:top w:w="28" w:type="dxa"/>
          <w:left w:w="28" w:type="dxa"/>
          <w:bottom w:w="28" w:type="dxa"/>
          <w:right w:w="28" w:type="dxa"/>
        </w:tblCellMar>
      </w:tblPr>
      <w:tblGrid>
        <w:gridCol w:w="3286"/>
        <w:gridCol w:w="146"/>
        <w:gridCol w:w="211"/>
        <w:gridCol w:w="466"/>
        <w:gridCol w:w="271"/>
        <w:gridCol w:w="146"/>
        <w:gridCol w:w="257"/>
        <w:gridCol w:w="569"/>
        <w:gridCol w:w="271"/>
        <w:gridCol w:w="146"/>
        <w:gridCol w:w="513"/>
        <w:gridCol w:w="1137"/>
        <w:gridCol w:w="271"/>
        <w:gridCol w:w="146"/>
        <w:gridCol w:w="211"/>
        <w:gridCol w:w="376"/>
        <w:gridCol w:w="166"/>
        <w:gridCol w:w="146"/>
        <w:gridCol w:w="211"/>
        <w:gridCol w:w="571"/>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Programs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Wholesale Brokerage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 Margin</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5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Acquisition/Integration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137"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shd w:fill="CFF0FC" w:val="clear"/>
            <w:vAlign w:val="center"/>
          </w:tcPr>
          <w:p>
            <w:pPr>
              <w:pStyle w:val="TableContents"/>
              <w:bidi w:val="0"/>
              <w:spacing w:before="0" w:after="283"/>
              <w:ind w:left="0" w:right="0" w:firstLine="100"/>
              <w:jc w:val="left"/>
              <w:rPr/>
            </w:pPr>
            <w:r>
              <w:rPr/>
              <w:t> </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1Q23 Nonrecurring Cost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 Adjusted</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516"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EBITDAC Margin - Adjusted</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87"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Retail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segment provides a broad range of insurance products and services to commercial, public and quasi-public, professional and individual insured customers, and non-insurance risk-mitigating products through our F&amp;I businesses. Approximately 78% of the Retail segment’s commissions and fees revenue is commission based.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Retail segment for the three months ended March 31, 2024 and 2023 is as follows:</w:t>
      </w:r>
    </w:p>
    <w:p>
      <w:pPr>
        <w:pStyle w:val="TextBody"/>
        <w:bidi w:val="0"/>
        <w:spacing w:before="40" w:after="283"/>
        <w:jc w:val="left"/>
        <w:rPr/>
      </w:pPr>
      <w:r>
        <w:rPr/>
        <w:t> </w:t>
      </w:r>
    </w:p>
    <w:tbl>
      <w:tblPr>
        <w:tblW w:w="7247" w:type="dxa"/>
        <w:jc w:val="left"/>
        <w:tblInd w:w="0" w:type="dxa"/>
        <w:tblLayout w:type="fixed"/>
        <w:tblCellMar>
          <w:top w:w="28" w:type="dxa"/>
          <w:left w:w="28" w:type="dxa"/>
          <w:bottom w:w="28" w:type="dxa"/>
          <w:right w:w="28" w:type="dxa"/>
        </w:tblCellMar>
      </w:tblPr>
      <w:tblGrid>
        <w:gridCol w:w="3256"/>
        <w:gridCol w:w="146"/>
        <w:gridCol w:w="211"/>
        <w:gridCol w:w="571"/>
        <w:gridCol w:w="271"/>
        <w:gridCol w:w="146"/>
        <w:gridCol w:w="211"/>
        <w:gridCol w:w="571"/>
        <w:gridCol w:w="271"/>
        <w:gridCol w:w="146"/>
        <w:gridCol w:w="177"/>
        <w:gridCol w:w="694"/>
        <w:gridCol w:w="57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76" w:type="dxa"/>
            <w:tcBorders/>
            <w:shd w:fill="FFFFFF" w:val="clear"/>
            <w:vAlign w:val="center"/>
          </w:tcPr>
          <w:p>
            <w:pPr>
              <w:pStyle w:val="TableContents"/>
              <w:bidi w:val="0"/>
              <w:spacing w:before="0" w:after="283"/>
              <w:jc w:val="righ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76" w:type="dxa"/>
            <w:tcBorders/>
            <w:shd w:fill="FFFFFF" w:val="clear"/>
            <w:vAlign w:val="center"/>
          </w:tcPr>
          <w:p>
            <w:pPr>
              <w:pStyle w:val="TableContents"/>
              <w:bidi w:val="0"/>
              <w:spacing w:before="0" w:after="283"/>
              <w:jc w:val="righ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color w:val="000000"/>
              </w:rPr>
            </w:pPr>
            <w:r>
              <w:rPr>
                <w:color w:val="000000"/>
              </w:rPr>
              <w:t>—</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jc w:val="righ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7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w:t>
              <w:br/>
              <w:t>   to 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76" w:type="dxa"/>
            <w:tcBorders/>
            <w:shd w:fill="FFFFFF" w:val="clear"/>
            <w:vAlign w:val="center"/>
          </w:tcPr>
          <w:p>
            <w:pPr>
              <w:pStyle w:val="TableContents"/>
              <w:bidi w:val="0"/>
              <w:spacing w:before="0" w:after="283"/>
              <w:jc w:val="righ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6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March 31,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Retail segment’s total revenues for the three months ended March 31, 2024 increased 10.0%, or $73 million, as compared to the same period in 2023, to $806 million. The $72 million increase in core commissions and fees revenue was driven by: (i) approximately $19 million related to the core commissions and fees revenue from acquisitions that had no comparable revenues in the same period of 2023; (ii) an increase of $52 million related to net new and renewal business; (iii) an increase from the impact of Foreign Currency Translation of $4 million; and (iv) a decrease of $1 million related to commissions and fees recorded in 2023 from businesses since divested. Profit-sharing contingent commissions for the first quarter of 2024 decreased 6.7%, or $1 million, as compared to the same period in 2023, to $14 million. This decrease was primarily the result of not qualifying for certain profit-sharing contingent commissions in 2024 that we qualified for in the prior year. The Retail segment’s total commissions and fees increased by 10.0%, and the Organic Revenue growth rate was 7.2% for the first quarter of 2024. The Organic Revenue growth rate was driven by net new business written during the preceding twelve months and growth on renewals of existing customers. Renewal business was impacted by rate increases with continued increases in property and casualty, employee benefits and auto.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for the three months ended March 31, 2024 increased 11.2%, or $24 million, as compared to the same period in 2023, to $238 million. The primary factors driving this increase were: (i) a decrease in intercompany interest expense and (ii) the profit associated with the net increase in revenue as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three months ended March 31, 2024 increased 8.2%, or $22 million, as compared to the same period in 2023, to $291 million. EBITDAC Margin - Adjusted for the three months ended March 31, 2024 decreased to 36.1% from 36.7% in the same period in 2023. The decrease in EBITDAC Margin - Adjusted was driven by: (i) higher non-cash stock-based compensation; (ii) higher performance-based compensation associated with increased level of Organic Revenue growth and (iii) a decrease in profit-sharing contingent commissions which was partially offset by, (iv) the net increase in revenue as described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Programs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Programs segment manages over 60 programs supported by over 100 well-capitalized carrier partners. In most cases, the insurance carriers that support these programs have delegated underwriting and, in many instances, claims-handling authority to our programs operations. These programs are generally distributed through a nationwide network of independent agents and Brown &amp; Brown retail agents, and offer targeted products and services designed for specific industries, trade groups, professions, public entities and market niches. This segment also operates our write-your-own flood insurance carrier, WNFIC and operates two Captives. WNFIC’s underwriting business consists of policies written on behalf of and fully ceded to the NFIP, as well as excess flood policies, which are fully reinsured in the private market. The Captives provide additional underwriting capacity that enable growth in core commissions and fees, and allow us to participate in underwriting results with limited exposure to claims expenses. The Company has traditionally participated in underwriting profits through profit-sharing contingent commissions. These Captives give us another way to continue to participate in underwriting results while limiting exposure to claims expenses. The Captives focus on property insurance for earthquake and wind exposed properties underwritten by certain of our MGUs. The Captives limit the Company's exposure to claims expenses either through reinsurance or by participating in limited tranches of the underwriting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Programs segment operations can be grouped into five broad categories: Professional Programs, Personal Lines Programs, Commercial Programs, Public Entity-Related Programs and Specialty Programs. Approximately 76% of the Programs segment’s commissions and fees revenue is commission based.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Programs segment for the three months ended March 31, 2024 and 2023 is as follows:</w:t>
      </w:r>
    </w:p>
    <w:p>
      <w:pPr>
        <w:pStyle w:val="TextBody"/>
        <w:bidi w:val="0"/>
        <w:spacing w:before="40" w:after="283"/>
        <w:jc w:val="left"/>
        <w:rPr/>
      </w:pPr>
      <w:r>
        <w:rPr/>
        <w:t> </w:t>
      </w:r>
    </w:p>
    <w:tbl>
      <w:tblPr>
        <w:tblW w:w="7062" w:type="dxa"/>
        <w:jc w:val="left"/>
        <w:tblInd w:w="0" w:type="dxa"/>
        <w:tblLayout w:type="fixed"/>
        <w:tblCellMar>
          <w:top w:w="28" w:type="dxa"/>
          <w:left w:w="28" w:type="dxa"/>
          <w:bottom w:w="28" w:type="dxa"/>
          <w:right w:w="28" w:type="dxa"/>
        </w:tblCellMar>
      </w:tblPr>
      <w:tblGrid>
        <w:gridCol w:w="3256"/>
        <w:gridCol w:w="146"/>
        <w:gridCol w:w="211"/>
        <w:gridCol w:w="571"/>
        <w:gridCol w:w="271"/>
        <w:gridCol w:w="146"/>
        <w:gridCol w:w="211"/>
        <w:gridCol w:w="571"/>
        <w:gridCol w:w="271"/>
        <w:gridCol w:w="146"/>
        <w:gridCol w:w="163"/>
        <w:gridCol w:w="708"/>
        <w:gridCol w:w="3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91"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91" w:type="dxa"/>
            <w:tcBorders/>
            <w:shd w:fill="FFFFFF" w:val="clear"/>
            <w:vAlign w:val="center"/>
          </w:tcPr>
          <w:p>
            <w:pPr>
              <w:pStyle w:val="TableContents"/>
              <w:bidi w:val="0"/>
              <w:spacing w:before="0" w:after="283"/>
              <w:jc w:val="righ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w:t>
              <w:br/>
              <w:t>   to 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March 31,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spacing w:before="12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Programs segment’s total revenue for the three months ended March 31, 2024 increased 16.9%, or $43 million, as compared to the same period in 2023, to $298 million. The $20 million increased in core commissions and fees revenue was driven by: (i) approximately $20 million related to the core commissions and fees revenue from acquisitions that had no comparable revenues in the same period of 2023; (ii) approximately $26 million of new business, net renewal business, and fee revenues; and (iii) an offsetting decrease of $26 million related to commissions and fees revenue from businesses divested in the preceding twelve months. Profit-sharing contingent commissions for the first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quarter of 2024 increased approximately $18 million as compared to the first quarter of 2023. This increase was driven by improved underwriting results, an increase of $7 million resulting from the finalization of the calculation of profit-sharing contingent commissions that were estimated and accrued in 2023 and for which a similar increase is not expected to recur in the first quarter of 2025, and acquisitions completed in the past twelve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Programs segment’s total commissions and fees increased by 8.1%, and the Organic Revenue growth rate was 11.8% for the three months ended March 31, 2024. The Organic Revenue growth was driven by strong new business and good retention, which was partially offset by lower claims revenue in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three months ended March 31, 2024 increased 34.7%, or $26 million, as compared to the same period in 2023, to $101 million. Income before income taxes increased due to the drivers of EBITDAC - Adjusted described below along with an increase in depreciation, a decrease in intercompany interest expense, and an increase in estimated acquisition earn-out payables.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three months ended March 31, 2024 increased 35.5%, or $33 million, from the same period in 2023, to $126 million. EBITDAC Margin - Adjusted for the three months ended March 31, 2024 increased to 42.3% from 36.5% in the same period in 2023. EBITDAC - Adjusted grew due to higher profit-sharing contingent commissions, strong Organic Revenue growth, leveraging our expense base, and the sale of certain third-party claims administration and adjusting services businesses in the fourth quarter of 2023.</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Wholesale Brokerage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Wholesale Brokerage segment markets and sells excess and surplus commercial and personal lines insurance, primarily through independent agents and brokers, including Brown &amp; Brown retail agents. Approximately 86% of the Wholesale Brokerage segment’s commissions and fees revenue is commission based.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relating to our Wholesale Brokerage segment for the three months ended March 31, 2024 and 2023 is as follows:</w:t>
      </w:r>
    </w:p>
    <w:tbl>
      <w:tblPr>
        <w:tblW w:w="7187" w:type="dxa"/>
        <w:jc w:val="left"/>
        <w:tblInd w:w="0" w:type="dxa"/>
        <w:tblLayout w:type="fixed"/>
        <w:tblCellMar>
          <w:top w:w="28" w:type="dxa"/>
          <w:left w:w="28" w:type="dxa"/>
          <w:bottom w:w="28" w:type="dxa"/>
          <w:right w:w="28" w:type="dxa"/>
        </w:tblCellMar>
      </w:tblPr>
      <w:tblGrid>
        <w:gridCol w:w="3256"/>
        <w:gridCol w:w="146"/>
        <w:gridCol w:w="211"/>
        <w:gridCol w:w="571"/>
        <w:gridCol w:w="271"/>
        <w:gridCol w:w="146"/>
        <w:gridCol w:w="211"/>
        <w:gridCol w:w="571"/>
        <w:gridCol w:w="271"/>
        <w:gridCol w:w="146"/>
        <w:gridCol w:w="207"/>
        <w:gridCol w:w="664"/>
        <w:gridCol w:w="5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percentages)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commissions and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Profit-sharing contingent commissions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16" w:type="dxa"/>
            <w:tcBorders/>
            <w:shd w:fill="FFFFFF" w:val="clear"/>
            <w:vAlign w:val="center"/>
          </w:tcPr>
          <w:p>
            <w:pPr>
              <w:pStyle w:val="TableContents"/>
              <w:bidi w:val="0"/>
              <w:spacing w:before="0" w:after="283"/>
              <w:jc w:val="righ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(Gain)/loss on disposal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color w:val="000000"/>
              </w:rPr>
            </w:pPr>
            <w:r>
              <w:rPr>
                <w:color w:val="000000"/>
              </w:rPr>
              <w:t>—</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estimated acquisition</w:t>
              <w:br/>
              <w:t>   earn-out payables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2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Income Before Income Taxes</w:t>
              <w:br/>
              <w:t xml:space="preserve">   Margin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 Adjusted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EBITDAC Margin - Adjusted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Organic Revenue growth rate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jc w:val="righ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br/>
              <w:t>   relative to 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relative to</w:t>
              <w:br/>
              <w:t>   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jc w:val="right"/>
              <w:rPr/>
            </w:pPr>
            <w:r>
              <w:rPr/>
              <w:t> </w:t>
            </w:r>
          </w:p>
        </w:tc>
      </w:tr>
      <w:tr>
        <w:trPr/>
        <w:tc>
          <w:tcPr>
            <w:tcW w:w="3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NMF</w:t>
            </w:r>
          </w:p>
        </w:tc>
        <w:tc>
          <w:tcPr>
            <w:tcW w:w="516" w:type="dxa"/>
            <w:tcBorders/>
            <w:shd w:fill="CFF0FC" w:val="clear"/>
            <w:vAlign w:val="center"/>
          </w:tcPr>
          <w:p>
            <w:pPr>
              <w:pStyle w:val="TableContents"/>
              <w:bidi w:val="0"/>
              <w:spacing w:before="0" w:after="283"/>
              <w:jc w:val="righ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at March 31,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spacing w:before="12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"Income Before Income Taxes Margin" is defined as income before income taxes divided by total revenues.</w:t>
      </w:r>
    </w:p>
    <w:p>
      <w:pPr>
        <w:pStyle w:val="TextBody"/>
        <w:bidi w:val="0"/>
        <w:jc w:val="left"/>
        <w:rPr>
          <w:rFonts w:ascii="Times New Roman" w:hAnsi="Times New Roman"/>
          <w:color w:val="000000"/>
          <w:sz w:val="20"/>
        </w:rPr>
      </w:pPr>
      <w:r>
        <w:rPr>
          <w:rFonts w:ascii="Times New Roman" w:hAnsi="Times New Roman"/>
          <w:color w:val="000000"/>
          <w:sz w:val="20"/>
        </w:rPr>
        <w:t>(2) A non-GAAP financial measure.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NMF = Not a meaningful figure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Wholesale Brokerage segment’s total revenues for the three months ended March 31, 2024 increased 15.4%, or $19 million, as compared to the same period in 2023, to $142 million. The $16 million net increase in core commissions and fees revenue was driven primarily by: (i) $13 million related to new business and net renewal business; and (ii) $2 million related to the core commissions and fees revenue from acquisitions that had no comparable revenues in the same period of 2023 and ; (iii) an increase from the impact of Foreign Currency Translation of $1 million. Profit-sharing contingent commissions for the first quarter of 2024 increased $2 million compared to the first quarter of 2023, primarily driven by qualifying for certain profit-sharing contingent commissions in 2023 that we did not qualify for in the prior year so therefore were not accrued and, to a lesser extent, by acquired businesses in the last year. The Wholesale Brokerage segment’s growth rate for total commissions and fees was 13.4%, and the Organic Revenue growth rate was 10.8% for the first quarter of 2024. The Organic Revenue growth rate was driven by strong new business and good retention, as well as modest rate increases for most lines of coverage, except for professional liability which continued to generally see rate decreases.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before income taxes for the three months ended March 31, 2024 increased 32.3%, or $10 million, as compared to the same period in 2023, to $41 million. The increase was due to: (i) the growth of EBITDAC - Adjusted described below; and (ii) a decrease in the change in estimated acquisition earn-out payables.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EBITDAC - Adjusted for the three months ended March 31, 2024 increased 21.1%, or $8 million, as compared to the same period in 2023, to $46 million. EBITDAC Margin - Adjusted for the three months ended March 31, 2024 increased to 32.4% from 30.9%, as compared to the same period in 2023. EBITDAC Margin - Adjusted increased due to: (i) total revenue growth; (ii) leveraging our expense base; and (iii) higher profit sharing contingent commissions, but partially offset by higher non-cash stock-based compensation.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12 of the Notes to Condensed Consolidated Financial Statements, the “Other” column in the Segment Information table includes any revenue and expenses not allocated to reportable segments, and corporate-related items, including the intercompany interest expense charges to reporting segments.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seeks to maintain a conservative balance sheet and strong liquidity profile. Our capital requirements to operate as an insurance intermediary are low and we have been able to grow and invest in our business through a combination of cash that has been generated from operations, the disciplined use of debt and the issuance of equity as part of the purchase price consideration to acquire certain businesses. We have the ability to utilize our Revolving Credit Facility, which as of March 31, 2024 provided up to $600 million in additional available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contains an expansion option for up to an additional $500 million of borrowing capacity, subject to the approval of participating lenders. On March 31, 2022, the Company entered into a Loan Agreement (the “Loan Agreement”) which provided term loan capacity of $800 million. Additionally, the Company may, subject to satisfaction of certain conditions, including receipt of additional term loan commitments by new or existing lenders, increase either Term Loan Commitment under the existing Loan Agreement or the term loans issued thereunder or issue new tranches of term loans in an aggregate additional amount of up to $400 million. Including the expansion options under all existing credit agreements, the Company has access to up to $1,500 million of incremental borrowing capacity as of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we have access to additional funds, if needed, through the capital markets or private placements to obtain further debt financing under the current market conditions. The Company believes that its existing cash, cash equivalents, short-term investment portfolio and funds generated from operations, together with the funds available under the Revolving Credit Facility, will be sufficient to satisfy its normal liquidity needs, including principal payments on our long-term debt, for at least the next twelve months and in the long term.</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Contractual Cash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our contractual cash obligations were as follows:</w:t>
      </w:r>
    </w:p>
    <w:tbl>
      <w:tblPr>
        <w:tblW w:w="9876" w:type="dxa"/>
        <w:jc w:val="left"/>
        <w:tblInd w:w="0" w:type="dxa"/>
        <w:tblLayout w:type="fixed"/>
        <w:tblCellMar>
          <w:top w:w="28" w:type="dxa"/>
          <w:left w:w="28" w:type="dxa"/>
          <w:bottom w:w="28" w:type="dxa"/>
          <w:right w:w="28" w:type="dxa"/>
        </w:tblCellMar>
      </w:tblPr>
      <w:tblGrid>
        <w:gridCol w:w="4411"/>
        <w:gridCol w:w="146"/>
        <w:gridCol w:w="211"/>
        <w:gridCol w:w="571"/>
        <w:gridCol w:w="146"/>
        <w:gridCol w:w="146"/>
        <w:gridCol w:w="211"/>
        <w:gridCol w:w="571"/>
        <w:gridCol w:w="146"/>
        <w:gridCol w:w="146"/>
        <w:gridCol w:w="211"/>
        <w:gridCol w:w="571"/>
        <w:gridCol w:w="146"/>
        <w:gridCol w:w="146"/>
        <w:gridCol w:w="211"/>
        <w:gridCol w:w="421"/>
        <w:gridCol w:w="146"/>
        <w:gridCol w:w="146"/>
        <w:gridCol w:w="211"/>
        <w:gridCol w:w="571"/>
        <w:gridCol w:w="3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2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w:t>
              <w:br/>
              <w:t>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391" w:type="dxa"/>
            <w:tcBorders/>
            <w:shd w:fill="CFF0FC" w:val="cle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91" w:type="dxa"/>
            <w:tcBorders/>
            <w:shd w:fill="FFFFFF" w:val="cle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leases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CFF0FC" w:val="clear"/>
            <w:vAlign w:val="center"/>
          </w:tcPr>
          <w:p>
            <w:pPr>
              <w:pStyle w:val="TableContents"/>
              <w:bidi w:val="0"/>
              <w:spacing w:before="0" w:after="283"/>
              <w:jc w:val="left"/>
              <w:rPr/>
            </w:pPr>
            <w:r>
              <w:rPr/>
              <w:t> </w:t>
            </w:r>
          </w:p>
        </w:tc>
      </w:tr>
      <w:tr>
        <w:trPr/>
        <w:tc>
          <w:tcPr>
            <w:tcW w:w="4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391" w:type="dxa"/>
            <w:tcBorders/>
            <w:shd w:fill="FFFFFF" w:val="clear"/>
            <w:vAlign w:val="center"/>
          </w:tcPr>
          <w:p>
            <w:pPr>
              <w:pStyle w:val="TableContents"/>
              <w:bidi w:val="0"/>
              <w:spacing w:before="0" w:after="283"/>
              <w:jc w:val="left"/>
              <w:rPr/>
            </w:pPr>
            <w:r>
              <w:rPr/>
              <w:t> </w:t>
            </w:r>
          </w:p>
        </w:tc>
      </w:tr>
      <w:tr>
        <w:trPr/>
        <w:tc>
          <w:tcPr>
            <w:tcW w:w="44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Maximum future acquisition contingent payments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Total contractual cash obligations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Includes $1 million of future lease commitments expected to commence later in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Includes $203 million of current and non-current estimated acquisition earn-out payables. Earn-out payables for acquisitions not denominated in U.S. dollars are measured at the current foreign exchange rate. Three of the estimated acquisition earn-out payables assumed in connection with the acquisition of GRP included provisions with no maximum potential earn-out amount. The amount recorded for these acquisitions as of March 31, 2024 is $5 million. The Company deems a significant increase to this amount to be unlikely.</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Does not include approximately $37 million of current liability for a dividend of $0.1300 per share approved by the Board of Directors on April 22,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debt as of March 31, 2024 was $3,884 million net of unamortized discount and debt issuance costs, which was an increase of $88 million compared to December 31, 2023. The increase includes: a net drawdown on the Revolving Credit Facility of $100 million, offset by; the scheduled principal payments related to our various existing floating-rate debt term notes in total of $12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2024, the Company repaid $6 million of principal related to the Second Amended and Restated Credit Agreement term loan through quarterly scheduled principal payments. The Second Amended and Restated Credit Agreement term loan had an outstanding balance of $213 million as of March 31, 2024. The Company's next scheduled principal payment is due June 30, 2024 and is equal to $6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the Company repaid $6 million of principal related to the Term Loans issued under the Term A-2 Loan Commitment (“Term A-2 Loans”) through quarterly scheduled principal payments. The Term A-2 Loans had an outstanding balance of $450 million as of March 31, 2024. The Company’s next scheduled principal payment is due June 30, 2024 and is equal to $13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13, 2024, the Company drew down on the Revolving Credit Facility $150 million and the proceeds were used for general corporate purposes. During the three months ended March 31, 2024, the Company repaid $50 million of the outstanding balance on Revolving Credit Facility. The Revolving Credit Facility balance outstanding is $200 million as of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risk is the potential loss arising from adverse changes in market rates and prices, such as interest rates, foreign exchange rates and equity prices. We are exposed to market risk through our investments, revolving credit line, term loan agreements and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invested assets are held primarily as cash and cash equivalents, restricted cash, available-for-sale marketable debt securities, non-marketable debt securities, certificates of deposit, U.S. Treasury securities, and professionally managed short-term duration fixed income funds. These investments are subject to interest rate risk. The fair value of our invested assets at March 31, 2024 and December 31, 2023 approximated their respective carrying values due to their short-term duration and therefore, such market risk is not considered to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actively invest or trade in equity securities. In addition, we generally dispose of any significant equity securities received in conjunction with an acquisition shortly after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we had $1,162 million outstanding under the Second Amended and Restated Credit Agreement and the Loan Agreement tied to the Secured Overnight Financing Rate (“SOFR”). These agreements bear interest on a floating basis and are therefore subject to changes in the associated interest expense. The effect of an immediate hypothetical 10% change in interest rates would not have a material effect on our Condensed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international operations do not have material transactions in currencies other than their functional currency which would expose the Company to transactional currency rate risk. We are subject to translational exchange rate risk having businesses operating outside of the U.S. in the following functional currencies, British pounds, Canadian dollar, and euros. Based upon our foreign currency rate exposure as of March 31, 2024, an immediate 10% hypothetical change of foreign currency exchange rates would not have a material effect on our Condensed Consolidated Financial Statements.</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(the “Evaluation”) required by Rules 13a-15 and 15d-15 under the Securities Exchange Act of 1934, as amended (the “Exchange Act”), under the supervision and with the participation of our Chief Executive Officer (“CEO”) and Chief Financial Officer (“CFO”), of the effectiveness of our disclosure controls and procedures as defined in Rule 13a-15 and 15d-15 under the Exchange Act (“Disclosure Controls”) as of March 31, 2024. Based upon the Evaluation, our CEO and CFO concluded that the design and operation of our Disclosure Controls were effective to ensure that information required to be disclosed by us in reports that we file or submit under the Exchange Act is (i) recorded, processed, summarized and reported within the time periods specified in SEC rules and forms and (ii) accumulated and communicated to our senior management, including our CEO and CFO, to allow timely decisions regarding required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not been any change in our internal control over financial reporting identified in connection with the Evaluation that occurred during the quarter ended March 31, 2024, that has materially affected, or is reasonably likely to materially affect, our internal control over financial reporting.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Inherent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CEO and CFO, does not expect that our Disclosure Controls and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CEO and CFO Certifications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 31.1 and 31.2 are the Certifications of the CEO and the CFO, respectively. The Certifications are supplied in accordance with Section 302 of the Sarbanes-Oxley Act of 2002 (the “Section 302 Certifications”). This Item 4 of Part I of this Quarterly Report on Form 10-Q contains the information concerning the evaluation referred to in the Section 302 Certifications and this information should be read in conjunction with the Section 302 Certifications for a more complete understanding of the topics presented.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part_ii"/>
      <w:bookmarkEnd w:id="1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Item 3 of Part I of the Company’s Annual Report on Form 10-K for its fiscal year ended December 31, 2023, certain information concerning litigation claims arising in the ordinary course of business was disclosed. Such information was current as of the date of filing. During the Company’s fiscal quarter ended March 31, 2024, no new legal proceedings, or material developments with respect to existing legal proceedings, occurred which require disclosure in this Quarterly Report on Form 10-Q.</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in the risk factors previously disclosed in Item 1A, “Risk Factors” of the Company’s Annual Report on Form 10-K for the year ended December 31, 2023.</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our repurchase of shares of our common stock during the three months ended March 31,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02"/>
        <w:gridCol w:w="146"/>
        <w:gridCol w:w="171"/>
        <w:gridCol w:w="920"/>
        <w:gridCol w:w="146"/>
        <w:gridCol w:w="146"/>
        <w:gridCol w:w="305"/>
        <w:gridCol w:w="828"/>
        <w:gridCol w:w="146"/>
        <w:gridCol w:w="146"/>
        <w:gridCol w:w="418"/>
        <w:gridCol w:w="997"/>
        <w:gridCol w:w="146"/>
        <w:gridCol w:w="146"/>
        <w:gridCol w:w="647"/>
        <w:gridCol w:w="1298"/>
        <w:gridCol w:w="397"/>
      </w:tblGrid>
      <w:tr>
        <w:trPr/>
        <w:tc>
          <w:tcPr>
            <w:tcW w:w="3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2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w:t>
              <w:br/>
              <w:t>of shares</w:t>
              <w:br/>
              <w:t xml:space="preserve">purchased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br/>
              <w:t>as part 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Maximum value of shares</w:t>
              <w:br/>
              <w:t>that may yet be</w:t>
              <w:br/>
              <w:t>purchased</w:t>
              <w:br/>
              <w:t>under the plans</w:t>
              <w:br/>
              <w:t xml:space="preserve">or programs </w:t>
            </w:r>
            <w:r>
              <w:rPr>
                <w:rFonts w:ascii="Times New Roman" w:hAnsi="Times New Roman"/>
                <w:b/>
                <w:color w:val="000000"/>
                <w:sz w:val="11"/>
              </w:rPr>
              <w:t>(2)</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2024 to January 31, 2024</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7" w:type="dxa"/>
            <w:tcBorders/>
            <w:shd w:fill="CFF0FC" w:val="clear"/>
            <w:vAlign w:val="center"/>
          </w:tcPr>
          <w:p>
            <w:pPr>
              <w:pStyle w:val="TableContents"/>
              <w:bidi w:val="0"/>
              <w:spacing w:before="0" w:after="283"/>
              <w:jc w:val="left"/>
              <w:rPr/>
            </w:pPr>
            <w:r>
              <w:rPr/>
              <w:t> </w:t>
            </w:r>
          </w:p>
        </w:tc>
      </w:tr>
      <w:tr>
        <w:trPr/>
        <w:tc>
          <w:tcPr>
            <w:tcW w:w="320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2024 to February 28, 2024</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7" w:type="dxa"/>
            <w:tcBorders/>
            <w:shd w:fill="FFFFFF" w:val="clear"/>
            <w:vAlign w:val="center"/>
          </w:tcPr>
          <w:p>
            <w:pPr>
              <w:pStyle w:val="TableContents"/>
              <w:bidi w:val="0"/>
              <w:spacing w:before="0" w:after="283"/>
              <w:jc w:val="left"/>
              <w:rPr/>
            </w:pPr>
            <w:r>
              <w:rPr/>
              <w:t> </w:t>
            </w:r>
          </w:p>
        </w:tc>
      </w:tr>
      <w:tr>
        <w:trPr/>
        <w:tc>
          <w:tcPr>
            <w:tcW w:w="320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2024 to March 31, 2024</w:t>
            </w:r>
          </w:p>
        </w:tc>
        <w:tc>
          <w:tcPr>
            <w:tcW w:w="146" w:type="dxa"/>
            <w:tcBorders/>
            <w:shd w:fill="CFF0FC" w:val="cle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7"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shares reported in this column are attributable to shares withheld for taxes in connection with vesting of restricted shares awarded under our 2010 Stock Incentive Plan and 2019 Stock Incentive Plan.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 July 18, 2014, the Board of Directors authorized the repurchase of up to $200 million of the Company's shares of common stock, and on July 20, 2015, the Board of Directors authorized the repurchase of an additional $400 million of the Company's shares of common stock. On May 1, 2019, the Board of Directors approved an additional repurchase authorization amount of $373 million to bring the total available share repurchase authorization to approximately $500 million. After completing these open market repurchases, the Company’s outstanding Board approved share repurchase authorization is approximately $249 million. Between January 1, 2014 and March 31, 2024, the Company repurchased a total of approximately 20 million shares for an aggregate cost of approximately $748 million.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Dollar values stated in millions.</w:t>
      </w:r>
    </w:p>
    <w:p>
      <w:pPr>
        <w:pStyle w:val="TextBody"/>
        <w:bidi w:val="0"/>
        <w:jc w:val="left"/>
        <w:rPr/>
      </w:pPr>
      <w:r>
        <w:rPr/>
        <w:t> </w:t>
      </w:r>
    </w:p>
    <w:p>
      <w:pPr>
        <w:pStyle w:val="TextBody"/>
        <w:bidi w:val="0"/>
        <w:jc w:val="left"/>
        <w:rPr>
          <w:rFonts w:ascii="Times New Roman" w:hAnsi="Times New Roman"/>
          <w:b/>
          <w:color w:val="000000"/>
          <w:sz w:val="20"/>
        </w:rPr>
      </w:pPr>
      <w:bookmarkStart w:id="18" w:name="itme_5_other_information"/>
      <w:bookmarkEnd w:id="18"/>
      <w:r>
        <w:rPr>
          <w:rFonts w:ascii="Times New Roman" w:hAnsi="Times New Roman"/>
          <w:b/>
          <w:color w:val="000000"/>
          <w:sz w:val="20"/>
        </w:rPr>
        <w:t>ITEM 5. Other Information</w:t>
      </w:r>
    </w:p>
    <w:p>
      <w:pPr>
        <w:pStyle w:val="TextBody"/>
        <w:bidi w:val="0"/>
        <w:jc w:val="left"/>
        <w:rPr>
          <w:rFonts w:ascii="Times New Roman" w:hAnsi="Times New Roman"/>
          <w:color w:val="000000"/>
          <w:sz w:val="20"/>
        </w:rPr>
      </w:pPr>
      <w:r>
        <w:rPr>
          <w:rFonts w:ascii="Times New Roman" w:hAnsi="Times New Roman"/>
          <w:color w:val="000000"/>
          <w:sz w:val="20"/>
        </w:rPr>
        <w:t>During the first quarter of 2024, none of the Company’s officers or directors adopted or terminated any “Rule 10b5-1 trading arrangement”</w:t>
      </w:r>
    </w:p>
    <w:p>
      <w:pPr>
        <w:pStyle w:val="TextBody"/>
        <w:bidi w:val="0"/>
        <w:jc w:val="left"/>
        <w:rPr>
          <w:rFonts w:ascii="Times New Roman" w:hAnsi="Times New Roman"/>
          <w:color w:val="000000"/>
          <w:sz w:val="20"/>
        </w:rPr>
      </w:pPr>
      <w:r>
        <w:rPr>
          <w:rFonts w:ascii="Times New Roman" w:hAnsi="Times New Roman"/>
          <w:color w:val="000000"/>
          <w:sz w:val="20"/>
        </w:rPr>
        <w:t>or any “non-Rule 10b5-1 trading arrangement,” as each term is defined in Item 408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exhibits are filed as a part of this Report: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1"/>
        <w:gridCol w:w="116"/>
        <w:gridCol w:w="9458"/>
      </w:tblGrid>
      <w:tr>
        <w:trPr/>
        <w:tc>
          <w:tcPr>
            <w:tcW w:w="6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458" w:type="dxa"/>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3.1</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9458"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Articles of Incorporation of the Company (adopted January 18, 2023) (incorporated by reference to Exhibit 3.1 to Form 8-K filed on January 19, 2023).</w:t>
              </w:r>
            </w:hyperlink>
          </w:p>
        </w:tc>
      </w:tr>
      <w:tr>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3.2</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9458"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(incorporated by reference to Exhibit 3.2 to Form 8-K filed on January 19, 2023).</w:t>
              </w:r>
            </w:hyperlink>
          </w:p>
        </w:tc>
      </w:tr>
      <w:tr>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31.1</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9458" w:type="dxa"/>
            <w:tcBorders/>
            <w:vAlign w:val="center"/>
          </w:tcPr>
          <w:p>
            <w:pPr>
              <w:pStyle w:val="TableContents"/>
              <w:bidi w:val="0"/>
              <w:spacing w:before="0" w:after="283"/>
              <w:jc w:val="left"/>
              <w:rPr/>
            </w:pPr>
            <w:hyperlink w:anchor="bro-ex31_1.htm">
              <w:r>
                <w:rPr>
                  <w:rStyle w:val="InternetLink"/>
                  <w:rFonts w:ascii="Times New Roman" w:hAnsi="Times New Roman"/>
                  <w:color w:val="0000FF"/>
                  <w:sz w:val="20"/>
                  <w:u w:val="single"/>
                </w:rPr>
                <w:t>Rule 13a-14(a)/15d-14(a) Certification by the Chief Executive Officer of the Registrant.</w:t>
              </w:r>
            </w:hyperlink>
          </w:p>
        </w:tc>
      </w:tr>
      <w:tr>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31.2</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9458" w:type="dxa"/>
            <w:tcBorders/>
            <w:vAlign w:val="center"/>
          </w:tcPr>
          <w:p>
            <w:pPr>
              <w:pStyle w:val="TableContents"/>
              <w:bidi w:val="0"/>
              <w:spacing w:before="0" w:after="283"/>
              <w:jc w:val="left"/>
              <w:rPr/>
            </w:pPr>
            <w:hyperlink w:anchor="bro-ex31_2.htm">
              <w:r>
                <w:rPr>
                  <w:rStyle w:val="InternetLink"/>
                  <w:rFonts w:ascii="Times New Roman" w:hAnsi="Times New Roman"/>
                  <w:color w:val="0000FF"/>
                  <w:sz w:val="20"/>
                  <w:u w:val="single"/>
                </w:rPr>
                <w:t>Rule 13a-14(a)/15d-14(a) Certification by the Chief Financial Officer of the Registrant.</w:t>
              </w:r>
            </w:hyperlink>
          </w:p>
        </w:tc>
      </w:tr>
      <w:tr>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32.1</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9458" w:type="dxa"/>
            <w:tcBorders/>
            <w:vAlign w:val="center"/>
          </w:tcPr>
          <w:p>
            <w:pPr>
              <w:pStyle w:val="TableContents"/>
              <w:bidi w:val="0"/>
              <w:spacing w:before="0" w:after="283"/>
              <w:jc w:val="left"/>
              <w:rPr/>
            </w:pPr>
            <w:hyperlink w:anchor="bro-ex32_1.htm">
              <w:r>
                <w:rPr>
                  <w:rStyle w:val="InternetLink"/>
                  <w:rFonts w:ascii="Times New Roman" w:hAnsi="Times New Roman"/>
                  <w:color w:val="0000FF"/>
                  <w:sz w:val="20"/>
                  <w:u w:val="single"/>
                </w:rPr>
                <w:t>Section 1350 Certification by the Chief Executive Officer of the Registrant.</w:t>
              </w:r>
            </w:hyperlink>
          </w:p>
        </w:tc>
      </w:tr>
      <w:tr>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32.2</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9458" w:type="dxa"/>
            <w:tcBorders/>
            <w:vAlign w:val="center"/>
          </w:tcPr>
          <w:p>
            <w:pPr>
              <w:pStyle w:val="TableContents"/>
              <w:bidi w:val="0"/>
              <w:spacing w:before="0" w:after="283"/>
              <w:jc w:val="left"/>
              <w:rPr/>
            </w:pPr>
            <w:hyperlink w:anchor="bro-ex32_2.htm">
              <w:r>
                <w:rPr>
                  <w:rStyle w:val="InternetLink"/>
                  <w:rFonts w:ascii="Times New Roman" w:hAnsi="Times New Roman"/>
                  <w:color w:val="0000FF"/>
                  <w:sz w:val="20"/>
                  <w:u w:val="single"/>
                </w:rPr>
                <w:t>Section 1350 Certification by the Chief Financial Officer of the Registrant.</w:t>
              </w:r>
            </w:hyperlink>
          </w:p>
        </w:tc>
      </w:tr>
      <w:tr>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101</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94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financial statements from the Company’s Quarterly Report on Form 10-Q for the quarter ended March 31, 2024, formatted in inline XBRL, include: (i) Condensed Consolidated Statements of Income, (ii) Condensed Consolidated Balance Sheets, (iii) Condensed Consolidated Statements of Equity, (iv) Condensed Consolidated Statements of Cash Flows and (v) the Notes to the Condensed Consolidated Financial Statements.</w:t>
            </w:r>
          </w:p>
        </w:tc>
      </w:tr>
      <w:tr>
        <w:trPr/>
        <w:tc>
          <w:tcPr>
            <w:tcW w:w="631" w:type="dxa"/>
            <w:tcBorders/>
            <w:vAlign w:val="center"/>
          </w:tcPr>
          <w:p>
            <w:pPr>
              <w:pStyle w:val="TableContents"/>
              <w:bidi w:val="0"/>
              <w:spacing w:before="0" w:after="283"/>
              <w:jc w:val="left"/>
              <w:rPr>
                <w:sz w:val="4"/>
                <w:szCs w:val="4"/>
              </w:rPr>
            </w:pPr>
            <w:r>
              <w:rPr>
                <w:sz w:val="4"/>
                <w:szCs w:val="4"/>
              </w:rPr>
            </w:r>
          </w:p>
        </w:tc>
        <w:tc>
          <w:tcPr>
            <w:tcW w:w="9574"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ind w:left="0" w:right="0" w:firstLine="30"/>
              <w:jc w:val="left"/>
              <w:rPr>
                <w:color w:val="000000"/>
              </w:rPr>
            </w:pPr>
            <w:r>
              <w:rPr>
                <w:color w:val="000000"/>
              </w:rPr>
              <w:t>  </w:t>
            </w:r>
            <w:r>
              <w:rPr>
                <w:rFonts w:ascii="Times New Roman" w:hAnsi="Times New Roman"/>
                <w:color w:val="000000"/>
                <w:sz w:val="20"/>
              </w:rPr>
              <w:t>104</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94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 and included in Exhibit 101).</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9163" w:type="dxa"/>
        <w:jc w:val="left"/>
        <w:tblInd w:w="0" w:type="dxa"/>
        <w:tblLayout w:type="fixed"/>
        <w:tblCellMar>
          <w:top w:w="28" w:type="dxa"/>
          <w:left w:w="28" w:type="dxa"/>
          <w:bottom w:w="28" w:type="dxa"/>
          <w:right w:w="28" w:type="dxa"/>
        </w:tblCellMar>
      </w:tblPr>
      <w:tblGrid>
        <w:gridCol w:w="1786"/>
        <w:gridCol w:w="146"/>
        <w:gridCol w:w="723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31"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31"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BROWN &amp; BROWN, INC.</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31" w:type="dxa"/>
            <w:tcBorders/>
            <w:vAlign w:val="center"/>
          </w:tcPr>
          <w:p>
            <w:pPr>
              <w:pStyle w:val="TableContents"/>
              <w:bidi w:val="0"/>
              <w:spacing w:before="0" w:after="283"/>
              <w:jc w:val="left"/>
              <w:rPr/>
            </w:pPr>
            <w:r>
              <w:rPr/>
              <w:t> </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Andrew Watts</w:t>
            </w:r>
          </w:p>
        </w:tc>
      </w:tr>
      <w:tr>
        <w:trPr/>
        <w:tc>
          <w:tcPr>
            <w:tcW w:w="17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23, 2024</w:t>
            </w:r>
          </w:p>
        </w:tc>
        <w:tc>
          <w:tcPr>
            <w:tcW w:w="146" w:type="dxa"/>
            <w:tcBorders/>
            <w:vAlign w:val="center"/>
          </w:tcPr>
          <w:p>
            <w:pPr>
              <w:pStyle w:val="TableContents"/>
              <w:bidi w:val="0"/>
              <w:spacing w:before="0" w:after="283"/>
              <w:jc w:val="left"/>
              <w:rPr/>
            </w:pPr>
            <w:r>
              <w:rPr/>
              <w:t> </w:t>
            </w:r>
          </w:p>
        </w:tc>
        <w:tc>
          <w:tcPr>
            <w:tcW w:w="72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Andrew Watts</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Executive Vice President, Chief Financial Officer and Treasurer</w:t>
            </w:r>
          </w:p>
        </w:tc>
      </w:tr>
      <w:tr>
        <w:trPr/>
        <w:tc>
          <w:tcPr>
            <w:tcW w:w="17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2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(duly authorized officer, 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bookmarkStart w:id="21" w:name="bro-ex31_1.htm"/>
      <w:bookmarkStart w:id="22" w:name="ksbro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J. Powell Brown,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of Brown &amp; Brown, Inc. (the “Registrant”) on Form 10-Q for the quarter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23, 2024</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32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Powell Brown</w:t>
            </w:r>
          </w:p>
        </w:tc>
      </w:tr>
      <w:tr>
        <w:trPr/>
        <w:tc>
          <w:tcPr>
            <w:tcW w:w="325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 Powell Brown</w:t>
            </w:r>
          </w:p>
        </w:tc>
      </w:tr>
      <w:tr>
        <w:trPr/>
        <w:tc>
          <w:tcPr>
            <w:tcW w:w="3256" w:type="dxa"/>
            <w:tcBorders/>
            <w:vAlign w:val="center"/>
          </w:tcPr>
          <w:p>
            <w:pPr>
              <w:pStyle w:val="TableContents"/>
              <w:bidi w:val="0"/>
              <w:spacing w:before="0" w:after="283"/>
              <w:ind w:left="30" w:right="0" w:firstLine="3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bro-ex31_2.htm"/>
      <w:bookmarkStart w:id="24" w:name="ksbro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R. Andrew Watts,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of Brown &amp; Brown, Inc. (the “Registrant”) on Form 10-Q for the quarter ended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23, 2024</w:t>
      </w:r>
    </w:p>
    <w:p>
      <w:pPr>
        <w:pStyle w:val="TextBody"/>
        <w:bidi w:val="0"/>
        <w:jc w:val="left"/>
        <w:rPr/>
      </w:pPr>
      <w:r>
        <w:rPr/>
        <w:t> </w:t>
      </w:r>
    </w:p>
    <w:tbl>
      <w:tblPr>
        <w:tblW w:w="5296" w:type="dxa"/>
        <w:jc w:val="left"/>
        <w:tblInd w:w="0" w:type="dxa"/>
        <w:tblLayout w:type="fixed"/>
        <w:tblCellMar>
          <w:top w:w="28" w:type="dxa"/>
          <w:left w:w="28" w:type="dxa"/>
          <w:bottom w:w="28" w:type="dxa"/>
          <w:right w:w="28" w:type="dxa"/>
        </w:tblCellMar>
      </w:tblPr>
      <w:tblGrid>
        <w:gridCol w:w="5296"/>
      </w:tblGrid>
      <w:tr>
        <w:trPr/>
        <w:tc>
          <w:tcPr>
            <w:tcW w:w="5296" w:type="dxa"/>
            <w:tcBorders/>
            <w:vAlign w:val="center"/>
          </w:tcPr>
          <w:p>
            <w:pPr>
              <w:pStyle w:val="TableContents"/>
              <w:bidi w:val="0"/>
              <w:spacing w:before="0" w:after="283"/>
              <w:jc w:val="left"/>
              <w:rPr>
                <w:sz w:val="4"/>
                <w:szCs w:val="4"/>
              </w:rPr>
            </w:pPr>
            <w:r>
              <w:rPr>
                <w:sz w:val="4"/>
                <w:szCs w:val="4"/>
              </w:rPr>
            </w:r>
          </w:p>
        </w:tc>
      </w:tr>
      <w:tr>
        <w:trPr/>
        <w:tc>
          <w:tcPr>
            <w:tcW w:w="52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Andrew Watts</w:t>
            </w:r>
          </w:p>
        </w:tc>
      </w:tr>
      <w:tr>
        <w:trPr/>
        <w:tc>
          <w:tcPr>
            <w:tcW w:w="52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Andrew Watts</w:t>
            </w:r>
          </w:p>
        </w:tc>
      </w:tr>
      <w:tr>
        <w:trPr/>
        <w:tc>
          <w:tcPr>
            <w:tcW w:w="52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bro-ex32_1.htm"/>
      <w:bookmarkStart w:id="26" w:name="ksbro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1350 of Title 18 of the United States Code,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Brown &amp; Brown, Inc. (the “Company”) on Form 10-Q for the quarter ended March 31, 2024, as filed with the Securities and Exchange Commission on the date hereof (the “Form 10-Q”), I, J. Powell Brown, Chief Executive Officer of the Company, hereby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Form 10-Q fully complies with the requirements of Section 13(a) or 15(d) of the Securities Exchange Act of 1934 (15 U.S.C. § 78m or §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Form 10-Q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April 23, 2024</w:t>
      </w:r>
    </w:p>
    <w:p>
      <w:pPr>
        <w:pStyle w:val="TextBody"/>
        <w:bidi w:val="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283"/>
              <w:jc w:val="left"/>
              <w:rPr>
                <w:sz w:val="4"/>
                <w:szCs w:val="4"/>
              </w:rPr>
            </w:pPr>
            <w:r>
              <w:rPr>
                <w:sz w:val="4"/>
                <w:szCs w:val="4"/>
              </w:rPr>
            </w:r>
          </w:p>
        </w:tc>
      </w:tr>
      <w:tr>
        <w:trPr/>
        <w:tc>
          <w:tcPr>
            <w:tcW w:w="3256" w:type="dxa"/>
            <w:tcBorders/>
            <w:vAlign w:val="center"/>
          </w:tcPr>
          <w:p>
            <w:pPr>
              <w:pStyle w:val="TableContents"/>
              <w:bidi w:val="0"/>
              <w:spacing w:before="0" w:after="283"/>
              <w:jc w:val="left"/>
              <w:rPr/>
            </w:pPr>
            <w:r>
              <w:rPr/>
              <w:t> </w:t>
            </w:r>
          </w:p>
        </w:tc>
      </w:tr>
      <w:tr>
        <w:trPr/>
        <w:tc>
          <w:tcPr>
            <w:tcW w:w="3256" w:type="dxa"/>
            <w:tcBorders/>
            <w:vAlign w:val="center"/>
          </w:tcPr>
          <w:p>
            <w:pPr>
              <w:pStyle w:val="TableContents"/>
              <w:bidi w:val="0"/>
              <w:spacing w:before="0" w:after="283"/>
              <w:ind w:left="0" w:right="0" w:firstLine="30"/>
              <w:jc w:val="left"/>
              <w:rPr/>
            </w:pPr>
            <w:r>
              <w:rPr/>
              <w:t> </w:t>
            </w:r>
          </w:p>
        </w:tc>
      </w:tr>
      <w:tr>
        <w:trPr/>
        <w:tc>
          <w:tcPr>
            <w:tcW w:w="32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32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Powell Brown</w:t>
            </w:r>
          </w:p>
        </w:tc>
      </w:tr>
      <w:tr>
        <w:trPr/>
        <w:tc>
          <w:tcPr>
            <w:tcW w:w="325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 Powell Brown</w:t>
            </w:r>
          </w:p>
        </w:tc>
      </w:tr>
      <w:tr>
        <w:trPr/>
        <w:tc>
          <w:tcPr>
            <w:tcW w:w="3256" w:type="dxa"/>
            <w:tcBorders/>
            <w:vAlign w:val="center"/>
          </w:tcPr>
          <w:p>
            <w:pPr>
              <w:pStyle w:val="TableContents"/>
              <w:bidi w:val="0"/>
              <w:spacing w:before="0" w:after="283"/>
              <w:ind w:left="30" w:right="0" w:firstLine="30"/>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bro-ex32_2.htm"/>
      <w:bookmarkStart w:id="28" w:name="ksbro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1350 of Title 18 of the United States Code, as Adopted</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Brown &amp; Brown, Inc. (the “Company”) on Form 10-Q for the quarter ended March 31, 2024, as filed with the Securities and Exchange Commission on the date hereof (the “Form 10-Q”), I, R. Andrew Watts, Chief Financial Officer of the Company, hereby certify,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Form 10-Q fully complies with the requirements of Section 13(a) or 15(d) of the Securities Exchange Act of 1934 (15 U.S.C. § 78m or § 78o(d));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Form 10-Q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April 23, 2024</w:t>
      </w:r>
    </w:p>
    <w:p>
      <w:pPr>
        <w:pStyle w:val="TextBody"/>
        <w:bidi w:val="0"/>
        <w:jc w:val="left"/>
        <w:rPr/>
      </w:pPr>
      <w:r>
        <w:rPr/>
        <w:t> </w:t>
      </w:r>
    </w:p>
    <w:tbl>
      <w:tblPr>
        <w:tblW w:w="5326" w:type="dxa"/>
        <w:jc w:val="left"/>
        <w:tblInd w:w="0" w:type="dxa"/>
        <w:tblLayout w:type="fixed"/>
        <w:tblCellMar>
          <w:top w:w="28" w:type="dxa"/>
          <w:left w:w="28" w:type="dxa"/>
          <w:bottom w:w="28" w:type="dxa"/>
          <w:right w:w="28" w:type="dxa"/>
        </w:tblCellMar>
      </w:tblPr>
      <w:tblGrid>
        <w:gridCol w:w="5326"/>
      </w:tblGrid>
      <w:tr>
        <w:trPr/>
        <w:tc>
          <w:tcPr>
            <w:tcW w:w="5326" w:type="dxa"/>
            <w:tcBorders/>
            <w:vAlign w:val="center"/>
          </w:tcPr>
          <w:p>
            <w:pPr>
              <w:pStyle w:val="TableContents"/>
              <w:bidi w:val="0"/>
              <w:spacing w:before="0" w:after="283"/>
              <w:jc w:val="left"/>
              <w:rPr>
                <w:sz w:val="4"/>
                <w:szCs w:val="4"/>
              </w:rPr>
            </w:pPr>
            <w:r>
              <w:rPr>
                <w:sz w:val="4"/>
                <w:szCs w:val="4"/>
              </w:rPr>
            </w:r>
          </w:p>
        </w:tc>
      </w:tr>
      <w:tr>
        <w:trPr/>
        <w:tc>
          <w:tcPr>
            <w:tcW w:w="5326" w:type="dxa"/>
            <w:tcBorders/>
            <w:vAlign w:val="center"/>
          </w:tcPr>
          <w:p>
            <w:pPr>
              <w:pStyle w:val="TableContents"/>
              <w:bidi w:val="0"/>
              <w:spacing w:before="0" w:after="283"/>
              <w:jc w:val="left"/>
              <w:rPr/>
            </w:pPr>
            <w:r>
              <w:rPr/>
              <w:t> </w:t>
            </w:r>
          </w:p>
        </w:tc>
      </w:tr>
      <w:tr>
        <w:trPr/>
        <w:tc>
          <w:tcPr>
            <w:tcW w:w="5326" w:type="dxa"/>
            <w:tcBorders/>
            <w:vAlign w:val="center"/>
          </w:tcPr>
          <w:p>
            <w:pPr>
              <w:pStyle w:val="TableContents"/>
              <w:bidi w:val="0"/>
              <w:spacing w:before="0" w:after="283"/>
              <w:ind w:left="0" w:right="0" w:firstLine="30"/>
              <w:jc w:val="left"/>
              <w:rPr/>
            </w:pPr>
            <w:r>
              <w:rPr/>
              <w:t> </w:t>
            </w:r>
          </w:p>
        </w:tc>
      </w:tr>
      <w:tr>
        <w:trPr/>
        <w:tc>
          <w:tcPr>
            <w:tcW w:w="532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532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R. Andrew Watts</w:t>
            </w:r>
          </w:p>
        </w:tc>
      </w:tr>
      <w:tr>
        <w:trPr/>
        <w:tc>
          <w:tcPr>
            <w:tcW w:w="5326" w:type="dxa"/>
            <w:tcBorders/>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R. Andrew Watts</w:t>
            </w:r>
          </w:p>
        </w:tc>
      </w:tr>
      <w:tr>
        <w:trPr/>
        <w:tc>
          <w:tcPr>
            <w:tcW w:w="5326" w:type="dxa"/>
            <w:tcBorders/>
            <w:vAlign w:val="center"/>
          </w:tcPr>
          <w:p>
            <w:pPr>
              <w:pStyle w:val="TableContents"/>
              <w:bidi w:val="0"/>
              <w:spacing w:before="0" w:after="283"/>
              <w:ind w:left="30" w:right="0" w:firstLine="30"/>
              <w:jc w:val="left"/>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9282/000095017023000930/bro-ex3_1.htm" TargetMode="External"/><Relationship Id="rId4" Type="http://schemas.openxmlformats.org/officeDocument/2006/relationships/hyperlink" Target="https://www.sec.gov/Archives/edgar/data/79282/000095017023000930/bro-ex3_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21250</Words>
  <Characters>113866</Characters>
  <CharactersWithSpaces>136558</CharactersWithSpaces>
  <Paragraphs>7674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