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BOONE SAM R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 S RIDGEWOOD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BROWN &amp; BROWN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Regional Executive VP</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DAYTONA</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4"/>
              </w:rPr>
              <w:t>FL</w:t>
            </w:r>
          </w:p>
        </w:tc>
        <w:tc>
          <w:tcPr>
            <w:tcW w:w="10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32114</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5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04/24/2012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83,685</w:t>
            </w:r>
          </w:p>
        </w:tc>
        <w:tc>
          <w:tcPr>
            <w:tcW w:w="92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9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rPr>
              <w:t>Common Stock, $.10 par value - SIP</w:t>
            </w: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50,127</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9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rPr>
              <w:t>Common Stock, $.10 par value - PSP</w:t>
            </w: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104,187</w:t>
            </w:r>
          </w:p>
        </w:tc>
        <w:tc>
          <w:tcPr>
            <w:tcW w:w="92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3,320</w:t>
            </w:r>
          </w:p>
        </w:tc>
        <w:tc>
          <w:tcPr>
            <w:tcW w:w="92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5,827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Spouse</w:t>
            </w:r>
            <w:r>
              <w:rPr>
                <w:rFonts w:ascii="Arial" w:cs="Arial" w:eastAsia="Arial" w:hAnsi="Arial"/>
                <w:sz w:val="22"/>
                <w:szCs w:val="22"/>
                <w:color w:val="008000"/>
                <w:w w:val="91"/>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total of 394 of these shares were acquired through the Company's Employee Stock Purchase Plan in August 2011. Number of shares may reflect reinvested dividends.</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were granted pursuant to the Company's 2010 Stock Incentive Plan ("SIP"). Full ownership will not vest until the satisfaction of performance-based conditions established in connection with this grant.</w:t>
      </w:r>
    </w:p>
    <w:p>
      <w:pPr>
        <w:spacing w:after="0" w:line="30"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were granted at various dates pursuant to the Company's Performance Stock Plan. Based on the satisfaction of certain performance-based conditions contained in that Plan, the recipient may have voting rights and dividend entitlements with respect to a portion of these shares, but full ownership will not vest until the satisfaction of additional conditions.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jointly with spouse.</w:t>
      </w:r>
    </w:p>
    <w:p>
      <w:pPr>
        <w:spacing w:after="0" w:line="41" w:lineRule="exact"/>
        <w:rPr>
          <w:rFonts w:ascii="Arial" w:cs="Arial" w:eastAsia="Arial" w:hAnsi="Arial"/>
          <w:sz w:val="14"/>
          <w:szCs w:val="14"/>
          <w:color w:val="008000"/>
        </w:rPr>
      </w:pPr>
    </w:p>
    <w:p>
      <w:pPr>
        <w:ind w:left="40" w:right="3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spouse is employed by a subsidiary of the Company. The Reporting Person's spouse's remaining shares consist of 5,827 shares owned directly, of which 236 shares were acquired through the Company's Employee Stock Purchase Plan in August 2011. Reporting Person disclaims beneficial ownership in shares owned by Reporting Person's spouse</w:t>
      </w:r>
    </w:p>
    <w:tbl>
      <w:tblPr>
        <w:tblLayout w:type="fixed"/>
        <w:tblInd w:w="6860" w:type="dxa"/>
        <w:tblCellMar>
          <w:top w:w="0" w:type="dxa"/>
          <w:left w:w="0" w:type="dxa"/>
          <w:bottom w:w="0" w:type="dxa"/>
          <w:right w:w="0" w:type="dxa"/>
        </w:tblCellMar>
      </w:tblPr>
      <w:tr>
        <w:trPr>
          <w:trHeight w:val="199"/>
        </w:trPr>
        <w:tc>
          <w:tcPr>
            <w:tcW w:w="1560" w:type="dxa"/>
            <w:vAlign w:val="bottom"/>
          </w:tcPr>
          <w:p>
            <w:pPr>
              <w:spacing w:after="0" w:line="199" w:lineRule="exact"/>
              <w:rPr>
                <w:sz w:val="20"/>
                <w:szCs w:val="20"/>
                <w:color w:val="auto"/>
              </w:rPr>
            </w:pPr>
            <w:r>
              <w:rPr>
                <w:rFonts w:ascii="Arial" w:cs="Arial" w:eastAsia="Arial" w:hAnsi="Arial"/>
                <w:sz w:val="18"/>
                <w:szCs w:val="18"/>
                <w:color w:val="0000FF"/>
                <w:w w:val="91"/>
              </w:rPr>
              <w:t>SAM R. BOONE, JR.</w:t>
            </w:r>
          </w:p>
        </w:tc>
        <w:tc>
          <w:tcPr>
            <w:tcW w:w="5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04/26/2012</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4168" TargetMode="External"/><Relationship Id="rId13"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2019-12-16T02:19:54Z</dcterms:created>
  <dcterms:modified xsi:type="dcterms:W3CDTF">2019-12-16T02:19:54Z</dcterms:modified>
</cp:coreProperties>
</file>