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22, 2024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2"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57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001-13619</w:t>
            </w:r>
          </w:p>
        </w:tc>
        <w:tc>
          <w:tcPr>
            <w:tcW w:w="1480" w:type="dxa"/>
            <w:vAlign w:val="bottom"/>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w w:val="98"/>
              </w:rPr>
              <w:t>59-0864469</w:t>
            </w:r>
          </w:p>
        </w:tc>
      </w:tr>
      <w:tr>
        <w:trPr>
          <w:trHeight w:val="151"/>
        </w:trPr>
        <w:tc>
          <w:tcPr>
            <w:tcW w:w="1860" w:type="dxa"/>
            <w:vAlign w:val="bottom"/>
          </w:tcPr>
          <w:p>
            <w:pPr>
              <w:jc w:val="center"/>
              <w:ind w:right="14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ind w:right="19"/>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6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1860" w:type="dxa"/>
            <w:vAlign w:val="bottom"/>
          </w:tcPr>
          <w:p>
            <w:pPr>
              <w:spacing w:after="0"/>
              <w:rPr>
                <w:sz w:val="24"/>
                <w:szCs w:val="24"/>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300 North Beach Street, Daytona Beach, Florida 32114</w:t>
            </w:r>
          </w:p>
        </w:tc>
        <w:tc>
          <w:tcPr>
            <w:tcW w:w="1480" w:type="dxa"/>
            <w:vAlign w:val="bottom"/>
          </w:tcPr>
          <w:p>
            <w:pPr>
              <w:spacing w:after="0"/>
              <w:rPr>
                <w:sz w:val="24"/>
                <w:szCs w:val="24"/>
                <w:color w:val="auto"/>
              </w:rPr>
            </w:pPr>
          </w:p>
        </w:tc>
      </w:tr>
      <w:tr>
        <w:trPr>
          <w:trHeight w:val="190"/>
        </w:trPr>
        <w:tc>
          <w:tcPr>
            <w:tcW w:w="1860" w:type="dxa"/>
            <w:vAlign w:val="bottom"/>
          </w:tcPr>
          <w:p>
            <w:pPr>
              <w:spacing w:after="0"/>
              <w:rPr>
                <w:sz w:val="16"/>
                <w:szCs w:val="16"/>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415"/>
        </w:trPr>
        <w:tc>
          <w:tcPr>
            <w:tcW w:w="1860" w:type="dxa"/>
            <w:vAlign w:val="bottom"/>
          </w:tcPr>
          <w:p>
            <w:pPr>
              <w:spacing w:after="0"/>
              <w:rPr>
                <w:sz w:val="24"/>
                <w:szCs w:val="24"/>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(386) 252-9601</w:t>
            </w:r>
          </w:p>
        </w:tc>
        <w:tc>
          <w:tcPr>
            <w:tcW w:w="1480" w:type="dxa"/>
            <w:vAlign w:val="bottom"/>
          </w:tcPr>
          <w:p>
            <w:pPr>
              <w:spacing w:after="0"/>
              <w:rPr>
                <w:sz w:val="24"/>
                <w:szCs w:val="24"/>
                <w:color w:val="auto"/>
              </w:rPr>
            </w:pPr>
          </w:p>
        </w:tc>
      </w:tr>
      <w:tr>
        <w:trPr>
          <w:trHeight w:val="407"/>
        </w:trPr>
        <w:tc>
          <w:tcPr>
            <w:tcW w:w="1860" w:type="dxa"/>
            <w:vAlign w:val="bottom"/>
          </w:tcPr>
          <w:p>
            <w:pPr>
              <w:spacing w:after="0"/>
              <w:rPr>
                <w:sz w:val="24"/>
                <w:szCs w:val="24"/>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480" w:type="dxa"/>
            <w:vAlign w:val="bottom"/>
          </w:tcPr>
          <w:p>
            <w:pPr>
              <w:spacing w:after="0"/>
              <w:rPr>
                <w:sz w:val="24"/>
                <w:szCs w:val="24"/>
                <w:color w:val="auto"/>
              </w:rPr>
            </w:pPr>
          </w:p>
        </w:tc>
      </w:tr>
      <w:tr>
        <w:trPr>
          <w:trHeight w:val="190"/>
        </w:trPr>
        <w:tc>
          <w:tcPr>
            <w:tcW w:w="1860" w:type="dxa"/>
            <w:vAlign w:val="bottom"/>
          </w:tcPr>
          <w:p>
            <w:pPr>
              <w:spacing w:after="0"/>
              <w:rPr>
                <w:sz w:val="16"/>
                <w:szCs w:val="16"/>
                <w:color w:val="auto"/>
              </w:rPr>
            </w:pPr>
          </w:p>
        </w:tc>
        <w:tc>
          <w:tcPr>
            <w:tcW w:w="5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18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39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560" w:right="2700" w:hanging="3455"/>
        <w:spacing w:after="0" w:line="533" w:lineRule="auto"/>
        <w:tabs>
          <w:tab w:leader="none" w:pos="50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6"/>
        </w:trPr>
        <w:tc>
          <w:tcPr>
            <w:tcW w:w="4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April 22, 2024, Brown &amp; Brown, Inc. issued a press release announcing its results of operations for the first quarter ended March 31, 2024. A copy of the press release is furnished as Exhibit 99.1 hereto and is incorporated herein by reference.</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information furnished herewith pursuant to Item 2.02 of this Current Report, including Exhibit 99.1, shall not be deemed to be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except as shall be expressly set forth by specific reference in such filing.</w:t>
      </w:r>
    </w:p>
    <w:p>
      <w:pPr>
        <w:spacing w:after="0" w:line="31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8"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9"/>
              </w:rPr>
              <w:t>Press Release dated April 22, 2024.</w:t>
            </w:r>
          </w:p>
        </w:tc>
        <w:tc>
          <w:tcPr>
            <w:tcW w:w="7560" w:type="dxa"/>
            <w:vAlign w:val="bottom"/>
          </w:tcPr>
          <w:p>
            <w:pPr>
              <w:spacing w:after="0"/>
              <w:rPr>
                <w:sz w:val="24"/>
                <w:szCs w:val="24"/>
                <w:color w:val="auto"/>
              </w:rPr>
            </w:pPr>
          </w:p>
        </w:tc>
      </w:tr>
      <w:tr>
        <w:trPr>
          <w:trHeight w:val="53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68"/>
        </w:trPr>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 Andrew Watts, Executive Vice President, Chief Financial Officer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41"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81915</wp:posOffset>
            </wp:positionV>
            <wp:extent cx="345440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44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340" w:right="1820"/>
        <w:spacing w:after="0" w:line="262" w:lineRule="auto"/>
        <w:rPr>
          <w:sz w:val="20"/>
          <w:szCs w:val="20"/>
          <w:color w:val="auto"/>
        </w:rPr>
      </w:pPr>
      <w:r>
        <w:rPr>
          <w:rFonts w:ascii="Times New Roman" w:cs="Times New Roman" w:eastAsia="Times New Roman" w:hAnsi="Times New Roman"/>
          <w:sz w:val="18"/>
          <w:szCs w:val="18"/>
          <w:b w:val="1"/>
          <w:bCs w:val="1"/>
          <w:color w:val="auto"/>
        </w:rPr>
        <w:t>Brown &amp; Brown, Inc. announces first quarter 2024 results, including total revenues of $1,258 million, an increase of 12.7%; Organic Revenue growth of 8.6%; diluted net income per share of $1.02; Diluted Net Income Per Share - Adjusted of $1.14; and a quarterly dividend of $0.13 per share</w:t>
      </w:r>
    </w:p>
    <w:p>
      <w:pPr>
        <w:spacing w:after="0" w:line="3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DAYTONA BEACH, Fla., April 22, 2024 - </w:t>
      </w:r>
      <w:r>
        <w:rPr>
          <w:rFonts w:ascii="Times New Roman" w:cs="Times New Roman" w:eastAsia="Times New Roman" w:hAnsi="Times New Roman"/>
          <w:sz w:val="18"/>
          <w:szCs w:val="18"/>
          <w:color w:val="auto"/>
        </w:rPr>
        <w:t>Brown &amp; Brown, Inc. (NYSE:BRO) (the "Company") announced its unaudited financial results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for the first quarter of 2024 under U.S. generally accepted accounting principles ("GAAP") were $1,258 million, increasing $142 million, or 12.7%, compared to the first quarter of the prior year, with commissions and fees increasing by 11.6% and Organic Revenue increasing by 8.6%. Income before income taxes was $364 million, increasing 23.8% from the first quarter of the prior year with Income Before Income Taxes Margin increasing to 28.9% from 26.3%. EBITDAC - Adjusted was $466 million, increasing 17.1% compared to the first quarter of the prior year with EBITDAC Margin - Adjusted increasing to 37.0% from 35.7%. Net income was $293 million, increasing $57 million, or 24.2%, and diluted net income per share increased to $1.02, or by 22.9%, with Diluted Net Income Per Share - Adjusted increasing to $1.14, or by 18.8%, each as compared to the first quarter of the prior year.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 Powell Brown, President and Chief Executive Officer of the Company, noted, “Our teammates delivered strong organic revenue growth and margin expansion in the first quarter of 2024. We are very pleased with the start of the year.”</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the Company today announced that the Board of Directors has declared a regular quarterly cash dividend of $0.13 per share. The dividend is payable on May 15, 2024, to shareholders of record on May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Reconciliation of Commissions and Fees</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to Organic Revenue</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(in millions,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Borders>
              <w:bottom w:val="single" w:sz="8" w:color="95B3D7"/>
            </w:tcBorders>
            <w:shd w:val="clear" w:color="auto" w:fill="95B3D7"/>
          </w:tcPr>
          <w:p>
            <w:pPr>
              <w:spacing w:after="0"/>
              <w:rPr>
                <w:sz w:val="15"/>
                <w:szCs w:val="15"/>
                <w:color w:val="auto"/>
              </w:rPr>
            </w:pPr>
          </w:p>
        </w:tc>
        <w:tc>
          <w:tcPr>
            <w:tcW w:w="180" w:type="dxa"/>
            <w:vAlign w:val="bottom"/>
            <w:tcBorders>
              <w:bottom w:val="single" w:sz="8" w:color="95B3D7"/>
            </w:tcBorders>
            <w:shd w:val="clear" w:color="auto" w:fill="95B3D7"/>
          </w:tcPr>
          <w:p>
            <w:pPr>
              <w:spacing w:after="0"/>
              <w:rPr>
                <w:sz w:val="15"/>
                <w:szCs w:val="15"/>
                <w:color w:val="auto"/>
              </w:rPr>
            </w:pPr>
          </w:p>
        </w:tc>
        <w:tc>
          <w:tcPr>
            <w:tcW w:w="2960" w:type="dxa"/>
            <w:vAlign w:val="bottom"/>
            <w:tcBorders>
              <w:bottom w:val="single" w:sz="8" w:color="auto"/>
            </w:tcBorders>
            <w:gridSpan w:val="4"/>
            <w:shd w:val="clear" w:color="auto" w:fill="95B3D7"/>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shd w:val="clear" w:color="auto" w:fill="95B3D7"/>
          </w:tcPr>
          <w:p>
            <w:pPr>
              <w:spacing w:after="0"/>
              <w:rPr>
                <w:sz w:val="15"/>
                <w:szCs w:val="15"/>
                <w:color w:val="auto"/>
              </w:rPr>
            </w:pPr>
          </w:p>
        </w:tc>
        <w:tc>
          <w:tcPr>
            <w:tcW w:w="100" w:type="dxa"/>
            <w:vAlign w:val="bottom"/>
            <w:tcBorders>
              <w:bottom w:val="single" w:sz="8" w:color="95B3D7"/>
            </w:tcBorders>
            <w:shd w:val="clear" w:color="auto" w:fill="95B3D7"/>
          </w:tcPr>
          <w:p>
            <w:pPr>
              <w:spacing w:after="0"/>
              <w:rPr>
                <w:sz w:val="15"/>
                <w:szCs w:val="15"/>
                <w:color w:val="auto"/>
              </w:rPr>
            </w:pPr>
          </w:p>
        </w:tc>
      </w:tr>
      <w:tr>
        <w:trPr>
          <w:trHeight w:val="169"/>
        </w:trPr>
        <w:tc>
          <w:tcPr>
            <w:tcW w:w="7480" w:type="dxa"/>
            <w:vAlign w:val="bottom"/>
            <w:tcBorders>
              <w:bottom w:val="single" w:sz="8" w:color="95B3D7"/>
            </w:tcBorders>
            <w:shd w:val="clear" w:color="auto" w:fill="95B3D7"/>
          </w:tcPr>
          <w:p>
            <w:pPr>
              <w:spacing w:after="0"/>
              <w:rPr>
                <w:sz w:val="14"/>
                <w:szCs w:val="14"/>
                <w:color w:val="auto"/>
              </w:rPr>
            </w:pPr>
          </w:p>
        </w:tc>
        <w:tc>
          <w:tcPr>
            <w:tcW w:w="180" w:type="dxa"/>
            <w:vAlign w:val="bottom"/>
            <w:tcBorders>
              <w:bottom w:val="single" w:sz="8" w:color="95B3D7"/>
            </w:tcBorders>
            <w:shd w:val="clear" w:color="auto" w:fill="95B3D7"/>
          </w:tcPr>
          <w:p>
            <w:pPr>
              <w:spacing w:after="0"/>
              <w:rPr>
                <w:sz w:val="14"/>
                <w:szCs w:val="14"/>
                <w:color w:val="auto"/>
              </w:rPr>
            </w:pPr>
          </w:p>
        </w:tc>
        <w:tc>
          <w:tcPr>
            <w:tcW w:w="1020" w:type="dxa"/>
            <w:vAlign w:val="bottom"/>
            <w:tcBorders>
              <w:bottom w:val="single" w:sz="8" w:color="auto"/>
            </w:tcBorders>
            <w:shd w:val="clear" w:color="auto" w:fill="95B3D7"/>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shd w:val="clear" w:color="auto" w:fill="95B3D7"/>
          </w:tcPr>
          <w:p>
            <w:pPr>
              <w:spacing w:after="0"/>
              <w:rPr>
                <w:sz w:val="14"/>
                <w:szCs w:val="14"/>
                <w:color w:val="auto"/>
              </w:rPr>
            </w:pPr>
          </w:p>
        </w:tc>
        <w:tc>
          <w:tcPr>
            <w:tcW w:w="380" w:type="dxa"/>
            <w:vAlign w:val="bottom"/>
            <w:tcBorders>
              <w:bottom w:val="single" w:sz="8" w:color="95B3D7"/>
            </w:tcBorders>
            <w:shd w:val="clear" w:color="auto" w:fill="95B3D7"/>
          </w:tcPr>
          <w:p>
            <w:pPr>
              <w:spacing w:after="0"/>
              <w:rPr>
                <w:sz w:val="14"/>
                <w:szCs w:val="14"/>
                <w:color w:val="auto"/>
              </w:rPr>
            </w:pPr>
          </w:p>
        </w:tc>
        <w:tc>
          <w:tcPr>
            <w:tcW w:w="1020" w:type="dxa"/>
            <w:vAlign w:val="bottom"/>
            <w:tcBorders>
              <w:bottom w:val="single" w:sz="8" w:color="auto"/>
            </w:tcBorders>
            <w:shd w:val="clear" w:color="auto" w:fill="95B3D7"/>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shd w:val="clear" w:color="auto" w:fill="95B3D7"/>
          </w:tcPr>
          <w:p>
            <w:pPr>
              <w:spacing w:after="0"/>
              <w:rPr>
                <w:sz w:val="14"/>
                <w:szCs w:val="14"/>
                <w:color w:val="auto"/>
              </w:rPr>
            </w:pPr>
          </w:p>
        </w:tc>
        <w:tc>
          <w:tcPr>
            <w:tcW w:w="100" w:type="dxa"/>
            <w:vAlign w:val="bottom"/>
            <w:tcBorders>
              <w:bottom w:val="single" w:sz="8" w:color="95B3D7"/>
            </w:tcBorders>
            <w:shd w:val="clear" w:color="auto" w:fill="95B3D7"/>
          </w:tcPr>
          <w:p>
            <w:pPr>
              <w:spacing w:after="0"/>
              <w:rPr>
                <w:sz w:val="14"/>
                <w:szCs w:val="14"/>
                <w:color w:val="auto"/>
              </w:rPr>
            </w:pPr>
          </w:p>
        </w:tc>
      </w:tr>
      <w:tr>
        <w:trPr>
          <w:trHeight w:val="234"/>
        </w:trPr>
        <w:tc>
          <w:tcPr>
            <w:tcW w:w="7480" w:type="dxa"/>
            <w:vAlign w:val="bottom"/>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Commissions and fees</w:t>
            </w:r>
          </w:p>
        </w:tc>
        <w:tc>
          <w:tcPr>
            <w:tcW w:w="1200" w:type="dxa"/>
            <w:vAlign w:val="bottom"/>
            <w:gridSpan w:val="2"/>
            <w:shd w:val="clear" w:color="auto" w:fill="E9EDF4"/>
          </w:tcPr>
          <w:p>
            <w:pPr>
              <w:jc w:val="right"/>
              <w:ind w:right="837"/>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1,237</w:t>
            </w:r>
          </w:p>
        </w:tc>
        <w:tc>
          <w:tcPr>
            <w:tcW w:w="380" w:type="dxa"/>
            <w:vAlign w:val="bottom"/>
            <w:shd w:val="clear" w:color="auto" w:fill="E9EDF4"/>
          </w:tcPr>
          <w:p>
            <w:pPr>
              <w:spacing w:after="0"/>
              <w:rPr>
                <w:sz w:val="20"/>
                <w:szCs w:val="20"/>
                <w:color w:val="auto"/>
              </w:rPr>
            </w:pPr>
          </w:p>
        </w:tc>
        <w:tc>
          <w:tcPr>
            <w:tcW w:w="1020" w:type="dxa"/>
            <w:vAlign w:val="bottom"/>
            <w:shd w:val="clear" w:color="auto" w:fill="E9EDF4"/>
          </w:tcPr>
          <w:p>
            <w:pPr>
              <w:jc w:val="right"/>
              <w:ind w:right="8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1,108</w:t>
            </w:r>
          </w:p>
        </w:tc>
        <w:tc>
          <w:tcPr>
            <w:tcW w:w="100" w:type="dxa"/>
            <w:vAlign w:val="bottom"/>
            <w:shd w:val="clear" w:color="auto" w:fill="E9EDF4"/>
          </w:tcPr>
          <w:p>
            <w:pPr>
              <w:spacing w:after="0"/>
              <w:rPr>
                <w:sz w:val="20"/>
                <w:szCs w:val="20"/>
                <w:color w:val="auto"/>
              </w:rPr>
            </w:pPr>
          </w:p>
        </w:tc>
      </w:tr>
      <w:tr>
        <w:trPr>
          <w:trHeight w:val="241"/>
        </w:trPr>
        <w:tc>
          <w:tcPr>
            <w:tcW w:w="7480" w:type="dxa"/>
            <w:vAlign w:val="bottom"/>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180" w:type="dxa"/>
            <w:vAlign w:val="bottom"/>
            <w:shd w:val="clear" w:color="auto" w:fill="D0D8E8"/>
          </w:tcPr>
          <w:p>
            <w:pPr>
              <w:spacing w:after="0"/>
              <w:rPr>
                <w:sz w:val="20"/>
                <w:szCs w:val="20"/>
                <w:color w:val="auto"/>
              </w:rPr>
            </w:pPr>
          </w:p>
        </w:tc>
        <w:tc>
          <w:tcPr>
            <w:tcW w:w="1020" w:type="dxa"/>
            <w:vAlign w:val="bottom"/>
            <w:shd w:val="clear" w:color="auto" w:fill="D0D8E8"/>
          </w:tcPr>
          <w:p>
            <w:pPr>
              <w:spacing w:after="0"/>
              <w:rPr>
                <w:sz w:val="20"/>
                <w:szCs w:val="20"/>
                <w:color w:val="auto"/>
              </w:rPr>
            </w:pPr>
          </w:p>
        </w:tc>
        <w:tc>
          <w:tcPr>
            <w:tcW w:w="920" w:type="dxa"/>
            <w:vAlign w:val="bottom"/>
            <w:gridSpan w:val="2"/>
            <w:shd w:val="clear" w:color="auto" w:fill="D0D8E8"/>
          </w:tcPr>
          <w:p>
            <w:pPr>
              <w:jc w:val="right"/>
              <w:ind w:right="320"/>
              <w:spacing w:after="0"/>
              <w:rPr>
                <w:sz w:val="20"/>
                <w:szCs w:val="20"/>
                <w:color w:val="auto"/>
              </w:rPr>
            </w:pPr>
            <w:r>
              <w:rPr>
                <w:rFonts w:ascii="Times New Roman" w:cs="Times New Roman" w:eastAsia="Times New Roman" w:hAnsi="Times New Roman"/>
                <w:sz w:val="18"/>
                <w:szCs w:val="18"/>
                <w:color w:val="auto"/>
              </w:rPr>
              <w:t>(46 )</w:t>
            </w:r>
          </w:p>
        </w:tc>
        <w:tc>
          <w:tcPr>
            <w:tcW w:w="1020" w:type="dxa"/>
            <w:vAlign w:val="bottom"/>
            <w:shd w:val="clear" w:color="auto" w:fill="D0D8E8"/>
          </w:tcPr>
          <w:p>
            <w:pPr>
              <w:spacing w:after="0"/>
              <w:rPr>
                <w:sz w:val="20"/>
                <w:szCs w:val="20"/>
                <w:color w:val="auto"/>
              </w:rPr>
            </w:pPr>
          </w:p>
        </w:tc>
        <w:tc>
          <w:tcPr>
            <w:tcW w:w="620" w:type="dxa"/>
            <w:vAlign w:val="bottom"/>
            <w:gridSpan w:val="2"/>
            <w:shd w:val="clear" w:color="auto" w:fill="D0D8E8"/>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r>
      <w:tr>
        <w:trPr>
          <w:trHeight w:val="238"/>
        </w:trPr>
        <w:tc>
          <w:tcPr>
            <w:tcW w:w="7480" w:type="dxa"/>
            <w:vAlign w:val="bottom"/>
            <w:tcBorders>
              <w:top w:val="single" w:sz="8" w:color="D0D8E8"/>
            </w:tcBorders>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Core commissions and fees</w:t>
            </w:r>
          </w:p>
        </w:tc>
        <w:tc>
          <w:tcPr>
            <w:tcW w:w="180" w:type="dxa"/>
            <w:vAlign w:val="bottom"/>
            <w:tcBorders>
              <w:top w:val="single" w:sz="8" w:color="D0D8E8"/>
            </w:tcBorders>
            <w:shd w:val="clear" w:color="auto" w:fill="E9EDF4"/>
          </w:tcPr>
          <w:p>
            <w:pPr>
              <w:spacing w:after="0"/>
              <w:rPr>
                <w:sz w:val="20"/>
                <w:szCs w:val="20"/>
                <w:color w:val="auto"/>
              </w:rPr>
            </w:pPr>
          </w:p>
        </w:tc>
        <w:tc>
          <w:tcPr>
            <w:tcW w:w="1020" w:type="dxa"/>
            <w:vAlign w:val="bottom"/>
            <w:tcBorders>
              <w:top w:val="single" w:sz="8" w:color="auto"/>
            </w:tcBorders>
            <w:shd w:val="clear" w:color="auto" w:fill="E9EDF4"/>
          </w:tcPr>
          <w:p>
            <w:pPr>
              <w:jc w:val="right"/>
              <w:ind w:right="8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1,191</w:t>
            </w:r>
          </w:p>
        </w:tc>
        <w:tc>
          <w:tcPr>
            <w:tcW w:w="380" w:type="dxa"/>
            <w:vAlign w:val="bottom"/>
            <w:tcBorders>
              <w:top w:val="single" w:sz="8" w:color="D0D8E8"/>
            </w:tcBorders>
            <w:shd w:val="clear" w:color="auto" w:fill="E9EDF4"/>
          </w:tcPr>
          <w:p>
            <w:pPr>
              <w:spacing w:after="0"/>
              <w:rPr>
                <w:sz w:val="20"/>
                <w:szCs w:val="20"/>
                <w:color w:val="auto"/>
              </w:rPr>
            </w:pPr>
          </w:p>
        </w:tc>
        <w:tc>
          <w:tcPr>
            <w:tcW w:w="1020" w:type="dxa"/>
            <w:vAlign w:val="bottom"/>
            <w:tcBorders>
              <w:top w:val="single" w:sz="8" w:color="auto"/>
            </w:tcBorders>
            <w:shd w:val="clear" w:color="auto" w:fill="E9EDF4"/>
          </w:tcPr>
          <w:p>
            <w:pPr>
              <w:jc w:val="right"/>
              <w:ind w:right="8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0" w:type="dxa"/>
            <w:vAlign w:val="bottom"/>
            <w:tcBorders>
              <w:top w:val="single" w:sz="8" w:color="D0D8E8"/>
            </w:tcBorders>
            <w:shd w:val="clear" w:color="auto" w:fill="E9EDF4"/>
          </w:tcPr>
          <w:p>
            <w:pPr>
              <w:spacing w:after="0"/>
              <w:rPr>
                <w:sz w:val="20"/>
                <w:szCs w:val="20"/>
                <w:color w:val="auto"/>
              </w:rPr>
            </w:pPr>
          </w:p>
        </w:tc>
      </w:tr>
      <w:tr>
        <w:trPr>
          <w:trHeight w:val="245"/>
        </w:trPr>
        <w:tc>
          <w:tcPr>
            <w:tcW w:w="7480" w:type="dxa"/>
            <w:vAlign w:val="bottom"/>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D0D8E8"/>
          </w:tcPr>
          <w:p>
            <w:pPr>
              <w:spacing w:after="0"/>
              <w:rPr>
                <w:sz w:val="21"/>
                <w:szCs w:val="21"/>
                <w:color w:val="auto"/>
              </w:rPr>
            </w:pPr>
          </w:p>
        </w:tc>
        <w:tc>
          <w:tcPr>
            <w:tcW w:w="1020" w:type="dxa"/>
            <w:vAlign w:val="bottom"/>
            <w:shd w:val="clear" w:color="auto" w:fill="D0D8E8"/>
          </w:tcPr>
          <w:p>
            <w:pPr>
              <w:spacing w:after="0"/>
              <w:rPr>
                <w:sz w:val="21"/>
                <w:szCs w:val="21"/>
                <w:color w:val="auto"/>
              </w:rPr>
            </w:pPr>
          </w:p>
        </w:tc>
        <w:tc>
          <w:tcPr>
            <w:tcW w:w="920" w:type="dxa"/>
            <w:vAlign w:val="bottom"/>
            <w:gridSpan w:val="2"/>
            <w:shd w:val="clear" w:color="auto" w:fill="D0D8E8"/>
          </w:tcPr>
          <w:p>
            <w:pPr>
              <w:jc w:val="right"/>
              <w:ind w:right="320"/>
              <w:spacing w:after="0"/>
              <w:rPr>
                <w:sz w:val="20"/>
                <w:szCs w:val="20"/>
                <w:color w:val="auto"/>
              </w:rPr>
            </w:pPr>
            <w:r>
              <w:rPr>
                <w:rFonts w:ascii="Times New Roman" w:cs="Times New Roman" w:eastAsia="Times New Roman" w:hAnsi="Times New Roman"/>
                <w:sz w:val="18"/>
                <w:szCs w:val="18"/>
                <w:color w:val="auto"/>
              </w:rPr>
              <w:t>(41 )</w:t>
            </w:r>
          </w:p>
        </w:tc>
        <w:tc>
          <w:tcPr>
            <w:tcW w:w="1020" w:type="dxa"/>
            <w:vAlign w:val="bottom"/>
            <w:shd w:val="clear" w:color="auto" w:fill="D0D8E8"/>
          </w:tcPr>
          <w:p>
            <w:pPr>
              <w:spacing w:after="0"/>
              <w:rPr>
                <w:sz w:val="21"/>
                <w:szCs w:val="21"/>
                <w:color w:val="auto"/>
              </w:rPr>
            </w:pPr>
          </w:p>
        </w:tc>
        <w:tc>
          <w:tcPr>
            <w:tcW w:w="520" w:type="dxa"/>
            <w:vAlign w:val="bottom"/>
            <w:shd w:val="clear" w:color="auto" w:fill="D0D8E8"/>
          </w:tcPr>
          <w:p>
            <w:pPr>
              <w:spacing w:after="0"/>
              <w:rPr>
                <w:sz w:val="21"/>
                <w:szCs w:val="21"/>
                <w:color w:val="auto"/>
              </w:rPr>
            </w:pPr>
          </w:p>
        </w:tc>
        <w:tc>
          <w:tcPr>
            <w:tcW w:w="100" w:type="dxa"/>
            <w:vAlign w:val="bottom"/>
            <w:shd w:val="clear" w:color="auto" w:fill="D0D8E8"/>
          </w:tcPr>
          <w:p>
            <w:pPr>
              <w:spacing w:after="0"/>
              <w:rPr>
                <w:sz w:val="21"/>
                <w:szCs w:val="21"/>
                <w:color w:val="auto"/>
              </w:rPr>
            </w:pPr>
          </w:p>
        </w:tc>
      </w:tr>
      <w:tr>
        <w:trPr>
          <w:trHeight w:val="239"/>
        </w:trPr>
        <w:tc>
          <w:tcPr>
            <w:tcW w:w="7480" w:type="dxa"/>
            <w:vAlign w:val="bottom"/>
            <w:shd w:val="clear" w:color="auto" w:fill="E9EDF4"/>
          </w:tcPr>
          <w:p>
            <w:pPr>
              <w:ind w:left="200"/>
              <w:spacing w:after="0"/>
              <w:rPr>
                <w:sz w:val="20"/>
                <w:szCs w:val="20"/>
                <w:color w:val="auto"/>
              </w:rPr>
            </w:pPr>
            <w:r>
              <w:rPr>
                <w:rFonts w:ascii="Times New Roman" w:cs="Times New Roman" w:eastAsia="Times New Roman" w:hAnsi="Times New Roman"/>
                <w:sz w:val="18"/>
                <w:szCs w:val="18"/>
                <w:color w:val="auto"/>
              </w:rPr>
              <w:t>Dispositions</w:t>
            </w:r>
          </w:p>
        </w:tc>
        <w:tc>
          <w:tcPr>
            <w:tcW w:w="180" w:type="dxa"/>
            <w:vAlign w:val="bottom"/>
            <w:shd w:val="clear" w:color="auto" w:fill="E9EDF4"/>
          </w:tcPr>
          <w:p>
            <w:pPr>
              <w:spacing w:after="0"/>
              <w:rPr>
                <w:sz w:val="20"/>
                <w:szCs w:val="20"/>
                <w:color w:val="auto"/>
              </w:rPr>
            </w:pPr>
          </w:p>
        </w:tc>
        <w:tc>
          <w:tcPr>
            <w:tcW w:w="1020" w:type="dxa"/>
            <w:vAlign w:val="bottom"/>
            <w:shd w:val="clear" w:color="auto" w:fill="E9EDF4"/>
          </w:tcPr>
          <w:p>
            <w:pPr>
              <w:spacing w:after="0"/>
              <w:rPr>
                <w:sz w:val="20"/>
                <w:szCs w:val="20"/>
                <w:color w:val="auto"/>
              </w:rPr>
            </w:pPr>
          </w:p>
        </w:tc>
        <w:tc>
          <w:tcPr>
            <w:tcW w:w="540" w:type="dxa"/>
            <w:vAlign w:val="bottom"/>
            <w:shd w:val="clear" w:color="auto" w:fill="E9EDF4"/>
          </w:tcPr>
          <w:p>
            <w:pPr>
              <w:spacing w:after="0"/>
              <w:rPr>
                <w:sz w:val="20"/>
                <w:szCs w:val="20"/>
                <w:color w:val="auto"/>
              </w:rPr>
            </w:pPr>
          </w:p>
        </w:tc>
        <w:tc>
          <w:tcPr>
            <w:tcW w:w="380" w:type="dxa"/>
            <w:vAlign w:val="bottom"/>
            <w:shd w:val="clear" w:color="auto" w:fill="E9EDF4"/>
          </w:tcPr>
          <w:p>
            <w:pPr>
              <w:spacing w:after="0"/>
              <w:rPr>
                <w:sz w:val="20"/>
                <w:szCs w:val="20"/>
                <w:color w:val="auto"/>
              </w:rPr>
            </w:pPr>
          </w:p>
        </w:tc>
        <w:tc>
          <w:tcPr>
            <w:tcW w:w="1020" w:type="dxa"/>
            <w:vAlign w:val="bottom"/>
            <w:shd w:val="clear" w:color="auto" w:fill="E9EDF4"/>
          </w:tcPr>
          <w:p>
            <w:pPr>
              <w:spacing w:after="0"/>
              <w:rPr>
                <w:sz w:val="20"/>
                <w:szCs w:val="20"/>
                <w:color w:val="auto"/>
              </w:rPr>
            </w:pPr>
          </w:p>
        </w:tc>
        <w:tc>
          <w:tcPr>
            <w:tcW w:w="620" w:type="dxa"/>
            <w:vAlign w:val="bottom"/>
            <w:gridSpan w:val="2"/>
            <w:shd w:val="clear" w:color="auto" w:fill="E9EDF4"/>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r>
      <w:tr>
        <w:trPr>
          <w:trHeight w:val="243"/>
        </w:trPr>
        <w:tc>
          <w:tcPr>
            <w:tcW w:w="7480" w:type="dxa"/>
            <w:vAlign w:val="bottom"/>
            <w:tcBorders>
              <w:bottom w:val="single" w:sz="8" w:color="D0D8E8"/>
            </w:tcBorders>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D0D8E8"/>
            </w:tcBorders>
            <w:shd w:val="clear" w:color="auto" w:fill="D0D8E8"/>
          </w:tcPr>
          <w:p>
            <w:pPr>
              <w:spacing w:after="0"/>
              <w:rPr>
                <w:sz w:val="21"/>
                <w:szCs w:val="21"/>
                <w:color w:val="auto"/>
              </w:rPr>
            </w:pPr>
          </w:p>
        </w:tc>
        <w:tc>
          <w:tcPr>
            <w:tcW w:w="1020" w:type="dxa"/>
            <w:vAlign w:val="bottom"/>
            <w:tcBorders>
              <w:bottom w:val="single" w:sz="8" w:color="auto"/>
            </w:tcBorders>
            <w:shd w:val="clear" w:color="auto" w:fill="D0D8E8"/>
          </w:tcPr>
          <w:p>
            <w:pPr>
              <w:spacing w:after="0"/>
              <w:rPr>
                <w:sz w:val="21"/>
                <w:szCs w:val="21"/>
                <w:color w:val="auto"/>
              </w:rPr>
            </w:pPr>
          </w:p>
        </w:tc>
        <w:tc>
          <w:tcPr>
            <w:tcW w:w="540" w:type="dxa"/>
            <w:vAlign w:val="bottom"/>
            <w:tcBorders>
              <w:bottom w:val="single" w:sz="8" w:color="auto"/>
            </w:tcBorders>
            <w:shd w:val="clear" w:color="auto" w:fill="D0D8E8"/>
          </w:tcPr>
          <w:p>
            <w:pPr>
              <w:spacing w:after="0"/>
              <w:rPr>
                <w:sz w:val="21"/>
                <w:szCs w:val="21"/>
                <w:color w:val="auto"/>
              </w:rPr>
            </w:pPr>
          </w:p>
        </w:tc>
        <w:tc>
          <w:tcPr>
            <w:tcW w:w="380" w:type="dxa"/>
            <w:vAlign w:val="bottom"/>
            <w:tcBorders>
              <w:bottom w:val="single" w:sz="8" w:color="D0D8E8"/>
            </w:tcBorders>
            <w:shd w:val="clear" w:color="auto" w:fill="D0D8E8"/>
          </w:tcPr>
          <w:p>
            <w:pPr>
              <w:spacing w:after="0"/>
              <w:rPr>
                <w:sz w:val="21"/>
                <w:szCs w:val="21"/>
                <w:color w:val="auto"/>
              </w:rPr>
            </w:pPr>
          </w:p>
        </w:tc>
        <w:tc>
          <w:tcPr>
            <w:tcW w:w="1020" w:type="dxa"/>
            <w:vAlign w:val="bottom"/>
            <w:tcBorders>
              <w:bottom w:val="single" w:sz="8" w:color="auto"/>
            </w:tcBorders>
            <w:shd w:val="clear" w:color="auto" w:fill="D0D8E8"/>
          </w:tcPr>
          <w:p>
            <w:pPr>
              <w:spacing w:after="0"/>
              <w:rPr>
                <w:sz w:val="21"/>
                <w:szCs w:val="21"/>
                <w:color w:val="auto"/>
              </w:rPr>
            </w:pPr>
          </w:p>
        </w:tc>
        <w:tc>
          <w:tcPr>
            <w:tcW w:w="52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D0D8E8"/>
            </w:tcBorders>
            <w:shd w:val="clear" w:color="auto" w:fill="D0D8E8"/>
          </w:tcPr>
          <w:p>
            <w:pPr>
              <w:spacing w:after="0"/>
              <w:rPr>
                <w:sz w:val="21"/>
                <w:szCs w:val="21"/>
                <w:color w:val="auto"/>
              </w:rPr>
            </w:pPr>
          </w:p>
        </w:tc>
      </w:tr>
      <w:tr>
        <w:trPr>
          <w:trHeight w:val="241"/>
        </w:trPr>
        <w:tc>
          <w:tcPr>
            <w:tcW w:w="7480" w:type="dxa"/>
            <w:vAlign w:val="bottom"/>
            <w:tcBorders>
              <w:bottom w:val="single" w:sz="8" w:color="E9EDF4"/>
            </w:tcBorders>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Organic Revenue</w:t>
            </w:r>
          </w:p>
        </w:tc>
        <w:tc>
          <w:tcPr>
            <w:tcW w:w="180" w:type="dxa"/>
            <w:vAlign w:val="bottom"/>
            <w:tcBorders>
              <w:bottom w:val="single" w:sz="8" w:color="E9EDF4"/>
            </w:tcBorders>
            <w:shd w:val="clear" w:color="auto" w:fill="E9EDF4"/>
          </w:tcPr>
          <w:p>
            <w:pPr>
              <w:spacing w:after="0"/>
              <w:rPr>
                <w:sz w:val="20"/>
                <w:szCs w:val="20"/>
                <w:color w:val="auto"/>
              </w:rPr>
            </w:pPr>
          </w:p>
        </w:tc>
        <w:tc>
          <w:tcPr>
            <w:tcW w:w="1020" w:type="dxa"/>
            <w:vAlign w:val="bottom"/>
            <w:tcBorders>
              <w:bottom w:val="single" w:sz="8" w:color="auto"/>
            </w:tcBorders>
            <w:shd w:val="clear" w:color="auto" w:fill="E9EDF4"/>
          </w:tcPr>
          <w:p>
            <w:pPr>
              <w:jc w:val="right"/>
              <w:ind w:right="8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380" w:type="dxa"/>
            <w:vAlign w:val="bottom"/>
            <w:tcBorders>
              <w:bottom w:val="single" w:sz="8" w:color="E9EDF4"/>
            </w:tcBorders>
            <w:shd w:val="clear" w:color="auto" w:fill="E9EDF4"/>
          </w:tcPr>
          <w:p>
            <w:pPr>
              <w:spacing w:after="0"/>
              <w:rPr>
                <w:sz w:val="20"/>
                <w:szCs w:val="20"/>
                <w:color w:val="auto"/>
              </w:rPr>
            </w:pPr>
          </w:p>
        </w:tc>
        <w:tc>
          <w:tcPr>
            <w:tcW w:w="1020" w:type="dxa"/>
            <w:vAlign w:val="bottom"/>
            <w:tcBorders>
              <w:bottom w:val="single" w:sz="8" w:color="E9EDF4"/>
            </w:tcBorders>
            <w:shd w:val="clear" w:color="auto" w:fill="E9EDF4"/>
          </w:tcPr>
          <w:p>
            <w:pPr>
              <w:jc w:val="right"/>
              <w:ind w:right="8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E9EDF4"/>
            </w:tcBorders>
            <w:shd w:val="clear" w:color="auto" w:fill="E9EDF4"/>
          </w:tcPr>
          <w:p>
            <w:pPr>
              <w:jc w:val="right"/>
              <w:spacing w:after="0"/>
              <w:rPr>
                <w:sz w:val="20"/>
                <w:szCs w:val="20"/>
                <w:color w:val="auto"/>
              </w:rPr>
            </w:pPr>
            <w:r>
              <w:rPr>
                <w:rFonts w:ascii="Times New Roman" w:cs="Times New Roman" w:eastAsia="Times New Roman" w:hAnsi="Times New Roman"/>
                <w:sz w:val="18"/>
                <w:szCs w:val="18"/>
                <w:b w:val="1"/>
                <w:bCs w:val="1"/>
                <w:color w:val="auto"/>
              </w:rPr>
              <w:t>1,059</w:t>
            </w:r>
          </w:p>
        </w:tc>
        <w:tc>
          <w:tcPr>
            <w:tcW w:w="100" w:type="dxa"/>
            <w:vAlign w:val="bottom"/>
            <w:tcBorders>
              <w:bottom w:val="single" w:sz="8" w:color="E9EDF4"/>
            </w:tcBorders>
            <w:shd w:val="clear" w:color="auto" w:fill="E9EDF4"/>
          </w:tcPr>
          <w:p>
            <w:pPr>
              <w:spacing w:after="0"/>
              <w:rPr>
                <w:sz w:val="20"/>
                <w:szCs w:val="20"/>
                <w:color w:val="auto"/>
              </w:rPr>
            </w:pPr>
          </w:p>
        </w:tc>
      </w:tr>
      <w:tr>
        <w:trPr>
          <w:trHeight w:val="234"/>
        </w:trPr>
        <w:tc>
          <w:tcPr>
            <w:tcW w:w="7480" w:type="dxa"/>
            <w:vAlign w:val="bottom"/>
            <w:tcBorders>
              <w:bottom w:val="single" w:sz="8" w:color="D0D8E8"/>
            </w:tcBorders>
            <w:shd w:val="clear" w:color="auto" w:fill="D0D8E8"/>
          </w:tcPr>
          <w:p>
            <w:pPr>
              <w:ind w:left="20"/>
              <w:spacing w:after="0"/>
              <w:rPr>
                <w:sz w:val="20"/>
                <w:szCs w:val="20"/>
                <w:color w:val="auto"/>
              </w:rPr>
            </w:pPr>
            <w:r>
              <w:rPr>
                <w:rFonts w:ascii="Times New Roman" w:cs="Times New Roman" w:eastAsia="Times New Roman" w:hAnsi="Times New Roman"/>
                <w:sz w:val="18"/>
                <w:szCs w:val="18"/>
                <w:b w:val="1"/>
                <w:bCs w:val="1"/>
                <w:color w:val="auto"/>
              </w:rPr>
              <w:t>Organic Revenue growth</w:t>
            </w:r>
          </w:p>
        </w:tc>
        <w:tc>
          <w:tcPr>
            <w:tcW w:w="180" w:type="dxa"/>
            <w:vAlign w:val="bottom"/>
            <w:tcBorders>
              <w:bottom w:val="single" w:sz="8" w:color="D0D8E8"/>
            </w:tcBorders>
            <w:shd w:val="clear" w:color="auto" w:fill="D0D8E8"/>
          </w:tcPr>
          <w:p>
            <w:pPr>
              <w:spacing w:after="0"/>
              <w:rPr>
                <w:sz w:val="20"/>
                <w:szCs w:val="20"/>
                <w:color w:val="auto"/>
              </w:rPr>
            </w:pPr>
          </w:p>
        </w:tc>
        <w:tc>
          <w:tcPr>
            <w:tcW w:w="1020" w:type="dxa"/>
            <w:vAlign w:val="bottom"/>
            <w:tcBorders>
              <w:bottom w:val="single" w:sz="8" w:color="auto"/>
            </w:tcBorders>
            <w:shd w:val="clear" w:color="auto" w:fill="D0D8E8"/>
          </w:tcPr>
          <w:p>
            <w:pPr>
              <w:jc w:val="right"/>
              <w:ind w:right="8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380" w:type="dxa"/>
            <w:vAlign w:val="bottom"/>
            <w:tcBorders>
              <w:bottom w:val="single" w:sz="8" w:color="D0D8E8"/>
            </w:tcBorders>
            <w:shd w:val="clear" w:color="auto" w:fill="D0D8E8"/>
          </w:tcPr>
          <w:p>
            <w:pPr>
              <w:spacing w:after="0"/>
              <w:rPr>
                <w:sz w:val="20"/>
                <w:szCs w:val="20"/>
                <w:color w:val="auto"/>
              </w:rPr>
            </w:pPr>
          </w:p>
        </w:tc>
        <w:tc>
          <w:tcPr>
            <w:tcW w:w="1020" w:type="dxa"/>
            <w:vAlign w:val="bottom"/>
            <w:tcBorders>
              <w:bottom w:val="single" w:sz="8" w:color="D0D8E8"/>
            </w:tcBorders>
            <w:shd w:val="clear" w:color="auto" w:fill="D0D8E8"/>
          </w:tcPr>
          <w:p>
            <w:pPr>
              <w:spacing w:after="0"/>
              <w:rPr>
                <w:sz w:val="20"/>
                <w:szCs w:val="20"/>
                <w:color w:val="auto"/>
              </w:rPr>
            </w:pPr>
          </w:p>
        </w:tc>
        <w:tc>
          <w:tcPr>
            <w:tcW w:w="520" w:type="dxa"/>
            <w:vAlign w:val="bottom"/>
            <w:tcBorders>
              <w:bottom w:val="single" w:sz="8" w:color="D0D8E8"/>
            </w:tcBorders>
            <w:shd w:val="clear" w:color="auto" w:fill="D0D8E8"/>
          </w:tcPr>
          <w:p>
            <w:pPr>
              <w:spacing w:after="0"/>
              <w:rPr>
                <w:sz w:val="20"/>
                <w:szCs w:val="20"/>
                <w:color w:val="auto"/>
              </w:rPr>
            </w:pPr>
          </w:p>
        </w:tc>
        <w:tc>
          <w:tcPr>
            <w:tcW w:w="100" w:type="dxa"/>
            <w:vAlign w:val="bottom"/>
            <w:tcBorders>
              <w:bottom w:val="single" w:sz="8" w:color="D0D8E8"/>
            </w:tcBorders>
            <w:shd w:val="clear" w:color="auto" w:fill="D0D8E8"/>
          </w:tcPr>
          <w:p>
            <w:pPr>
              <w:spacing w:after="0"/>
              <w:rPr>
                <w:sz w:val="20"/>
                <w:szCs w:val="20"/>
                <w:color w:val="auto"/>
              </w:rPr>
            </w:pPr>
          </w:p>
        </w:tc>
      </w:tr>
      <w:tr>
        <w:trPr>
          <w:trHeight w:val="239"/>
        </w:trPr>
        <w:tc>
          <w:tcPr>
            <w:tcW w:w="7480" w:type="dxa"/>
            <w:vAlign w:val="bottom"/>
            <w:shd w:val="clear" w:color="auto" w:fill="E9EDF4"/>
          </w:tcPr>
          <w:p>
            <w:pPr>
              <w:ind w:left="20"/>
              <w:spacing w:after="0"/>
              <w:rPr>
                <w:sz w:val="20"/>
                <w:szCs w:val="20"/>
                <w:color w:val="auto"/>
              </w:rPr>
            </w:pPr>
            <w:r>
              <w:rPr>
                <w:rFonts w:ascii="Times New Roman" w:cs="Times New Roman" w:eastAsia="Times New Roman" w:hAnsi="Times New Roman"/>
                <w:sz w:val="18"/>
                <w:szCs w:val="18"/>
                <w:b w:val="1"/>
                <w:bCs w:val="1"/>
                <w:color w:val="auto"/>
              </w:rPr>
              <w:t>Organic Revenue growth %</w:t>
            </w:r>
          </w:p>
        </w:tc>
        <w:tc>
          <w:tcPr>
            <w:tcW w:w="180" w:type="dxa"/>
            <w:vAlign w:val="bottom"/>
            <w:shd w:val="clear" w:color="auto" w:fill="E9EDF4"/>
          </w:tcPr>
          <w:p>
            <w:pPr>
              <w:spacing w:after="0"/>
              <w:rPr>
                <w:sz w:val="20"/>
                <w:szCs w:val="20"/>
                <w:color w:val="auto"/>
              </w:rPr>
            </w:pPr>
          </w:p>
        </w:tc>
        <w:tc>
          <w:tcPr>
            <w:tcW w:w="1020" w:type="dxa"/>
            <w:vAlign w:val="bottom"/>
            <w:shd w:val="clear" w:color="auto" w:fill="E9EDF4"/>
          </w:tcPr>
          <w:p>
            <w:pPr>
              <w:spacing w:after="0"/>
              <w:rPr>
                <w:sz w:val="20"/>
                <w:szCs w:val="20"/>
                <w:color w:val="auto"/>
              </w:rPr>
            </w:pPr>
          </w:p>
        </w:tc>
        <w:tc>
          <w:tcPr>
            <w:tcW w:w="920" w:type="dxa"/>
            <w:vAlign w:val="bottom"/>
            <w:gridSpan w:val="2"/>
            <w:shd w:val="clear" w:color="auto" w:fill="E9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8.6 %</w:t>
            </w:r>
          </w:p>
        </w:tc>
        <w:tc>
          <w:tcPr>
            <w:tcW w:w="1020" w:type="dxa"/>
            <w:vAlign w:val="bottom"/>
            <w:shd w:val="clear" w:color="auto" w:fill="E9EDF4"/>
          </w:tcPr>
          <w:p>
            <w:pPr>
              <w:spacing w:after="0"/>
              <w:rPr>
                <w:sz w:val="20"/>
                <w:szCs w:val="20"/>
                <w:color w:val="auto"/>
              </w:rPr>
            </w:pPr>
          </w:p>
        </w:tc>
        <w:tc>
          <w:tcPr>
            <w:tcW w:w="520" w:type="dxa"/>
            <w:vAlign w:val="bottom"/>
            <w:shd w:val="clear" w:color="auto" w:fill="E9EDF4"/>
          </w:tcPr>
          <w:p>
            <w:pPr>
              <w:spacing w:after="0"/>
              <w:rPr>
                <w:sz w:val="20"/>
                <w:szCs w:val="20"/>
                <w:color w:val="auto"/>
              </w:rPr>
            </w:pPr>
          </w:p>
        </w:tc>
        <w:tc>
          <w:tcPr>
            <w:tcW w:w="100" w:type="dxa"/>
            <w:vAlign w:val="bottom"/>
            <w:shd w:val="clear" w:color="auto" w:fill="E9EDF4"/>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-1430655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-1113790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-487680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-325120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-161925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3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Reconciliation of Diluted Net Income Per Share to</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Diluted Net Income Per Share - Adjusted</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Borders>
              <w:bottom w:val="single" w:sz="8" w:color="95B3D7"/>
            </w:tcBorders>
            <w:shd w:val="clear" w:color="auto" w:fill="95B3D7"/>
          </w:tcPr>
          <w:p>
            <w:pPr>
              <w:spacing w:after="0"/>
              <w:rPr>
                <w:sz w:val="15"/>
                <w:szCs w:val="15"/>
                <w:color w:val="auto"/>
              </w:rPr>
            </w:pPr>
          </w:p>
        </w:tc>
        <w:tc>
          <w:tcPr>
            <w:tcW w:w="160" w:type="dxa"/>
            <w:vAlign w:val="bottom"/>
            <w:tcBorders>
              <w:bottom w:val="single" w:sz="8" w:color="95B3D7"/>
            </w:tcBorders>
            <w:shd w:val="clear" w:color="auto" w:fill="95B3D7"/>
          </w:tcPr>
          <w:p>
            <w:pPr>
              <w:spacing w:after="0"/>
              <w:rPr>
                <w:sz w:val="15"/>
                <w:szCs w:val="15"/>
                <w:color w:val="auto"/>
              </w:rPr>
            </w:pPr>
          </w:p>
        </w:tc>
        <w:tc>
          <w:tcPr>
            <w:tcW w:w="2520" w:type="dxa"/>
            <w:vAlign w:val="bottom"/>
            <w:tcBorders>
              <w:bottom w:val="single" w:sz="8" w:color="auto"/>
            </w:tcBorders>
            <w:gridSpan w:val="4"/>
            <w:shd w:val="clear" w:color="auto" w:fill="95B3D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shd w:val="clear" w:color="auto" w:fill="95B3D7"/>
          </w:tcPr>
          <w:p>
            <w:pPr>
              <w:spacing w:after="0"/>
              <w:rPr>
                <w:sz w:val="15"/>
                <w:szCs w:val="15"/>
                <w:color w:val="auto"/>
              </w:rPr>
            </w:pPr>
          </w:p>
        </w:tc>
        <w:tc>
          <w:tcPr>
            <w:tcW w:w="140" w:type="dxa"/>
            <w:vAlign w:val="bottom"/>
            <w:tcBorders>
              <w:bottom w:val="single" w:sz="8" w:color="95B3D7"/>
            </w:tcBorders>
            <w:shd w:val="clear" w:color="auto" w:fill="95B3D7"/>
          </w:tcPr>
          <w:p>
            <w:pPr>
              <w:spacing w:after="0"/>
              <w:rPr>
                <w:sz w:val="15"/>
                <w:szCs w:val="15"/>
                <w:color w:val="auto"/>
              </w:rPr>
            </w:pPr>
          </w:p>
        </w:tc>
        <w:tc>
          <w:tcPr>
            <w:tcW w:w="660" w:type="dxa"/>
            <w:vAlign w:val="bottom"/>
            <w:tcBorders>
              <w:bottom w:val="single" w:sz="8" w:color="auto"/>
            </w:tcBorders>
            <w:shd w:val="clear" w:color="auto" w:fill="95B3D7"/>
          </w:tcPr>
          <w:p>
            <w:pPr>
              <w:spacing w:after="0"/>
              <w:rPr>
                <w:sz w:val="15"/>
                <w:szCs w:val="15"/>
                <w:color w:val="auto"/>
              </w:rPr>
            </w:pPr>
          </w:p>
        </w:tc>
        <w:tc>
          <w:tcPr>
            <w:tcW w:w="1020" w:type="dxa"/>
            <w:vAlign w:val="bottom"/>
            <w:tcBorders>
              <w:bottom w:val="single" w:sz="8" w:color="auto"/>
            </w:tcBorders>
            <w:gridSpan w:val="3"/>
            <w:shd w:val="clear" w:color="auto" w:fill="95B3D7"/>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shd w:val="clear" w:color="auto" w:fill="95B3D7"/>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240" w:type="dxa"/>
            <w:vAlign w:val="bottom"/>
            <w:tcBorders>
              <w:bottom w:val="single" w:sz="8" w:color="95B3D7"/>
            </w:tcBorders>
            <w:shd w:val="clear" w:color="auto" w:fill="95B3D7"/>
          </w:tcPr>
          <w:p>
            <w:pPr>
              <w:spacing w:after="0"/>
              <w:rPr>
                <w:sz w:val="14"/>
                <w:szCs w:val="14"/>
                <w:color w:val="auto"/>
              </w:rPr>
            </w:pPr>
          </w:p>
        </w:tc>
        <w:tc>
          <w:tcPr>
            <w:tcW w:w="160" w:type="dxa"/>
            <w:vAlign w:val="bottom"/>
            <w:tcBorders>
              <w:bottom w:val="single" w:sz="8" w:color="95B3D7"/>
            </w:tcBorders>
            <w:shd w:val="clear" w:color="auto" w:fill="95B3D7"/>
          </w:tcPr>
          <w:p>
            <w:pPr>
              <w:spacing w:after="0"/>
              <w:rPr>
                <w:sz w:val="14"/>
                <w:szCs w:val="14"/>
                <w:color w:val="auto"/>
              </w:rPr>
            </w:pPr>
          </w:p>
        </w:tc>
        <w:tc>
          <w:tcPr>
            <w:tcW w:w="880" w:type="dxa"/>
            <w:vAlign w:val="bottom"/>
            <w:tcBorders>
              <w:bottom w:val="single" w:sz="8" w:color="auto"/>
            </w:tcBorders>
            <w:shd w:val="clear" w:color="auto" w:fill="95B3D7"/>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shd w:val="clear" w:color="auto" w:fill="95B3D7"/>
          </w:tcPr>
          <w:p>
            <w:pPr>
              <w:spacing w:after="0"/>
              <w:rPr>
                <w:sz w:val="14"/>
                <w:szCs w:val="14"/>
                <w:color w:val="auto"/>
              </w:rPr>
            </w:pPr>
          </w:p>
        </w:tc>
        <w:tc>
          <w:tcPr>
            <w:tcW w:w="160" w:type="dxa"/>
            <w:vAlign w:val="bottom"/>
            <w:tcBorders>
              <w:bottom w:val="single" w:sz="8" w:color="95B3D7"/>
            </w:tcBorders>
            <w:shd w:val="clear" w:color="auto" w:fill="95B3D7"/>
          </w:tcPr>
          <w:p>
            <w:pPr>
              <w:spacing w:after="0"/>
              <w:rPr>
                <w:sz w:val="14"/>
                <w:szCs w:val="14"/>
                <w:color w:val="auto"/>
              </w:rPr>
            </w:pPr>
          </w:p>
        </w:tc>
        <w:tc>
          <w:tcPr>
            <w:tcW w:w="900" w:type="dxa"/>
            <w:vAlign w:val="bottom"/>
            <w:tcBorders>
              <w:bottom w:val="single" w:sz="8" w:color="auto"/>
            </w:tcBorders>
            <w:shd w:val="clear" w:color="auto" w:fill="95B3D7"/>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shd w:val="clear" w:color="auto" w:fill="95B3D7"/>
          </w:tcPr>
          <w:p>
            <w:pPr>
              <w:spacing w:after="0"/>
              <w:rPr>
                <w:sz w:val="14"/>
                <w:szCs w:val="14"/>
                <w:color w:val="auto"/>
              </w:rPr>
            </w:pPr>
          </w:p>
        </w:tc>
        <w:tc>
          <w:tcPr>
            <w:tcW w:w="140" w:type="dxa"/>
            <w:vAlign w:val="bottom"/>
            <w:tcBorders>
              <w:bottom w:val="single" w:sz="8" w:color="95B3D7"/>
            </w:tcBorders>
            <w:shd w:val="clear" w:color="auto" w:fill="95B3D7"/>
          </w:tcPr>
          <w:p>
            <w:pPr>
              <w:spacing w:after="0"/>
              <w:rPr>
                <w:sz w:val="14"/>
                <w:szCs w:val="14"/>
                <w:color w:val="auto"/>
              </w:rPr>
            </w:pPr>
          </w:p>
        </w:tc>
        <w:tc>
          <w:tcPr>
            <w:tcW w:w="660" w:type="dxa"/>
            <w:vAlign w:val="bottom"/>
            <w:tcBorders>
              <w:bottom w:val="single" w:sz="8" w:color="auto"/>
            </w:tcBorders>
            <w:shd w:val="clear" w:color="auto" w:fill="95B3D7"/>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95B3D7"/>
          </w:tcPr>
          <w:p>
            <w:pPr>
              <w:spacing w:after="0"/>
              <w:rPr>
                <w:sz w:val="14"/>
                <w:szCs w:val="14"/>
                <w:color w:val="auto"/>
              </w:rPr>
            </w:pPr>
          </w:p>
        </w:tc>
        <w:tc>
          <w:tcPr>
            <w:tcW w:w="120" w:type="dxa"/>
            <w:vAlign w:val="bottom"/>
            <w:tcBorders>
              <w:bottom w:val="single" w:sz="8" w:color="95B3D7"/>
            </w:tcBorders>
            <w:shd w:val="clear" w:color="auto" w:fill="95B3D7"/>
          </w:tcPr>
          <w:p>
            <w:pPr>
              <w:spacing w:after="0"/>
              <w:rPr>
                <w:sz w:val="14"/>
                <w:szCs w:val="14"/>
                <w:color w:val="auto"/>
              </w:rPr>
            </w:pPr>
          </w:p>
        </w:tc>
        <w:tc>
          <w:tcPr>
            <w:tcW w:w="340" w:type="dxa"/>
            <w:vAlign w:val="bottom"/>
            <w:tcBorders>
              <w:bottom w:val="single" w:sz="8" w:color="auto"/>
            </w:tcBorders>
            <w:shd w:val="clear" w:color="auto" w:fill="95B3D7"/>
          </w:tcPr>
          <w:p>
            <w:pPr>
              <w:spacing w:after="0"/>
              <w:rPr>
                <w:sz w:val="14"/>
                <w:szCs w:val="14"/>
                <w:color w:val="auto"/>
              </w:rPr>
            </w:pPr>
          </w:p>
        </w:tc>
        <w:tc>
          <w:tcPr>
            <w:tcW w:w="960" w:type="dxa"/>
            <w:vAlign w:val="bottom"/>
            <w:tcBorders>
              <w:bottom w:val="single" w:sz="8" w:color="auto"/>
            </w:tcBorders>
            <w:shd w:val="clear" w:color="auto" w:fill="95B3D7"/>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10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w:t>
            </w:r>
          </w:p>
        </w:tc>
        <w:tc>
          <w:tcPr>
            <w:tcW w:w="10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0.83</w:t>
            </w:r>
          </w:p>
        </w:tc>
        <w:tc>
          <w:tcPr>
            <w:tcW w:w="8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22.9 %</w:t>
            </w:r>
          </w:p>
        </w:tc>
      </w:tr>
      <w:tr>
        <w:trPr>
          <w:trHeight w:val="245"/>
        </w:trPr>
        <w:tc>
          <w:tcPr>
            <w:tcW w:w="5240" w:type="dxa"/>
            <w:vAlign w:val="bottom"/>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60" w:type="dxa"/>
            <w:vAlign w:val="bottom"/>
            <w:shd w:val="clear" w:color="auto" w:fill="D0D8E8"/>
          </w:tcPr>
          <w:p>
            <w:pPr>
              <w:spacing w:after="0"/>
              <w:rPr>
                <w:sz w:val="21"/>
                <w:szCs w:val="21"/>
                <w:color w:val="auto"/>
              </w:rPr>
            </w:pPr>
          </w:p>
        </w:tc>
        <w:tc>
          <w:tcPr>
            <w:tcW w:w="880" w:type="dxa"/>
            <w:vAlign w:val="bottom"/>
            <w:shd w:val="clear" w:color="auto" w:fill="D0D8E8"/>
          </w:tcPr>
          <w:p>
            <w:pPr>
              <w:spacing w:after="0"/>
              <w:rPr>
                <w:sz w:val="21"/>
                <w:szCs w:val="21"/>
                <w:color w:val="auto"/>
              </w:rPr>
            </w:pPr>
          </w:p>
        </w:tc>
        <w:tc>
          <w:tcPr>
            <w:tcW w:w="58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60" w:type="dxa"/>
            <w:vAlign w:val="bottom"/>
            <w:shd w:val="clear" w:color="auto" w:fill="D0D8E8"/>
          </w:tcPr>
          <w:p>
            <w:pPr>
              <w:spacing w:after="0"/>
              <w:rPr>
                <w:sz w:val="21"/>
                <w:szCs w:val="21"/>
                <w:color w:val="auto"/>
              </w:rPr>
            </w:pPr>
          </w:p>
        </w:tc>
        <w:tc>
          <w:tcPr>
            <w:tcW w:w="900" w:type="dxa"/>
            <w:vAlign w:val="bottom"/>
            <w:shd w:val="clear" w:color="auto" w:fill="D0D8E8"/>
          </w:tcPr>
          <w:p>
            <w:pPr>
              <w:spacing w:after="0"/>
              <w:rPr>
                <w:sz w:val="21"/>
                <w:szCs w:val="21"/>
                <w:color w:val="auto"/>
              </w:rPr>
            </w:pPr>
          </w:p>
        </w:tc>
        <w:tc>
          <w:tcPr>
            <w:tcW w:w="54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w w:val="99"/>
              </w:rPr>
              <w:t>(0.01 )</w:t>
            </w:r>
          </w:p>
        </w:tc>
        <w:tc>
          <w:tcPr>
            <w:tcW w:w="140" w:type="dxa"/>
            <w:vAlign w:val="bottom"/>
            <w:shd w:val="clear" w:color="auto" w:fill="D0D8E8"/>
          </w:tcPr>
          <w:p>
            <w:pPr>
              <w:spacing w:after="0"/>
              <w:rPr>
                <w:sz w:val="21"/>
                <w:szCs w:val="21"/>
                <w:color w:val="auto"/>
              </w:rPr>
            </w:pPr>
          </w:p>
        </w:tc>
        <w:tc>
          <w:tcPr>
            <w:tcW w:w="660" w:type="dxa"/>
            <w:vAlign w:val="bottom"/>
            <w:shd w:val="clear" w:color="auto" w:fill="D0D8E8"/>
          </w:tcPr>
          <w:p>
            <w:pPr>
              <w:spacing w:after="0"/>
              <w:rPr>
                <w:sz w:val="21"/>
                <w:szCs w:val="21"/>
                <w:color w:val="auto"/>
              </w:rPr>
            </w:pPr>
          </w:p>
        </w:tc>
        <w:tc>
          <w:tcPr>
            <w:tcW w:w="1020" w:type="dxa"/>
            <w:vAlign w:val="bottom"/>
            <w:gridSpan w:val="3"/>
            <w:shd w:val="clear" w:color="auto" w:fill="D0D8E8"/>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0D8E8"/>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240" w:type="dxa"/>
            <w:vAlign w:val="bottom"/>
            <w:shd w:val="clear" w:color="auto" w:fill="E9EDF4"/>
          </w:tcPr>
          <w:p>
            <w:pPr>
              <w:ind w:left="200"/>
              <w:spacing w:after="0"/>
              <w:rPr>
                <w:sz w:val="20"/>
                <w:szCs w:val="20"/>
                <w:color w:val="auto"/>
              </w:rPr>
            </w:pPr>
            <w:r>
              <w:rPr>
                <w:rFonts w:ascii="Times New Roman" w:cs="Times New Roman" w:eastAsia="Times New Roman" w:hAnsi="Times New Roman"/>
                <w:sz w:val="18"/>
                <w:szCs w:val="18"/>
                <w:color w:val="auto"/>
              </w:rPr>
              <w:t>(Gain)/loss on disposal</w:t>
            </w:r>
          </w:p>
        </w:tc>
        <w:tc>
          <w:tcPr>
            <w:tcW w:w="160" w:type="dxa"/>
            <w:vAlign w:val="bottom"/>
            <w:shd w:val="clear" w:color="auto" w:fill="E9EDF4"/>
          </w:tcPr>
          <w:p>
            <w:pPr>
              <w:spacing w:after="0"/>
              <w:rPr>
                <w:sz w:val="20"/>
                <w:szCs w:val="20"/>
                <w:color w:val="auto"/>
              </w:rPr>
            </w:pPr>
          </w:p>
        </w:tc>
        <w:tc>
          <w:tcPr>
            <w:tcW w:w="880" w:type="dxa"/>
            <w:vAlign w:val="bottom"/>
            <w:shd w:val="clear" w:color="auto" w:fill="E9EDF4"/>
          </w:tcPr>
          <w:p>
            <w:pPr>
              <w:spacing w:after="0"/>
              <w:rPr>
                <w:sz w:val="20"/>
                <w:szCs w:val="20"/>
                <w:color w:val="auto"/>
              </w:rPr>
            </w:pPr>
          </w:p>
        </w:tc>
        <w:tc>
          <w:tcPr>
            <w:tcW w:w="580" w:type="dxa"/>
            <w:vAlign w:val="bottom"/>
            <w:shd w:val="clear" w:color="auto" w:fill="E9EDF4"/>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E9EDF4"/>
          </w:tcPr>
          <w:p>
            <w:pPr>
              <w:spacing w:after="0"/>
              <w:rPr>
                <w:sz w:val="20"/>
                <w:szCs w:val="20"/>
                <w:color w:val="auto"/>
              </w:rPr>
            </w:pPr>
          </w:p>
        </w:tc>
        <w:tc>
          <w:tcPr>
            <w:tcW w:w="900" w:type="dxa"/>
            <w:vAlign w:val="bottom"/>
            <w:shd w:val="clear" w:color="auto" w:fill="E9EDF4"/>
          </w:tcPr>
          <w:p>
            <w:pPr>
              <w:spacing w:after="0"/>
              <w:rPr>
                <w:sz w:val="20"/>
                <w:szCs w:val="20"/>
                <w:color w:val="auto"/>
              </w:rPr>
            </w:pPr>
          </w:p>
        </w:tc>
        <w:tc>
          <w:tcPr>
            <w:tcW w:w="540" w:type="dxa"/>
            <w:vAlign w:val="bottom"/>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w w:val="99"/>
              </w:rPr>
              <w:t>(0.02 )</w:t>
            </w:r>
          </w:p>
        </w:tc>
        <w:tc>
          <w:tcPr>
            <w:tcW w:w="140" w:type="dxa"/>
            <w:vAlign w:val="bottom"/>
            <w:shd w:val="clear" w:color="auto" w:fill="E9EDF4"/>
          </w:tcPr>
          <w:p>
            <w:pPr>
              <w:spacing w:after="0"/>
              <w:rPr>
                <w:sz w:val="20"/>
                <w:szCs w:val="20"/>
                <w:color w:val="auto"/>
              </w:rPr>
            </w:pPr>
          </w:p>
        </w:tc>
        <w:tc>
          <w:tcPr>
            <w:tcW w:w="660" w:type="dxa"/>
            <w:vAlign w:val="bottom"/>
            <w:shd w:val="clear" w:color="auto" w:fill="E9EDF4"/>
          </w:tcPr>
          <w:p>
            <w:pPr>
              <w:spacing w:after="0"/>
              <w:rPr>
                <w:sz w:val="20"/>
                <w:szCs w:val="20"/>
                <w:color w:val="auto"/>
              </w:rPr>
            </w:pPr>
          </w:p>
        </w:tc>
        <w:tc>
          <w:tcPr>
            <w:tcW w:w="560" w:type="dxa"/>
            <w:vAlign w:val="bottom"/>
            <w:shd w:val="clear" w:color="auto" w:fill="E9EDF4"/>
          </w:tcPr>
          <w:p>
            <w:pPr>
              <w:jc w:val="right"/>
              <w:ind w:right="32"/>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E9EDF4"/>
          </w:tcPr>
          <w:p>
            <w:pPr>
              <w:spacing w:after="0"/>
              <w:rPr>
                <w:sz w:val="20"/>
                <w:szCs w:val="20"/>
                <w:color w:val="auto"/>
              </w:rPr>
            </w:pPr>
          </w:p>
        </w:tc>
        <w:tc>
          <w:tcPr>
            <w:tcW w:w="340" w:type="dxa"/>
            <w:vAlign w:val="bottom"/>
            <w:shd w:val="clear" w:color="auto" w:fill="E9EDF4"/>
          </w:tcPr>
          <w:p>
            <w:pPr>
              <w:spacing w:after="0"/>
              <w:rPr>
                <w:sz w:val="20"/>
                <w:szCs w:val="20"/>
                <w:color w:val="auto"/>
              </w:rPr>
            </w:pPr>
          </w:p>
        </w:tc>
        <w:tc>
          <w:tcPr>
            <w:tcW w:w="960" w:type="dxa"/>
            <w:vAlign w:val="bottom"/>
            <w:shd w:val="clear" w:color="auto" w:fill="E9EDF4"/>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240" w:type="dxa"/>
            <w:vAlign w:val="bottom"/>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160" w:type="dxa"/>
            <w:vAlign w:val="bottom"/>
            <w:shd w:val="clear" w:color="auto" w:fill="D0D8E8"/>
          </w:tcPr>
          <w:p>
            <w:pPr>
              <w:spacing w:after="0"/>
              <w:rPr>
                <w:sz w:val="21"/>
                <w:szCs w:val="21"/>
                <w:color w:val="auto"/>
              </w:rPr>
            </w:pPr>
          </w:p>
        </w:tc>
        <w:tc>
          <w:tcPr>
            <w:tcW w:w="880" w:type="dxa"/>
            <w:vAlign w:val="bottom"/>
            <w:shd w:val="clear" w:color="auto" w:fill="D0D8E8"/>
          </w:tcPr>
          <w:p>
            <w:pPr>
              <w:spacing w:after="0"/>
              <w:rPr>
                <w:sz w:val="21"/>
                <w:szCs w:val="21"/>
                <w:color w:val="auto"/>
              </w:rPr>
            </w:pPr>
          </w:p>
        </w:tc>
        <w:tc>
          <w:tcPr>
            <w:tcW w:w="58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0D8E8"/>
          </w:tcPr>
          <w:p>
            <w:pPr>
              <w:spacing w:after="0"/>
              <w:rPr>
                <w:sz w:val="21"/>
                <w:szCs w:val="21"/>
                <w:color w:val="auto"/>
              </w:rPr>
            </w:pPr>
          </w:p>
        </w:tc>
        <w:tc>
          <w:tcPr>
            <w:tcW w:w="900" w:type="dxa"/>
            <w:vAlign w:val="bottom"/>
            <w:shd w:val="clear" w:color="auto" w:fill="D0D8E8"/>
          </w:tcPr>
          <w:p>
            <w:pPr>
              <w:spacing w:after="0"/>
              <w:rPr>
                <w:sz w:val="21"/>
                <w:szCs w:val="21"/>
                <w:color w:val="auto"/>
              </w:rPr>
            </w:pPr>
          </w:p>
        </w:tc>
        <w:tc>
          <w:tcPr>
            <w:tcW w:w="54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D0D8E8"/>
          </w:tcPr>
          <w:p>
            <w:pPr>
              <w:spacing w:after="0"/>
              <w:rPr>
                <w:sz w:val="21"/>
                <w:szCs w:val="21"/>
                <w:color w:val="auto"/>
              </w:rPr>
            </w:pPr>
          </w:p>
        </w:tc>
        <w:tc>
          <w:tcPr>
            <w:tcW w:w="660" w:type="dxa"/>
            <w:vAlign w:val="bottom"/>
            <w:shd w:val="clear" w:color="auto" w:fill="D0D8E8"/>
          </w:tcPr>
          <w:p>
            <w:pPr>
              <w:spacing w:after="0"/>
              <w:rPr>
                <w:sz w:val="21"/>
                <w:szCs w:val="21"/>
                <w:color w:val="auto"/>
              </w:rPr>
            </w:pPr>
          </w:p>
        </w:tc>
        <w:tc>
          <w:tcPr>
            <w:tcW w:w="56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20" w:type="dxa"/>
            <w:vAlign w:val="bottom"/>
            <w:shd w:val="clear" w:color="auto" w:fill="D0D8E8"/>
          </w:tcPr>
          <w:p>
            <w:pPr>
              <w:spacing w:after="0"/>
              <w:rPr>
                <w:sz w:val="21"/>
                <w:szCs w:val="21"/>
                <w:color w:val="auto"/>
              </w:rPr>
            </w:pPr>
          </w:p>
        </w:tc>
        <w:tc>
          <w:tcPr>
            <w:tcW w:w="340" w:type="dxa"/>
            <w:vAlign w:val="bottom"/>
            <w:shd w:val="clear" w:color="auto" w:fill="D0D8E8"/>
          </w:tcPr>
          <w:p>
            <w:pPr>
              <w:spacing w:after="0"/>
              <w:rPr>
                <w:sz w:val="21"/>
                <w:szCs w:val="21"/>
                <w:color w:val="auto"/>
              </w:rPr>
            </w:pPr>
          </w:p>
        </w:tc>
        <w:tc>
          <w:tcPr>
            <w:tcW w:w="960" w:type="dxa"/>
            <w:vAlign w:val="bottom"/>
            <w:shd w:val="clear" w:color="auto" w:fill="D0D8E8"/>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240" w:type="dxa"/>
            <w:vAlign w:val="bottom"/>
            <w:shd w:val="clear" w:color="auto" w:fill="E9EDF4"/>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E9EDF4"/>
          </w:tcPr>
          <w:p>
            <w:pPr>
              <w:spacing w:after="0"/>
              <w:rPr>
                <w:sz w:val="20"/>
                <w:szCs w:val="20"/>
                <w:color w:val="auto"/>
              </w:rPr>
            </w:pPr>
          </w:p>
        </w:tc>
        <w:tc>
          <w:tcPr>
            <w:tcW w:w="880" w:type="dxa"/>
            <w:vAlign w:val="bottom"/>
            <w:shd w:val="clear" w:color="auto" w:fill="E9EDF4"/>
          </w:tcPr>
          <w:p>
            <w:pPr>
              <w:spacing w:after="0"/>
              <w:rPr>
                <w:sz w:val="20"/>
                <w:szCs w:val="20"/>
                <w:color w:val="auto"/>
              </w:rPr>
            </w:pPr>
          </w:p>
        </w:tc>
        <w:tc>
          <w:tcPr>
            <w:tcW w:w="580" w:type="dxa"/>
            <w:vAlign w:val="bottom"/>
            <w:shd w:val="clear" w:color="auto" w:fill="E9EDF4"/>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E9EDF4"/>
          </w:tcPr>
          <w:p>
            <w:pPr>
              <w:spacing w:after="0"/>
              <w:rPr>
                <w:sz w:val="20"/>
                <w:szCs w:val="20"/>
                <w:color w:val="auto"/>
              </w:rPr>
            </w:pPr>
          </w:p>
        </w:tc>
        <w:tc>
          <w:tcPr>
            <w:tcW w:w="900" w:type="dxa"/>
            <w:vAlign w:val="bottom"/>
            <w:shd w:val="clear" w:color="auto" w:fill="E9EDF4"/>
          </w:tcPr>
          <w:p>
            <w:pPr>
              <w:spacing w:after="0"/>
              <w:rPr>
                <w:sz w:val="20"/>
                <w:szCs w:val="20"/>
                <w:color w:val="auto"/>
              </w:rPr>
            </w:pPr>
          </w:p>
        </w:tc>
        <w:tc>
          <w:tcPr>
            <w:tcW w:w="540" w:type="dxa"/>
            <w:vAlign w:val="bottom"/>
            <w:shd w:val="clear" w:color="auto" w:fill="E9EDF4"/>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shd w:val="clear" w:color="auto" w:fill="E9EDF4"/>
          </w:tcPr>
          <w:p>
            <w:pPr>
              <w:spacing w:after="0"/>
              <w:rPr>
                <w:sz w:val="20"/>
                <w:szCs w:val="20"/>
                <w:color w:val="auto"/>
              </w:rPr>
            </w:pPr>
          </w:p>
        </w:tc>
        <w:tc>
          <w:tcPr>
            <w:tcW w:w="660" w:type="dxa"/>
            <w:vAlign w:val="bottom"/>
            <w:shd w:val="clear" w:color="auto" w:fill="E9EDF4"/>
          </w:tcPr>
          <w:p>
            <w:pPr>
              <w:spacing w:after="0"/>
              <w:rPr>
                <w:sz w:val="20"/>
                <w:szCs w:val="20"/>
                <w:color w:val="auto"/>
              </w:rPr>
            </w:pPr>
          </w:p>
        </w:tc>
        <w:tc>
          <w:tcPr>
            <w:tcW w:w="1020" w:type="dxa"/>
            <w:vAlign w:val="bottom"/>
            <w:gridSpan w:val="3"/>
            <w:shd w:val="clear" w:color="auto" w:fill="E9EDF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9EDF4"/>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240" w:type="dxa"/>
            <w:vAlign w:val="bottom"/>
            <w:tcBorders>
              <w:bottom w:val="single" w:sz="8" w:color="D0D8E8"/>
            </w:tcBorders>
            <w:shd w:val="clear" w:color="auto" w:fill="D0D8E8"/>
          </w:tcPr>
          <w:p>
            <w:pPr>
              <w:ind w:left="200"/>
              <w:spacing w:after="0"/>
              <w:rPr>
                <w:sz w:val="20"/>
                <w:szCs w:val="20"/>
                <w:color w:val="auto"/>
              </w:rPr>
            </w:pPr>
            <w:r>
              <w:rPr>
                <w:rFonts w:ascii="Times New Roman" w:cs="Times New Roman" w:eastAsia="Times New Roman" w:hAnsi="Times New Roman"/>
                <w:sz w:val="18"/>
                <w:szCs w:val="18"/>
                <w:color w:val="auto"/>
              </w:rPr>
              <w:t>1Q23 Nonrecurring Cost</w:t>
            </w:r>
          </w:p>
        </w:tc>
        <w:tc>
          <w:tcPr>
            <w:tcW w:w="160" w:type="dxa"/>
            <w:vAlign w:val="bottom"/>
            <w:tcBorders>
              <w:bottom w:val="single" w:sz="8" w:color="D0D8E8"/>
            </w:tcBorders>
            <w:shd w:val="clear" w:color="auto" w:fill="D0D8E8"/>
          </w:tcPr>
          <w:p>
            <w:pPr>
              <w:spacing w:after="0"/>
              <w:rPr>
                <w:sz w:val="21"/>
                <w:szCs w:val="21"/>
                <w:color w:val="auto"/>
              </w:rPr>
            </w:pPr>
          </w:p>
        </w:tc>
        <w:tc>
          <w:tcPr>
            <w:tcW w:w="880" w:type="dxa"/>
            <w:vAlign w:val="bottom"/>
            <w:tcBorders>
              <w:bottom w:val="single" w:sz="8" w:color="auto"/>
            </w:tcBorders>
            <w:shd w:val="clear" w:color="auto" w:fill="D0D8E8"/>
          </w:tcPr>
          <w:p>
            <w:pPr>
              <w:spacing w:after="0"/>
              <w:rPr>
                <w:sz w:val="21"/>
                <w:szCs w:val="21"/>
                <w:color w:val="auto"/>
              </w:rPr>
            </w:pPr>
          </w:p>
        </w:tc>
        <w:tc>
          <w:tcPr>
            <w:tcW w:w="580" w:type="dxa"/>
            <w:vAlign w:val="bottom"/>
            <w:tcBorders>
              <w:bottom w:val="single" w:sz="8" w:color="auto"/>
            </w:tcBorders>
            <w:shd w:val="clear" w:color="auto" w:fill="D0D8E8"/>
          </w:tcPr>
          <w:p>
            <w:pPr>
              <w:spacing w:after="0"/>
              <w:rPr>
                <w:sz w:val="21"/>
                <w:szCs w:val="21"/>
                <w:color w:val="auto"/>
              </w:rPr>
            </w:pPr>
          </w:p>
        </w:tc>
        <w:tc>
          <w:tcPr>
            <w:tcW w:w="160" w:type="dxa"/>
            <w:vAlign w:val="bottom"/>
            <w:tcBorders>
              <w:bottom w:val="single" w:sz="8" w:color="D0D8E8"/>
            </w:tcBorders>
            <w:shd w:val="clear" w:color="auto" w:fill="D0D8E8"/>
          </w:tcPr>
          <w:p>
            <w:pPr>
              <w:spacing w:after="0"/>
              <w:rPr>
                <w:sz w:val="21"/>
                <w:szCs w:val="21"/>
                <w:color w:val="auto"/>
              </w:rPr>
            </w:pPr>
          </w:p>
        </w:tc>
        <w:tc>
          <w:tcPr>
            <w:tcW w:w="900" w:type="dxa"/>
            <w:vAlign w:val="bottom"/>
            <w:tcBorders>
              <w:bottom w:val="single" w:sz="8" w:color="auto"/>
            </w:tcBorders>
            <w:shd w:val="clear" w:color="auto" w:fill="D0D8E8"/>
          </w:tcPr>
          <w:p>
            <w:pPr>
              <w:spacing w:after="0"/>
              <w:rPr>
                <w:sz w:val="21"/>
                <w:szCs w:val="21"/>
                <w:color w:val="auto"/>
              </w:rPr>
            </w:pPr>
          </w:p>
        </w:tc>
        <w:tc>
          <w:tcPr>
            <w:tcW w:w="540" w:type="dxa"/>
            <w:vAlign w:val="bottom"/>
            <w:tcBorders>
              <w:bottom w:val="single" w:sz="8" w:color="auto"/>
            </w:tcBorders>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Borders>
              <w:bottom w:val="single" w:sz="8" w:color="D0D8E8"/>
            </w:tcBorders>
            <w:shd w:val="clear" w:color="auto" w:fill="D0D8E8"/>
          </w:tcPr>
          <w:p>
            <w:pPr>
              <w:spacing w:after="0"/>
              <w:rPr>
                <w:sz w:val="21"/>
                <w:szCs w:val="21"/>
                <w:color w:val="auto"/>
              </w:rPr>
            </w:pPr>
          </w:p>
        </w:tc>
        <w:tc>
          <w:tcPr>
            <w:tcW w:w="660" w:type="dxa"/>
            <w:vAlign w:val="bottom"/>
            <w:tcBorders>
              <w:bottom w:val="single" w:sz="8" w:color="auto"/>
            </w:tcBorders>
            <w:shd w:val="clear" w:color="auto" w:fill="D0D8E8"/>
          </w:tcPr>
          <w:p>
            <w:pPr>
              <w:spacing w:after="0"/>
              <w:rPr>
                <w:sz w:val="21"/>
                <w:szCs w:val="21"/>
                <w:color w:val="auto"/>
              </w:rPr>
            </w:pPr>
          </w:p>
        </w:tc>
        <w:tc>
          <w:tcPr>
            <w:tcW w:w="560" w:type="dxa"/>
            <w:vAlign w:val="bottom"/>
            <w:tcBorders>
              <w:bottom w:val="single" w:sz="8" w:color="auto"/>
            </w:tcBorders>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20" w:type="dxa"/>
            <w:vAlign w:val="bottom"/>
            <w:tcBorders>
              <w:bottom w:val="single" w:sz="8" w:color="D0D8E8"/>
            </w:tcBorders>
            <w:shd w:val="clear" w:color="auto" w:fill="D0D8E8"/>
          </w:tcPr>
          <w:p>
            <w:pPr>
              <w:spacing w:after="0"/>
              <w:rPr>
                <w:sz w:val="21"/>
                <w:szCs w:val="21"/>
                <w:color w:val="auto"/>
              </w:rPr>
            </w:pPr>
          </w:p>
        </w:tc>
        <w:tc>
          <w:tcPr>
            <w:tcW w:w="340" w:type="dxa"/>
            <w:vAlign w:val="bottom"/>
            <w:tcBorders>
              <w:bottom w:val="single" w:sz="8" w:color="auto"/>
            </w:tcBorders>
            <w:shd w:val="clear" w:color="auto" w:fill="D0D8E8"/>
          </w:tcPr>
          <w:p>
            <w:pPr>
              <w:spacing w:after="0"/>
              <w:rPr>
                <w:sz w:val="21"/>
                <w:szCs w:val="21"/>
                <w:color w:val="auto"/>
              </w:rPr>
            </w:pPr>
          </w:p>
        </w:tc>
        <w:tc>
          <w:tcPr>
            <w:tcW w:w="960" w:type="dxa"/>
            <w:vAlign w:val="bottom"/>
            <w:tcBorders>
              <w:bottom w:val="single" w:sz="8" w:color="auto"/>
            </w:tcBorders>
            <w:shd w:val="clear" w:color="auto" w:fill="D0D8E8"/>
          </w:tcPr>
          <w:p>
            <w:pPr>
              <w:spacing w:after="0"/>
              <w:rPr>
                <w:sz w:val="21"/>
                <w:szCs w:val="21"/>
                <w:color w:val="auto"/>
              </w:rPr>
            </w:pPr>
          </w:p>
        </w:tc>
        <w:tc>
          <w:tcPr>
            <w:tcW w:w="80" w:type="dxa"/>
            <w:vAlign w:val="bottom"/>
          </w:tcPr>
          <w:p>
            <w:pPr>
              <w:spacing w:after="0"/>
              <w:rPr>
                <w:sz w:val="21"/>
                <w:szCs w:val="21"/>
                <w:color w:val="auto"/>
              </w:rPr>
            </w:pP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 Adjusted</w:t>
            </w:r>
          </w:p>
        </w:tc>
        <w:tc>
          <w:tcPr>
            <w:tcW w:w="10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w:t>
            </w:r>
          </w:p>
        </w:tc>
        <w:tc>
          <w:tcPr>
            <w:tcW w:w="10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0.96</w:t>
            </w:r>
          </w:p>
        </w:tc>
        <w:tc>
          <w:tcPr>
            <w:tcW w:w="8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-1213485</wp:posOffset>
            </wp:positionV>
            <wp:extent cx="7132320" cy="1217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regarding non-GAAP measures presented later in this press release.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977" w:right="259" w:bottom="1440" w:gutter="0" w:footer="0" w:header="0"/>
        </w:sectPr>
      </w:pPr>
    </w:p>
    <w:bookmarkStart w:id="5" w:name="page6"/>
    <w:bookmarkEnd w:id="5"/>
    <w:p>
      <w:pPr>
        <w:jc w:val="center"/>
        <w:ind w:left="800" w:right="2280"/>
        <w:spacing w:after="0" w:line="234" w:lineRule="auto"/>
        <w:rPr>
          <w:sz w:val="20"/>
          <w:szCs w:val="20"/>
          <w:color w:val="auto"/>
        </w:rPr>
      </w:pPr>
      <w:r>
        <w:rPr>
          <w:rFonts w:ascii="Times New Roman" w:cs="Times New Roman" w:eastAsia="Times New Roman" w:hAnsi="Times New Roman"/>
          <w:sz w:val="20"/>
          <w:szCs w:val="20"/>
          <w:b w:val="1"/>
          <w:bCs w:val="1"/>
          <w:color w:val="auto"/>
        </w:rPr>
        <w:t>Reconciliation of Income Before Income Taxes to EBITDAC and EBITDAC - Adjusted and Income Before Income Taxes Margin</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to EBITDAC Margin and EBITDAC Margin - Adjusted (in millions, unaudited)</w:t>
      </w:r>
    </w:p>
    <w:p>
      <w:pPr>
        <w:spacing w:after="0" w:line="237" w:lineRule="exact"/>
        <w:rPr>
          <w:sz w:val="20"/>
          <w:szCs w:val="20"/>
          <w:color w:val="auto"/>
        </w:rPr>
      </w:pPr>
    </w:p>
    <w:tbl>
      <w:tblPr>
        <w:tblLayout w:type="fixed"/>
        <w:tblInd w:w="572" w:type="dxa"/>
        <w:tblCellMar>
          <w:top w:w="0" w:type="dxa"/>
          <w:left w:w="0" w:type="dxa"/>
          <w:bottom w:w="0" w:type="dxa"/>
          <w:right w:w="0" w:type="dxa"/>
        </w:tblCellMar>
      </w:tblPr>
      <w:tr>
        <w:trPr>
          <w:trHeight w:val="175"/>
        </w:trPr>
        <w:tc>
          <w:tcPr>
            <w:tcW w:w="6600" w:type="dxa"/>
            <w:vAlign w:val="bottom"/>
            <w:tcBorders>
              <w:bottom w:val="single" w:sz="8" w:color="95B3D7"/>
            </w:tcBorders>
            <w:shd w:val="clear" w:color="auto" w:fill="95B3D7"/>
          </w:tcPr>
          <w:p>
            <w:pPr>
              <w:spacing w:after="0"/>
              <w:rPr>
                <w:sz w:val="15"/>
                <w:szCs w:val="15"/>
                <w:color w:val="auto"/>
              </w:rPr>
            </w:pPr>
          </w:p>
        </w:tc>
        <w:tc>
          <w:tcPr>
            <w:tcW w:w="180" w:type="dxa"/>
            <w:vAlign w:val="bottom"/>
            <w:tcBorders>
              <w:bottom w:val="single" w:sz="8" w:color="95B3D7"/>
            </w:tcBorders>
            <w:shd w:val="clear" w:color="auto" w:fill="95B3D7"/>
          </w:tcPr>
          <w:p>
            <w:pPr>
              <w:spacing w:after="0"/>
              <w:rPr>
                <w:sz w:val="15"/>
                <w:szCs w:val="15"/>
                <w:color w:val="auto"/>
              </w:rPr>
            </w:pPr>
          </w:p>
        </w:tc>
        <w:tc>
          <w:tcPr>
            <w:tcW w:w="2720" w:type="dxa"/>
            <w:vAlign w:val="bottom"/>
            <w:tcBorders>
              <w:bottom w:val="single" w:sz="8" w:color="auto"/>
            </w:tcBorders>
            <w:gridSpan w:val="4"/>
            <w:shd w:val="clear" w:color="auto" w:fill="95B3D7"/>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shd w:val="clear" w:color="auto" w:fill="95B3D7"/>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00" w:type="dxa"/>
            <w:vAlign w:val="bottom"/>
            <w:tcBorders>
              <w:bottom w:val="single" w:sz="8" w:color="95B3D7"/>
            </w:tcBorders>
            <w:shd w:val="clear" w:color="auto" w:fill="95B3D7"/>
          </w:tcPr>
          <w:p>
            <w:pPr>
              <w:spacing w:after="0"/>
              <w:rPr>
                <w:sz w:val="14"/>
                <w:szCs w:val="14"/>
                <w:color w:val="auto"/>
              </w:rPr>
            </w:pPr>
          </w:p>
        </w:tc>
        <w:tc>
          <w:tcPr>
            <w:tcW w:w="180" w:type="dxa"/>
            <w:vAlign w:val="bottom"/>
            <w:tcBorders>
              <w:bottom w:val="single" w:sz="8" w:color="95B3D7"/>
            </w:tcBorders>
            <w:shd w:val="clear" w:color="auto" w:fill="95B3D7"/>
          </w:tcPr>
          <w:p>
            <w:pPr>
              <w:spacing w:after="0"/>
              <w:rPr>
                <w:sz w:val="14"/>
                <w:szCs w:val="14"/>
                <w:color w:val="auto"/>
              </w:rPr>
            </w:pPr>
          </w:p>
        </w:tc>
        <w:tc>
          <w:tcPr>
            <w:tcW w:w="980" w:type="dxa"/>
            <w:vAlign w:val="bottom"/>
            <w:tcBorders>
              <w:bottom w:val="single" w:sz="8" w:color="auto"/>
            </w:tcBorders>
            <w:shd w:val="clear" w:color="auto" w:fill="95B3D7"/>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shd w:val="clear" w:color="auto" w:fill="95B3D7"/>
          </w:tcPr>
          <w:p>
            <w:pPr>
              <w:spacing w:after="0"/>
              <w:rPr>
                <w:sz w:val="14"/>
                <w:szCs w:val="14"/>
                <w:color w:val="auto"/>
              </w:rPr>
            </w:pPr>
          </w:p>
        </w:tc>
        <w:tc>
          <w:tcPr>
            <w:tcW w:w="140" w:type="dxa"/>
            <w:vAlign w:val="bottom"/>
            <w:tcBorders>
              <w:bottom w:val="single" w:sz="8" w:color="95B3D7"/>
            </w:tcBorders>
            <w:shd w:val="clear" w:color="auto" w:fill="95B3D7"/>
          </w:tcPr>
          <w:p>
            <w:pPr>
              <w:spacing w:after="0"/>
              <w:rPr>
                <w:sz w:val="14"/>
                <w:szCs w:val="14"/>
                <w:color w:val="auto"/>
              </w:rPr>
            </w:pPr>
          </w:p>
        </w:tc>
        <w:tc>
          <w:tcPr>
            <w:tcW w:w="980" w:type="dxa"/>
            <w:vAlign w:val="bottom"/>
            <w:tcBorders>
              <w:bottom w:val="single" w:sz="8" w:color="auto"/>
            </w:tcBorders>
            <w:shd w:val="clear" w:color="auto" w:fill="95B3D7"/>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shd w:val="clear" w:color="auto" w:fill="95B3D7"/>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6600" w:type="dxa"/>
            <w:vAlign w:val="bottom"/>
            <w:tcBorders>
              <w:bottom w:val="single" w:sz="8" w:color="E9EDF4"/>
            </w:tcBorders>
            <w:shd w:val="clear" w:color="auto" w:fill="E9EDF4"/>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bottom w:val="single" w:sz="8" w:color="E9EDF4"/>
            </w:tcBorders>
            <w:shd w:val="clear" w:color="auto" w:fill="E9EDF4"/>
          </w:tcPr>
          <w:p>
            <w:pPr>
              <w:spacing w:after="0"/>
              <w:rPr>
                <w:sz w:val="20"/>
                <w:szCs w:val="20"/>
                <w:color w:val="auto"/>
              </w:rPr>
            </w:pPr>
          </w:p>
        </w:tc>
        <w:tc>
          <w:tcPr>
            <w:tcW w:w="980" w:type="dxa"/>
            <w:vAlign w:val="bottom"/>
            <w:tcBorders>
              <w:bottom w:val="single" w:sz="8" w:color="auto"/>
            </w:tcBorders>
            <w:shd w:val="clear" w:color="auto" w:fill="E9EDF4"/>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E9EDF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1,258</w:t>
            </w:r>
          </w:p>
        </w:tc>
        <w:tc>
          <w:tcPr>
            <w:tcW w:w="140" w:type="dxa"/>
            <w:vAlign w:val="bottom"/>
            <w:tcBorders>
              <w:bottom w:val="single" w:sz="8" w:color="E9EDF4"/>
            </w:tcBorders>
            <w:shd w:val="clear" w:color="auto" w:fill="E9EDF4"/>
          </w:tcPr>
          <w:p>
            <w:pPr>
              <w:spacing w:after="0"/>
              <w:rPr>
                <w:sz w:val="20"/>
                <w:szCs w:val="20"/>
                <w:color w:val="auto"/>
              </w:rPr>
            </w:pPr>
          </w:p>
        </w:tc>
        <w:tc>
          <w:tcPr>
            <w:tcW w:w="980" w:type="dxa"/>
            <w:vAlign w:val="bottom"/>
            <w:tcBorders>
              <w:bottom w:val="single" w:sz="8" w:color="auto"/>
            </w:tcBorders>
            <w:shd w:val="clear" w:color="auto" w:fill="E9EDF4"/>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E9EDF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1,116</w:t>
            </w:r>
          </w:p>
        </w:tc>
        <w:tc>
          <w:tcPr>
            <w:tcW w:w="100" w:type="dxa"/>
            <w:vAlign w:val="bottom"/>
          </w:tcPr>
          <w:p>
            <w:pPr>
              <w:spacing w:after="0"/>
              <w:rPr>
                <w:sz w:val="20"/>
                <w:szCs w:val="20"/>
                <w:color w:val="auto"/>
              </w:rPr>
            </w:pPr>
          </w:p>
        </w:tc>
      </w:tr>
      <w:tr>
        <w:trPr>
          <w:trHeight w:val="239"/>
        </w:trPr>
        <w:tc>
          <w:tcPr>
            <w:tcW w:w="660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160" w:type="dxa"/>
            <w:vAlign w:val="bottom"/>
            <w:gridSpan w:val="2"/>
            <w:shd w:val="clear" w:color="auto" w:fill="D0D8E8"/>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364</w:t>
            </w:r>
          </w:p>
        </w:tc>
        <w:tc>
          <w:tcPr>
            <w:tcW w:w="140" w:type="dxa"/>
            <w:vAlign w:val="bottom"/>
            <w:shd w:val="clear" w:color="auto" w:fill="D0D8E8"/>
          </w:tcPr>
          <w:p>
            <w:pPr>
              <w:spacing w:after="0"/>
              <w:rPr>
                <w:sz w:val="20"/>
                <w:szCs w:val="20"/>
                <w:color w:val="auto"/>
              </w:rPr>
            </w:pPr>
          </w:p>
        </w:tc>
        <w:tc>
          <w:tcPr>
            <w:tcW w:w="980" w:type="dxa"/>
            <w:vAlign w:val="bottom"/>
            <w:shd w:val="clear" w:color="auto" w:fill="D0D8E8"/>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tcPr>
          <w:p>
            <w:pPr>
              <w:spacing w:after="0"/>
              <w:rPr>
                <w:sz w:val="20"/>
                <w:szCs w:val="20"/>
                <w:color w:val="auto"/>
              </w:rPr>
            </w:pPr>
          </w:p>
        </w:tc>
      </w:tr>
      <w:tr>
        <w:trPr>
          <w:trHeight w:val="243"/>
        </w:trPr>
        <w:tc>
          <w:tcPr>
            <w:tcW w:w="6600" w:type="dxa"/>
            <w:vAlign w:val="bottom"/>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Income Before Income Taxes Margin</w:t>
            </w:r>
            <w:r>
              <w:rPr>
                <w:rFonts w:ascii="Times New Roman" w:cs="Times New Roman" w:eastAsia="Times New Roman" w:hAnsi="Times New Roman"/>
                <w:sz w:val="24"/>
                <w:szCs w:val="24"/>
                <w:b w:val="1"/>
                <w:bCs w:val="1"/>
                <w:color w:val="auto"/>
                <w:vertAlign w:val="superscript"/>
              </w:rPr>
              <w:t>(1)</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28.9 %</w:t>
            </w:r>
          </w:p>
        </w:tc>
        <w:tc>
          <w:tcPr>
            <w:tcW w:w="9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r>
      <w:tr>
        <w:trPr>
          <w:trHeight w:val="243"/>
        </w:trPr>
        <w:tc>
          <w:tcPr>
            <w:tcW w:w="6600" w:type="dxa"/>
            <w:vAlign w:val="bottom"/>
            <w:shd w:val="clear" w:color="auto" w:fill="D0D8E8"/>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D0D8E8"/>
          </w:tcPr>
          <w:p>
            <w:pPr>
              <w:spacing w:after="0"/>
              <w:rPr>
                <w:sz w:val="21"/>
                <w:szCs w:val="21"/>
                <w:color w:val="auto"/>
              </w:rPr>
            </w:pPr>
          </w:p>
        </w:tc>
        <w:tc>
          <w:tcPr>
            <w:tcW w:w="980" w:type="dxa"/>
            <w:vAlign w:val="bottom"/>
            <w:shd w:val="clear" w:color="auto" w:fill="D0D8E8"/>
          </w:tcPr>
          <w:p>
            <w:pPr>
              <w:spacing w:after="0"/>
              <w:rPr>
                <w:sz w:val="21"/>
                <w:szCs w:val="21"/>
                <w:color w:val="auto"/>
              </w:rPr>
            </w:pPr>
          </w:p>
        </w:tc>
        <w:tc>
          <w:tcPr>
            <w:tcW w:w="62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D0D8E8"/>
          </w:tcPr>
          <w:p>
            <w:pPr>
              <w:spacing w:after="0"/>
              <w:rPr>
                <w:sz w:val="21"/>
                <w:szCs w:val="21"/>
                <w:color w:val="auto"/>
              </w:rPr>
            </w:pPr>
          </w:p>
        </w:tc>
        <w:tc>
          <w:tcPr>
            <w:tcW w:w="980" w:type="dxa"/>
            <w:vAlign w:val="bottom"/>
            <w:shd w:val="clear" w:color="auto" w:fill="D0D8E8"/>
          </w:tcPr>
          <w:p>
            <w:pPr>
              <w:spacing w:after="0"/>
              <w:rPr>
                <w:sz w:val="21"/>
                <w:szCs w:val="21"/>
                <w:color w:val="auto"/>
              </w:rPr>
            </w:pPr>
          </w:p>
        </w:tc>
        <w:tc>
          <w:tcPr>
            <w:tcW w:w="60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r>
      <w:tr>
        <w:trPr>
          <w:trHeight w:val="239"/>
        </w:trPr>
        <w:tc>
          <w:tcPr>
            <w:tcW w:w="6600" w:type="dxa"/>
            <w:vAlign w:val="bottom"/>
            <w:shd w:val="clear" w:color="auto" w:fill="E9EDF4"/>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E9EDF4"/>
          </w:tcPr>
          <w:p>
            <w:pPr>
              <w:spacing w:after="0"/>
              <w:rPr>
                <w:sz w:val="20"/>
                <w:szCs w:val="20"/>
                <w:color w:val="auto"/>
              </w:rPr>
            </w:pPr>
          </w:p>
        </w:tc>
        <w:tc>
          <w:tcPr>
            <w:tcW w:w="980" w:type="dxa"/>
            <w:vAlign w:val="bottom"/>
            <w:shd w:val="clear" w:color="auto" w:fill="E9EDF4"/>
          </w:tcPr>
          <w:p>
            <w:pPr>
              <w:spacing w:after="0"/>
              <w:rPr>
                <w:sz w:val="20"/>
                <w:szCs w:val="20"/>
                <w:color w:val="auto"/>
              </w:rPr>
            </w:pPr>
          </w:p>
        </w:tc>
        <w:tc>
          <w:tcPr>
            <w:tcW w:w="620" w:type="dxa"/>
            <w:vAlign w:val="bottom"/>
            <w:shd w:val="clear" w:color="auto" w:fill="E9EDF4"/>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E9EDF4"/>
          </w:tcPr>
          <w:p>
            <w:pPr>
              <w:spacing w:after="0"/>
              <w:rPr>
                <w:sz w:val="20"/>
                <w:szCs w:val="20"/>
                <w:color w:val="auto"/>
              </w:rPr>
            </w:pPr>
          </w:p>
        </w:tc>
        <w:tc>
          <w:tcPr>
            <w:tcW w:w="980" w:type="dxa"/>
            <w:vAlign w:val="bottom"/>
            <w:shd w:val="clear" w:color="auto" w:fill="E9EDF4"/>
          </w:tcPr>
          <w:p>
            <w:pPr>
              <w:spacing w:after="0"/>
              <w:rPr>
                <w:sz w:val="20"/>
                <w:szCs w:val="20"/>
                <w:color w:val="auto"/>
              </w:rPr>
            </w:pPr>
          </w:p>
        </w:tc>
        <w:tc>
          <w:tcPr>
            <w:tcW w:w="600" w:type="dxa"/>
            <w:vAlign w:val="bottom"/>
            <w:shd w:val="clear" w:color="auto" w:fill="E9EDF4"/>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6600" w:type="dxa"/>
            <w:vAlign w:val="bottom"/>
            <w:shd w:val="clear" w:color="auto" w:fill="D0D8E8"/>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shd w:val="clear" w:color="auto" w:fill="D0D8E8"/>
          </w:tcPr>
          <w:p>
            <w:pPr>
              <w:spacing w:after="0"/>
              <w:rPr>
                <w:sz w:val="21"/>
                <w:szCs w:val="21"/>
                <w:color w:val="auto"/>
              </w:rPr>
            </w:pPr>
          </w:p>
        </w:tc>
        <w:tc>
          <w:tcPr>
            <w:tcW w:w="980" w:type="dxa"/>
            <w:vAlign w:val="bottom"/>
            <w:shd w:val="clear" w:color="auto" w:fill="D0D8E8"/>
          </w:tcPr>
          <w:p>
            <w:pPr>
              <w:spacing w:after="0"/>
              <w:rPr>
                <w:sz w:val="21"/>
                <w:szCs w:val="21"/>
                <w:color w:val="auto"/>
              </w:rPr>
            </w:pPr>
          </w:p>
        </w:tc>
        <w:tc>
          <w:tcPr>
            <w:tcW w:w="62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D0D8E8"/>
          </w:tcPr>
          <w:p>
            <w:pPr>
              <w:spacing w:after="0"/>
              <w:rPr>
                <w:sz w:val="21"/>
                <w:szCs w:val="21"/>
                <w:color w:val="auto"/>
              </w:rPr>
            </w:pPr>
          </w:p>
        </w:tc>
        <w:tc>
          <w:tcPr>
            <w:tcW w:w="980" w:type="dxa"/>
            <w:vAlign w:val="bottom"/>
            <w:shd w:val="clear" w:color="auto" w:fill="D0D8E8"/>
          </w:tcPr>
          <w:p>
            <w:pPr>
              <w:spacing w:after="0"/>
              <w:rPr>
                <w:sz w:val="21"/>
                <w:szCs w:val="21"/>
                <w:color w:val="auto"/>
              </w:rPr>
            </w:pPr>
          </w:p>
        </w:tc>
        <w:tc>
          <w:tcPr>
            <w:tcW w:w="60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r>
      <w:tr>
        <w:trPr>
          <w:trHeight w:val="239"/>
        </w:trPr>
        <w:tc>
          <w:tcPr>
            <w:tcW w:w="6600" w:type="dxa"/>
            <w:vAlign w:val="bottom"/>
            <w:tcBorders>
              <w:bottom w:val="single" w:sz="8" w:color="E9EDF4"/>
            </w:tcBorders>
            <w:shd w:val="clear" w:color="auto" w:fill="E9EDF4"/>
          </w:tcPr>
          <w:p>
            <w:pPr>
              <w:ind w:left="18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80" w:type="dxa"/>
            <w:vAlign w:val="bottom"/>
            <w:tcBorders>
              <w:bottom w:val="single" w:sz="8" w:color="E9EDF4"/>
            </w:tcBorders>
            <w:shd w:val="clear" w:color="auto" w:fill="E9EDF4"/>
          </w:tcPr>
          <w:p>
            <w:pPr>
              <w:spacing w:after="0"/>
              <w:rPr>
                <w:sz w:val="20"/>
                <w:szCs w:val="20"/>
                <w:color w:val="auto"/>
              </w:rPr>
            </w:pPr>
          </w:p>
        </w:tc>
        <w:tc>
          <w:tcPr>
            <w:tcW w:w="980" w:type="dxa"/>
            <w:vAlign w:val="bottom"/>
            <w:tcBorders>
              <w:bottom w:val="single" w:sz="8" w:color="auto"/>
            </w:tcBorders>
            <w:shd w:val="clear" w:color="auto" w:fill="E9EDF4"/>
          </w:tcPr>
          <w:p>
            <w:pPr>
              <w:spacing w:after="0"/>
              <w:rPr>
                <w:sz w:val="20"/>
                <w:szCs w:val="20"/>
                <w:color w:val="auto"/>
              </w:rPr>
            </w:pPr>
          </w:p>
        </w:tc>
        <w:tc>
          <w:tcPr>
            <w:tcW w:w="62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E9EDF4"/>
            </w:tcBorders>
            <w:shd w:val="clear" w:color="auto" w:fill="E9EDF4"/>
          </w:tcPr>
          <w:p>
            <w:pPr>
              <w:spacing w:after="0"/>
              <w:rPr>
                <w:sz w:val="20"/>
                <w:szCs w:val="20"/>
                <w:color w:val="auto"/>
              </w:rPr>
            </w:pPr>
          </w:p>
        </w:tc>
        <w:tc>
          <w:tcPr>
            <w:tcW w:w="980" w:type="dxa"/>
            <w:vAlign w:val="bottom"/>
            <w:tcBorders>
              <w:bottom w:val="single" w:sz="8" w:color="auto"/>
            </w:tcBorders>
            <w:shd w:val="clear" w:color="auto" w:fill="E9EDF4"/>
          </w:tcPr>
          <w:p>
            <w:pPr>
              <w:spacing w:after="0"/>
              <w:rPr>
                <w:sz w:val="20"/>
                <w:szCs w:val="20"/>
                <w:color w:val="auto"/>
              </w:rPr>
            </w:pPr>
          </w:p>
        </w:tc>
        <w:tc>
          <w:tcPr>
            <w:tcW w:w="600" w:type="dxa"/>
            <w:vAlign w:val="bottom"/>
            <w:tcBorders>
              <w:bottom w:val="single" w:sz="8" w:color="auto"/>
            </w:tcBorders>
            <w:shd w:val="clear" w:color="auto" w:fill="E9EDF4"/>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r>
      <w:tr>
        <w:trPr>
          <w:trHeight w:val="241"/>
        </w:trPr>
        <w:tc>
          <w:tcPr>
            <w:tcW w:w="660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w:t>
            </w:r>
          </w:p>
        </w:tc>
        <w:tc>
          <w:tcPr>
            <w:tcW w:w="1160" w:type="dxa"/>
            <w:vAlign w:val="bottom"/>
            <w:gridSpan w:val="2"/>
            <w:shd w:val="clear" w:color="auto" w:fill="D0D8E8"/>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464</w:t>
            </w:r>
          </w:p>
        </w:tc>
        <w:tc>
          <w:tcPr>
            <w:tcW w:w="140" w:type="dxa"/>
            <w:vAlign w:val="bottom"/>
            <w:shd w:val="clear" w:color="auto" w:fill="D0D8E8"/>
          </w:tcPr>
          <w:p>
            <w:pPr>
              <w:spacing w:after="0"/>
              <w:rPr>
                <w:sz w:val="20"/>
                <w:szCs w:val="20"/>
                <w:color w:val="auto"/>
              </w:rPr>
            </w:pPr>
          </w:p>
        </w:tc>
        <w:tc>
          <w:tcPr>
            <w:tcW w:w="980" w:type="dxa"/>
            <w:vAlign w:val="bottom"/>
            <w:shd w:val="clear" w:color="auto" w:fill="D0D8E8"/>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tcPr>
          <w:p>
            <w:pPr>
              <w:spacing w:after="0"/>
              <w:rPr>
                <w:sz w:val="20"/>
                <w:szCs w:val="20"/>
                <w:color w:val="auto"/>
              </w:rPr>
            </w:pPr>
          </w:p>
        </w:tc>
      </w:tr>
      <w:tr>
        <w:trPr>
          <w:trHeight w:val="241"/>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EBITDAC Margin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36.9 %</w:t>
            </w:r>
          </w:p>
        </w:tc>
        <w:tc>
          <w:tcPr>
            <w:tcW w:w="9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34.9 %</w:t>
            </w:r>
          </w:p>
        </w:tc>
      </w:tr>
      <w:tr>
        <w:trPr>
          <w:trHeight w:val="245"/>
        </w:trPr>
        <w:tc>
          <w:tcPr>
            <w:tcW w:w="6600" w:type="dxa"/>
            <w:vAlign w:val="bottom"/>
            <w:shd w:val="clear" w:color="auto" w:fill="D0D8E8"/>
          </w:tcPr>
          <w:p>
            <w:pPr>
              <w:ind w:left="180"/>
              <w:spacing w:after="0"/>
              <w:rPr>
                <w:sz w:val="20"/>
                <w:szCs w:val="20"/>
                <w:color w:val="auto"/>
              </w:rPr>
            </w:pPr>
            <w:r>
              <w:rPr>
                <w:rFonts w:ascii="Times New Roman" w:cs="Times New Roman" w:eastAsia="Times New Roman" w:hAnsi="Times New Roman"/>
                <w:sz w:val="18"/>
                <w:szCs w:val="18"/>
                <w:color w:val="auto"/>
              </w:rPr>
              <w:t>(Gain)/loss on disposal</w:t>
            </w:r>
          </w:p>
        </w:tc>
        <w:tc>
          <w:tcPr>
            <w:tcW w:w="180" w:type="dxa"/>
            <w:vAlign w:val="bottom"/>
            <w:shd w:val="clear" w:color="auto" w:fill="D0D8E8"/>
          </w:tcPr>
          <w:p>
            <w:pPr>
              <w:spacing w:after="0"/>
              <w:rPr>
                <w:sz w:val="21"/>
                <w:szCs w:val="21"/>
                <w:color w:val="auto"/>
              </w:rPr>
            </w:pPr>
          </w:p>
        </w:tc>
        <w:tc>
          <w:tcPr>
            <w:tcW w:w="980" w:type="dxa"/>
            <w:vAlign w:val="bottom"/>
            <w:shd w:val="clear" w:color="auto" w:fill="D0D8E8"/>
          </w:tcPr>
          <w:p>
            <w:pPr>
              <w:spacing w:after="0"/>
              <w:rPr>
                <w:sz w:val="21"/>
                <w:szCs w:val="21"/>
                <w:color w:val="auto"/>
              </w:rPr>
            </w:pPr>
          </w:p>
        </w:tc>
        <w:tc>
          <w:tcPr>
            <w:tcW w:w="62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D0D8E8"/>
          </w:tcPr>
          <w:p>
            <w:pPr>
              <w:spacing w:after="0"/>
              <w:rPr>
                <w:sz w:val="21"/>
                <w:szCs w:val="21"/>
                <w:color w:val="auto"/>
              </w:rPr>
            </w:pPr>
          </w:p>
        </w:tc>
        <w:tc>
          <w:tcPr>
            <w:tcW w:w="980" w:type="dxa"/>
            <w:vAlign w:val="bottom"/>
            <w:shd w:val="clear" w:color="auto" w:fill="D0D8E8"/>
          </w:tcPr>
          <w:p>
            <w:pPr>
              <w:spacing w:after="0"/>
              <w:rPr>
                <w:sz w:val="21"/>
                <w:szCs w:val="21"/>
                <w:color w:val="auto"/>
              </w:rPr>
            </w:pPr>
          </w:p>
        </w:tc>
        <w:tc>
          <w:tcPr>
            <w:tcW w:w="600" w:type="dxa"/>
            <w:vAlign w:val="bottom"/>
            <w:shd w:val="clear" w:color="auto" w:fill="D0D8E8"/>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r>
      <w:tr>
        <w:trPr>
          <w:trHeight w:val="239"/>
        </w:trPr>
        <w:tc>
          <w:tcPr>
            <w:tcW w:w="6600" w:type="dxa"/>
            <w:vAlign w:val="bottom"/>
            <w:shd w:val="clear" w:color="auto" w:fill="E9EDF4"/>
          </w:tcPr>
          <w:p>
            <w:pPr>
              <w:ind w:left="18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180" w:type="dxa"/>
            <w:vAlign w:val="bottom"/>
            <w:shd w:val="clear" w:color="auto" w:fill="E9EDF4"/>
          </w:tcPr>
          <w:p>
            <w:pPr>
              <w:spacing w:after="0"/>
              <w:rPr>
                <w:sz w:val="20"/>
                <w:szCs w:val="20"/>
                <w:color w:val="auto"/>
              </w:rPr>
            </w:pPr>
          </w:p>
        </w:tc>
        <w:tc>
          <w:tcPr>
            <w:tcW w:w="980" w:type="dxa"/>
            <w:vAlign w:val="bottom"/>
            <w:shd w:val="clear" w:color="auto" w:fill="E9EDF4"/>
          </w:tcPr>
          <w:p>
            <w:pPr>
              <w:spacing w:after="0"/>
              <w:rPr>
                <w:sz w:val="20"/>
                <w:szCs w:val="20"/>
                <w:color w:val="auto"/>
              </w:rPr>
            </w:pPr>
          </w:p>
        </w:tc>
        <w:tc>
          <w:tcPr>
            <w:tcW w:w="760" w:type="dxa"/>
            <w:vAlign w:val="bottom"/>
            <w:gridSpan w:val="2"/>
            <w:shd w:val="clear" w:color="auto" w:fill="E9EDF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9EDF4"/>
          </w:tcPr>
          <w:p>
            <w:pPr>
              <w:spacing w:after="0"/>
              <w:rPr>
                <w:sz w:val="20"/>
                <w:szCs w:val="20"/>
                <w:color w:val="auto"/>
              </w:rPr>
            </w:pPr>
          </w:p>
        </w:tc>
        <w:tc>
          <w:tcPr>
            <w:tcW w:w="600" w:type="dxa"/>
            <w:vAlign w:val="bottom"/>
            <w:shd w:val="clear" w:color="auto" w:fill="E9EDF4"/>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1"/>
        </w:trPr>
        <w:tc>
          <w:tcPr>
            <w:tcW w:w="6600" w:type="dxa"/>
            <w:vAlign w:val="bottom"/>
            <w:tcBorders>
              <w:bottom w:val="single" w:sz="8" w:color="D0D8E8"/>
            </w:tcBorders>
            <w:shd w:val="clear" w:color="auto" w:fill="D0D8E8"/>
          </w:tcPr>
          <w:p>
            <w:pPr>
              <w:ind w:left="180"/>
              <w:spacing w:after="0"/>
              <w:rPr>
                <w:sz w:val="20"/>
                <w:szCs w:val="20"/>
                <w:color w:val="auto"/>
              </w:rPr>
            </w:pPr>
            <w:r>
              <w:rPr>
                <w:rFonts w:ascii="Times New Roman" w:cs="Times New Roman" w:eastAsia="Times New Roman" w:hAnsi="Times New Roman"/>
                <w:sz w:val="18"/>
                <w:szCs w:val="18"/>
                <w:color w:val="auto"/>
              </w:rPr>
              <w:t>1Q23 Nonrecurring Cost</w:t>
            </w:r>
          </w:p>
        </w:tc>
        <w:tc>
          <w:tcPr>
            <w:tcW w:w="180" w:type="dxa"/>
            <w:vAlign w:val="bottom"/>
            <w:tcBorders>
              <w:bottom w:val="single" w:sz="8" w:color="D0D8E8"/>
            </w:tcBorders>
            <w:shd w:val="clear" w:color="auto" w:fill="D0D8E8"/>
          </w:tcPr>
          <w:p>
            <w:pPr>
              <w:spacing w:after="0"/>
              <w:rPr>
                <w:sz w:val="20"/>
                <w:szCs w:val="20"/>
                <w:color w:val="auto"/>
              </w:rPr>
            </w:pPr>
          </w:p>
        </w:tc>
        <w:tc>
          <w:tcPr>
            <w:tcW w:w="980" w:type="dxa"/>
            <w:vAlign w:val="bottom"/>
            <w:tcBorders>
              <w:bottom w:val="single" w:sz="8" w:color="auto"/>
            </w:tcBorders>
            <w:shd w:val="clear" w:color="auto" w:fill="D0D8E8"/>
          </w:tcPr>
          <w:p>
            <w:pPr>
              <w:spacing w:after="0"/>
              <w:rPr>
                <w:sz w:val="20"/>
                <w:szCs w:val="20"/>
                <w:color w:val="auto"/>
              </w:rPr>
            </w:pPr>
          </w:p>
        </w:tc>
        <w:tc>
          <w:tcPr>
            <w:tcW w:w="620" w:type="dxa"/>
            <w:vAlign w:val="bottom"/>
            <w:tcBorders>
              <w:bottom w:val="single" w:sz="8" w:color="auto"/>
            </w:tcBorders>
            <w:shd w:val="clear" w:color="auto" w:fill="D0D8E8"/>
          </w:tcPr>
          <w:p>
            <w:pPr>
              <w:spacing w:after="0"/>
              <w:rPr>
                <w:sz w:val="20"/>
                <w:szCs w:val="20"/>
                <w:color w:val="auto"/>
              </w:rPr>
            </w:pPr>
          </w:p>
        </w:tc>
        <w:tc>
          <w:tcPr>
            <w:tcW w:w="140" w:type="dxa"/>
            <w:vAlign w:val="bottom"/>
            <w:tcBorders>
              <w:bottom w:val="single" w:sz="8" w:color="D0D8E8"/>
            </w:tcBorders>
            <w:shd w:val="clear" w:color="auto" w:fill="D0D8E8"/>
          </w:tcPr>
          <w:p>
            <w:pPr>
              <w:spacing w:after="0"/>
              <w:rPr>
                <w:sz w:val="20"/>
                <w:szCs w:val="20"/>
                <w:color w:val="auto"/>
              </w:rPr>
            </w:pPr>
          </w:p>
        </w:tc>
        <w:tc>
          <w:tcPr>
            <w:tcW w:w="980" w:type="dxa"/>
            <w:vAlign w:val="bottom"/>
            <w:tcBorders>
              <w:bottom w:val="single" w:sz="8" w:color="auto"/>
            </w:tcBorders>
            <w:shd w:val="clear" w:color="auto" w:fill="D0D8E8"/>
          </w:tcPr>
          <w:p>
            <w:pPr>
              <w:spacing w:after="0"/>
              <w:rPr>
                <w:sz w:val="20"/>
                <w:szCs w:val="20"/>
                <w:color w:val="auto"/>
              </w:rPr>
            </w:pPr>
          </w:p>
        </w:tc>
        <w:tc>
          <w:tcPr>
            <w:tcW w:w="600" w:type="dxa"/>
            <w:vAlign w:val="bottom"/>
            <w:tcBorders>
              <w:bottom w:val="single" w:sz="8" w:color="auto"/>
            </w:tcBorders>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3"/>
        </w:trPr>
        <w:tc>
          <w:tcPr>
            <w:tcW w:w="6600" w:type="dxa"/>
            <w:vAlign w:val="bottom"/>
            <w:shd w:val="clear" w:color="auto" w:fill="D0D8E8"/>
          </w:tcPr>
          <w:p>
            <w:pPr>
              <w:spacing w:after="0"/>
              <w:rPr>
                <w:sz w:val="20"/>
                <w:szCs w:val="20"/>
                <w:color w:val="auto"/>
              </w:rPr>
            </w:pPr>
            <w:r>
              <w:rPr>
                <w:rFonts w:ascii="Times New Roman" w:cs="Times New Roman" w:eastAsia="Times New Roman" w:hAnsi="Times New Roman"/>
                <w:sz w:val="18"/>
                <w:szCs w:val="18"/>
                <w:b w:val="1"/>
                <w:bCs w:val="1"/>
                <w:color w:val="auto"/>
              </w:rPr>
              <w:t>EBITDAC - Adjusted</w:t>
            </w:r>
          </w:p>
        </w:tc>
        <w:tc>
          <w:tcPr>
            <w:tcW w:w="1160" w:type="dxa"/>
            <w:vAlign w:val="bottom"/>
            <w:gridSpan w:val="2"/>
            <w:shd w:val="clear" w:color="auto" w:fill="D0D8E8"/>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466</w:t>
            </w:r>
          </w:p>
        </w:tc>
        <w:tc>
          <w:tcPr>
            <w:tcW w:w="140" w:type="dxa"/>
            <w:vAlign w:val="bottom"/>
            <w:shd w:val="clear" w:color="auto" w:fill="D0D8E8"/>
          </w:tcPr>
          <w:p>
            <w:pPr>
              <w:spacing w:after="0"/>
              <w:rPr>
                <w:sz w:val="21"/>
                <w:szCs w:val="21"/>
                <w:color w:val="auto"/>
              </w:rPr>
            </w:pPr>
          </w:p>
        </w:tc>
        <w:tc>
          <w:tcPr>
            <w:tcW w:w="980" w:type="dxa"/>
            <w:vAlign w:val="bottom"/>
            <w:shd w:val="clear" w:color="auto" w:fill="D0D8E8"/>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D0D8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398</w:t>
            </w:r>
          </w:p>
        </w:tc>
        <w:tc>
          <w:tcPr>
            <w:tcW w:w="100" w:type="dxa"/>
            <w:vAlign w:val="bottom"/>
          </w:tcPr>
          <w:p>
            <w:pPr>
              <w:spacing w:after="0"/>
              <w:rPr>
                <w:sz w:val="21"/>
                <w:szCs w:val="21"/>
                <w:color w:val="auto"/>
              </w:rPr>
            </w:pPr>
          </w:p>
        </w:tc>
      </w:t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EBITDAC Margin - Adjusted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37.0 %</w:t>
            </w:r>
          </w:p>
        </w:tc>
        <w:tc>
          <w:tcPr>
            <w:tcW w:w="9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-1864995</wp:posOffset>
            </wp:positionV>
            <wp:extent cx="641223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-930910</wp:posOffset>
            </wp:positionV>
            <wp:extent cx="64122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-150495</wp:posOffset>
            </wp:positionV>
            <wp:extent cx="641223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-2190750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-2028190</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-1093470</wp:posOffset>
            </wp:positionV>
            <wp:extent cx="93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-313690</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2" w:lineRule="exact"/>
        <w:rPr>
          <w:sz w:val="20"/>
          <w:szCs w:val="20"/>
          <w:color w:val="auto"/>
        </w:rPr>
      </w:pPr>
    </w:p>
    <w:p>
      <w:pPr>
        <w:ind w:left="-8" w:right="2800" w:firstLine="8"/>
        <w:spacing w:after="0" w:line="532" w:lineRule="auto"/>
        <w:tabs>
          <w:tab w:leader="none" w:pos="2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 See information regarding non-GAAP measures presented later in this press release.</w:t>
      </w:r>
    </w:p>
    <w:p>
      <w:pPr>
        <w:spacing w:after="0" w:line="270"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72"/>
          </w:cols>
          <w:pgMar w:left="328" w:top="1193" w:right="7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and fees</w:t>
            </w:r>
          </w:p>
        </w:tc>
        <w:tc>
          <w:tcPr>
            <w:tcW w:w="3900" w:type="dxa"/>
            <w:vAlign w:val="bottom"/>
            <w:gridSpan w:val="2"/>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80" w:type="dxa"/>
            <w:vAlign w:val="bottom"/>
          </w:tcPr>
          <w:p>
            <w:pPr>
              <w:spacing w:after="0"/>
              <w:rPr>
                <w:sz w:val="21"/>
                <w:szCs w:val="21"/>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Loss/(Gain) on disposal</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10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2860" w:type="dxa"/>
            <w:vAlign w:val="bottom"/>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6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2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8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60" w:type="dxa"/>
            <w:vAlign w:val="bottom"/>
          </w:tcPr>
          <w:p>
            <w:pPr>
              <w:spacing w:after="0"/>
              <w:rPr>
                <w:sz w:val="21"/>
                <w:szCs w:val="21"/>
                <w:color w:val="auto"/>
              </w:rPr>
            </w:pPr>
          </w:p>
        </w:tc>
        <w:tc>
          <w:tcPr>
            <w:tcW w:w="104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1"/>
                <w:szCs w:val="21"/>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6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6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millions, except per share data,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581</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cash</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receivables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Reinsurance recoverable</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7,386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14,806</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14,883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Unearned premiums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4,880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$0.10 per share; authorized 560 shares; issued 305 shares and outstanding</w:t>
            </w: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285 shares at 2024, issued 304 shares and outstanding 285 shares at 2023, respectively</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20 shares at 2024, 20 shares at 2023, respectively.</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5,544</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5,289</w:t>
            </w:r>
          </w:p>
        </w:tc>
        <w:tc>
          <w:tcPr>
            <w:tcW w:w="0" w:type="dxa"/>
            <w:vAlign w:val="bottom"/>
          </w:tcPr>
          <w:p>
            <w:pPr>
              <w:spacing w:after="0"/>
              <w:rPr>
                <w:sz w:val="1"/>
                <w:szCs w:val="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5,787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14,806</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14,883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millions,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4"/>
                <w:szCs w:val="14"/>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2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before non-controlling interests to net cash provided by operating</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loss/(gain) on sales/disposals of investments, fixed assets and customer accounts</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acquisition earn-outs in excess of original estimated payables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from acquisitions and divestitures:</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fees and other receivables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Reinsurance recoverables (increase)/decrease</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reinsurance premiums (increase)/decrease</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 (increase)/decrease</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reserve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Unearned premiums increase/(decrease)</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 increase/(decrease)</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 increase/(decrease)</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fixed assets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businesses acquired, net of cash acquired</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fixed assets and customer accounts</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receivables and liabilities, net</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acquisition earn-outs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on revolving credit facilities</w:t>
            </w:r>
          </w:p>
        </w:tc>
        <w:tc>
          <w:tcPr>
            <w:tcW w:w="10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shares to fund tax withholdings for non-cash stock-based compensation</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 acquired (disposed), net</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in cash and cash equivalents inclusive of fiduciary cash</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inclusive of fiduciary cash</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inclusive of fiduciary cash at beginning of period</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2,303</w:t>
            </w: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 inclusive of fiduciary cash at end of period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7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webcast and slide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conference call to discuss the results of the first quarter of 2024 will be held on Tuesday, April 23, 2024, at 8:00 AM (EDT). The Company may refer to a slide presentation during its conference call. You can access the webcast and the slides from the "Investor Relations" section of the Company’s website at </w:t>
      </w:r>
      <w:r>
        <w:rPr>
          <w:rFonts w:ascii="Times New Roman" w:cs="Times New Roman" w:eastAsia="Times New Roman" w:hAnsi="Times New Roman"/>
          <w:sz w:val="18"/>
          <w:szCs w:val="18"/>
          <w:u w:val="single" w:color="auto"/>
          <w:color w:val="0000FF"/>
        </w:rPr>
        <w:t>bbinsurance.com.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Brown &amp; Brown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Brown &amp; Brown, Inc. (NYSE: BRO) is a leading insurance brokerage firm, delivering risk management solutions to individuals and businesses since 1939. With over 16,000 teammates and 500+ locations worldwide, we are committed to providing innovative strategies to help protect what our customers value most. For more information or to find an office near you, please visit </w:t>
      </w:r>
      <w:r>
        <w:rPr>
          <w:rFonts w:ascii="Times New Roman" w:cs="Times New Roman" w:eastAsia="Times New Roman" w:hAnsi="Times New Roman"/>
          <w:sz w:val="18"/>
          <w:szCs w:val="18"/>
          <w:u w:val="single" w:color="auto"/>
          <w:color w:val="0000FF"/>
        </w:rPr>
        <w:t>bbinsurance.com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may contain certain statements relating to future results which are “forward-looking statements” within the meaning of Section 27A of the Securities Act of 1933 and Section 21E of the Securities Exchange Act of 1934, which are intended to be covered by the safe harbors created by those laws.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press release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press release include but are not limited to the following items: the inability to hire, retain and develop qualified employees, as well as the loss of any of our executive officers or other key employees; a cybersecurity attack or any other interruption in information technology and/or data security that may impact our operations or the operations of third parties that support us; 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risks related to our international operations, which may result in additional risks or require more management time and expense than our domestic operations to achieve or maintain profitability; the requirement for additional resources and time to adequately respond to dynamics resulting from rapid technological change; the loss of or significant change to any of our insurance company relationships, which could result in loss of capacity to write business, additional expense, loss of market share or material decrease in our commissions; the effect of natural disasters on our profit-sharing contingent commissions, insurer capacity or claims expenses within our capitalized captive insurance facilities; adverse economic conditions, political conditions, outbreaks of war, disasters, or regulatory changes in states or countries where we have a concentration of our business; the inability to maintain our culture or a significant change in management, management philosophy or our business strategy; fluctuations in our commission revenue as a result of factors outside of our control; the effects of sustained inflation or higher interest rates; claims expense resulting from the limited underwriting risk associated with our participation in capitalized captive insurance facilities; risks associated with our automobile and recreational vehicle dealer services (“F&amp;I”) businesses; changes in, or the termination of, certain programs administered by the U.S. federal government from which we derive revenues; the limitations of our system of disclosure and internal controls and procedures in preventing errors or fraud, or in informing management of all material information in a timely manner; the significant control certain shareholders have over the Company; changes in data privacy and protection laws and regulations or any failure to comply with such laws and regulations; improper disclosure of confidential information; our ability to comply with non-U.S. laws, regulations and policies; the potential adverse effect of certain actual or potential claims, regulatory actions or proceedings on our businesses, results of operations, financial condition or liquidity; uncertainty in our business practices and compensation arrangements with insurance carriers due to potential changes in regulations; 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third-parties; increasing scrutiny and changing laws and expectations from regulators, investors and customers with respect to our environmental, social and governance practices and disclosure; a decrease in demand for liability insurance as a result of tort reform legislation; our failure to comply with any covenants contained in our debt agreements; the possibility that covenants in our debt agreements could prevent us from engaging in certain potentially beneficial activities; changes in the U.S.-based credit markets that might adversely affect our business, results of operations and financial condition; changes in current U.S. or global economic conditions, including an extended slowdown in the markets in which we operate; disintermediation within the insurance industry, including increased competition from insurance companies, technology companies and the financial services industry, as well as the shift away from traditional insurance markets; conditions that result in reduced insurer capacity; quarterly and annual variations in our commissions that result from the timing of policy renewals and the net effect of new and lost business production; intangible asset risk, including the possibility that our goodwill may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auto"/>
        </w:rPr>
        <w:t>become impaired in the future; future pandemics, epidemics or outbreaks of infectious diseases, and the resulting governmental and societal responses; other risks and uncertainties as may be detailed from time to time in our public announcements and Securities and Exchange Commission (“SEC”) filings; and other factors that the Company may not have currently identified or quantified. 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release, and the Company does not undertake any obligation to publicly update or correct any forward-looking statements to reflect events or circumstances that subsequently occur or of which the Company hereafter becomes aware.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supplemental financial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references to "non-GAAP financial measures" as defined in SEC Regulation G, consisting of Organic Revenue, EBITDAC, EBITDAC Margin, EBITDAC - Adjusted, EBITDAC Margin - Adjusted and Diluted Net Income Per Share - Adjusted. We present these measures because we believe such information is of interest to the investment community and because we believe it provides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a reconciliation of such items to GAAP information can be found within this press release as well as in our periodic filings with the SEC.</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view Organic Revenue and Organic Revenue growth as important indicators when assessing and evaluating our performance on a consolidated basis and for each of our three segments, because it allows us to determine a comparable, but non-GAAP, measurement of revenue growth that is associated with the revenue sources that were a part of our business in both the current and prior year and that are expected to continue in the future. In addition, we believe Diluted Net Income Per Share - Adjusted provides a meaningful representation of our operating performance and improves the comparability of our results between periods by excluding the impact of the change in estimated acquisition earn-out payables, the impact of amortization of intangible assets and certain other non-recurring or infrequently occurring items.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Diluted Net Income Per Share - Adjusted and EBITDAC Margin - Adjusted as key performance metrics for our short-term and long-term incentive compensation plans for executive officers and other key employees.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January 1, 2024, we no longer exclude Foreign Currency Translation from the calculation of EBITDAC - Adjusted, EBITDAC Margin - Adjusted and Diluted Net Income Per Share - Adjusted. Prior periods are presented accordingly on the same basis so that the calculations of EBITDAC - Adjusted, EBITDAC Margin - Adjusted and Diluted Net Income Per Share - Adjusted are comparable for both periods. We no longer exclude Foreign Currency Translation from the calculation of these earnings measures because fluctuations in Foreign Currency Translation affect both our revenues and expenses, largely offsetting each other. Therefore, excluding Foreign Currency Translation from these earnings measures provides no meaningful incremental value in evaluating our financial performance.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2024, amortization of intangible assets is excluded from the calculation of Diluted Net Income Per Share - Adjusted. Prior periods are presented accordingly on the same basis so that the calculation of Diluted Net Income Per Share - Adjusted is comparable for both periods. We exclude the impact of amortization of intangible assets from the calculation of Diluted Net Income Per Share - Adjusted because amortization of intangible assets is a non-cash expense that is not indicative of the performance of our business and provides no meaningful incremental value in evaluating our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117" w:lineRule="exact"/>
        <w:rPr>
          <w:sz w:val="20"/>
          <w:szCs w:val="20"/>
          <w:color w:val="auto"/>
        </w:rPr>
      </w:pPr>
    </w:p>
    <w:p>
      <w:pPr>
        <w:jc w:val="both"/>
        <w:ind w:left="1020" w:hanging="503"/>
        <w:spacing w:after="0" w:line="26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12 months by newly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left="1020" w:right="20"/>
        <w:spacing w:after="0" w:line="282" w:lineRule="auto"/>
        <w:rPr>
          <w:sz w:val="20"/>
          <w:szCs w:val="20"/>
          <w:color w:val="auto"/>
        </w:rPr>
      </w:pPr>
      <w:r>
        <w:rPr>
          <w:rFonts w:ascii="Times New Roman" w:cs="Times New Roman" w:eastAsia="Times New Roman" w:hAnsi="Times New Roman"/>
          <w:sz w:val="18"/>
          <w:szCs w:val="18"/>
          <w:color w:val="auto"/>
        </w:rPr>
        <w:t>therefore represents the revenues earned directly from specific insurance policies sold and specific fee-based services rendered. Organic Revenue can be expressed as a dollar amount or a percentage rate when describing Organic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17" w:lineRule="exact"/>
        <w:rPr>
          <w:sz w:val="20"/>
          <w:szCs w:val="20"/>
          <w:color w:val="auto"/>
        </w:rPr>
      </w:pPr>
    </w:p>
    <w:p>
      <w:pPr>
        <w:ind w:left="10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404040"/>
        </w:rPr>
        <w:t>defined as EBITDAC, excluding (i) (gain)/loss on disposal, (ii) for 2022 and 2023, Acquisition/Integration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404040"/>
        </w:rPr>
        <w:t>(as defined below) and (iii) for 2023, the 1Q23 Nonrecurring Cost (as defined below).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Net Income Per Share - Adjusted </w:t>
      </w:r>
      <w:r>
        <w:rPr>
          <w:rFonts w:ascii="Times New Roman" w:cs="Times New Roman" w:eastAsia="Times New Roman" w:hAnsi="Times New Roman"/>
          <w:sz w:val="18"/>
          <w:szCs w:val="18"/>
          <w:color w:val="auto"/>
        </w:rPr>
        <w:t>is defined as diluted net income per share, excluding the after-tax impact of (i)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acquisition earn-out payables, (ii) (gain)/loss on disposal, (iii) for 2022 and 2023, Acquisition/Integration Costs (as defined below), (iv) for 2023, the 1Q23 Nonrecurring Cost (as defined below) and (v) amortization.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117" w:lineRule="exact"/>
        <w:rPr>
          <w:sz w:val="20"/>
          <w:szCs w:val="20"/>
          <w:color w:val="auto"/>
        </w:rPr>
      </w:pPr>
    </w:p>
    <w:p>
      <w:pPr>
        <w:jc w:val="both"/>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“Acquisition/Integration Costs” </w:t>
      </w:r>
      <w:r>
        <w:rPr>
          <w:rFonts w:ascii="Times New Roman" w:cs="Times New Roman" w:eastAsia="Times New Roman" w:hAnsi="Times New Roman"/>
          <w:sz w:val="18"/>
          <w:szCs w:val="18"/>
          <w:color w:val="auto"/>
        </w:rPr>
        <w:t>means the acquisition and integration costs (e.g., costs associated with regulatory filings, legal/accounting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due diligence and the costs of integrating our information technology systems) arising out of our acquisitions of GRP (Jersey) Holdco Limited and its business, Orchid Underwriters Agency and CrossCover Insurance Services, and BdB Limited companies, which are not considered to be normal, recurring or part of the ongoing operations.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62"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“1Q23 Nonrecurring Cost” </w:t>
      </w:r>
      <w:r>
        <w:rPr>
          <w:rFonts w:ascii="Times New Roman" w:cs="Times New Roman" w:eastAsia="Times New Roman" w:hAnsi="Times New Roman"/>
          <w:sz w:val="18"/>
          <w:szCs w:val="18"/>
          <w:color w:val="auto"/>
        </w:rPr>
        <w:t>means approximately $11.0 million expensed and substantially paid in the first quarter of 2023 to resolve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matter, which is not considered to be normal, recurring or part of the ongoing operations.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(Gain)/loss on disposal</w:t>
      </w:r>
      <w:r>
        <w:rPr>
          <w:rFonts w:ascii="Times New Roman" w:cs="Times New Roman" w:eastAsia="Times New Roman" w:hAnsi="Times New Roman"/>
          <w:sz w:val="18"/>
          <w:szCs w:val="18"/>
          <w:color w:val="auto"/>
        </w:rPr>
        <w:t>,” a caption on our consolidated statements of income which reflects net proceeds received as compared to net book value related to sales of books of business and other divestiture transactions, such as the disposal of a business through sale or closure.</w:t>
      </w:r>
    </w:p>
    <w:p>
      <w:pPr>
        <w:spacing w:after="0" w:line="1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Andrew Watts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(386) 239-5770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2024-04-22T16:30:39Z</dcterms:created>
  <dcterms:modified xsi:type="dcterms:W3CDTF">2024-04-22T16:30:39Z</dcterms:modified>
</cp:coreProperties>
</file>