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P Barrett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 BEACH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BROWN &amp; BROWN,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EVP and Pres.- Retail Segment</w:t>
      </w:r>
    </w:p>
    <w:p>
      <w:pPr>
        <w:spacing w:after="0" w:line="333" w:lineRule="exact"/>
        <w:rPr>
          <w:sz w:val="24"/>
          <w:szCs w:val="24"/>
          <w:color w:val="auto"/>
        </w:rPr>
      </w:pPr>
    </w:p>
    <w:p>
      <w:pPr>
        <w:sectPr>
          <w:pgSz w:w="11900" w:h="16838" w:orient="portrait"/>
          <w:cols w:equalWidth="0" w:num="3">
            <w:col w:w="3200" w:space="720"/>
            <w:col w:w="3095" w:space="720"/>
            <w:col w:w="3265"/>
          </w:cols>
          <w:pgMar w:left="460" w:top="219" w:right="439" w:bottom="473"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32114</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2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240" w:type="dxa"/>
            <w:vAlign w:val="bottom"/>
            <w:vMerge w:val="restart"/>
          </w:tcPr>
          <w:p>
            <w:pPr>
              <w:ind w:left="180"/>
              <w:spacing w:after="0"/>
              <w:rPr>
                <w:sz w:val="20"/>
                <w:szCs w:val="20"/>
                <w:color w:val="auto"/>
              </w:rPr>
            </w:pPr>
            <w:r>
              <w:rPr>
                <w:rFonts w:ascii="Arial" w:cs="Arial" w:eastAsia="Arial" w:hAnsi="Arial"/>
                <w:sz w:val="13"/>
                <w:szCs w:val="13"/>
                <w:color w:val="auto"/>
              </w:rPr>
              <w:t>(State)</w:t>
            </w:r>
          </w:p>
        </w:tc>
        <w:tc>
          <w:tcPr>
            <w:tcW w:w="178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0"/>
          </w:tcPr>
          <w:p>
            <w:pPr>
              <w:ind w:left="10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38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8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8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7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100,360</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18"/>
                <w:szCs w:val="18"/>
                <w:color w:val="auto"/>
              </w:rPr>
            </w:pP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1,954,590</w:t>
            </w:r>
            <w:r>
              <w:rPr>
                <w:rFonts w:ascii="Times New Roman" w:cs="Times New Roman" w:eastAsia="Times New Roman" w:hAnsi="Times New Roman"/>
                <w:sz w:val="22"/>
                <w:szCs w:val="22"/>
                <w:color w:val="008000"/>
                <w:vertAlign w:val="superscript"/>
              </w:rPr>
              <w:t>(1)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Lead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gridSpan w:val="3"/>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Trust</w:t>
      </w:r>
    </w:p>
    <w:p>
      <w:pPr>
        <w:sectPr>
          <w:pgSz w:w="11900" w:h="16838" w:orient="portrait"/>
          <w:cols w:equalWidth="0" w:num="1">
            <w:col w:w="11000"/>
          </w:cols>
          <w:pgMar w:left="460" w:top="219" w:right="439" w:bottom="473" w:gutter="0" w:footer="0" w:header="0"/>
          <w:type w:val="continuous"/>
        </w:sectPr>
      </w:pPr>
    </w:p>
    <w:p>
      <w:pPr>
        <w:spacing w:after="0" w:line="29" w:lineRule="exact"/>
        <w:rPr>
          <w:sz w:val="24"/>
          <w:szCs w:val="24"/>
          <w:color w:val="auto"/>
        </w:rPr>
      </w:pPr>
    </w:p>
    <w:p>
      <w:pPr>
        <w:spacing w:after="0"/>
        <w:rPr>
          <w:sz w:val="20"/>
          <w:szCs w:val="20"/>
          <w:color w:val="auto"/>
        </w:rPr>
      </w:pPr>
      <w:r>
        <w:rPr>
          <w:sz w:val="1"/>
          <w:szCs w:val="1"/>
          <w:color w:val="auto"/>
        </w:rPr>
        <w:drawing>
          <wp:inline distT="0" distB="0" distL="0" distR="0">
            <wp:extent cx="33655" cy="2451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245110"/>
                    </a:xfrm>
                    <a:prstGeom prst="rect">
                      <a:avLst/>
                    </a:prstGeom>
                    <a:noFill/>
                    <a:ln>
                      <a:noFill/>
                    </a:ln>
                  </pic:spPr>
                </pic:pic>
              </a:graphicData>
            </a:graphic>
          </wp:inline>
        </w:drawing>
      </w:r>
      <w:r>
        <w:rPr>
          <w:rFonts w:ascii="Times New Roman" w:cs="Times New Roman" w:eastAsia="Times New Roman" w:hAnsi="Times New Roman"/>
          <w:sz w:val="17"/>
          <w:szCs w:val="17"/>
          <w:color w:val="0000FF"/>
        </w:rPr>
        <w:t xml:space="preserve"> Common Stock, $.10 par value</w:t>
      </w:r>
    </w:p>
    <w:p>
      <w:pPr>
        <w:spacing w:after="0" w:line="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$.10 par value (2019</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SIP)</w:t>
      </w:r>
    </w:p>
    <w:p>
      <w:pPr>
        <w:spacing w:after="0" w:line="31" w:lineRule="exact"/>
        <w:rPr>
          <w:sz w:val="24"/>
          <w:szCs w:val="24"/>
          <w:color w:val="auto"/>
        </w:rPr>
      </w:pPr>
    </w:p>
    <w:p>
      <w:pPr>
        <w:jc w:val="right"/>
        <w:ind w:right="5220"/>
        <w:spacing w:after="0"/>
        <w:rPr>
          <w:sz w:val="20"/>
          <w:szCs w:val="20"/>
          <w:color w:val="auto"/>
        </w:rPr>
      </w:pPr>
      <w:r>
        <w:rPr>
          <w:sz w:val="1"/>
          <w:szCs w:val="1"/>
          <w:color w:val="auto"/>
        </w:rPr>
        <w:drawing>
          <wp:inline distT="0" distB="0" distL="0" distR="0">
            <wp:extent cx="33655" cy="2451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245110"/>
                    </a:xfrm>
                    <a:prstGeom prst="rect">
                      <a:avLst/>
                    </a:prstGeom>
                    <a:noFill/>
                    <a:ln>
                      <a:noFill/>
                    </a:ln>
                  </pic:spPr>
                </pic:pic>
              </a:graphicData>
            </a:graphic>
          </wp:inline>
        </w:drawing>
      </w:r>
      <w:r>
        <w:rPr>
          <w:rFonts w:ascii="Times New Roman" w:cs="Times New Roman" w:eastAsia="Times New Roman" w:hAnsi="Times New Roman"/>
          <w:sz w:val="16"/>
          <w:szCs w:val="16"/>
          <w:color w:val="0000FF"/>
        </w:rPr>
        <w:t xml:space="preserve"> Common Stock, $.10 par value</w:t>
      </w:r>
    </w:p>
    <w:p>
      <w:pPr>
        <w:spacing w:after="0" w:line="32" w:lineRule="exact"/>
        <w:rPr>
          <w:sz w:val="24"/>
          <w:szCs w:val="24"/>
          <w:color w:val="auto"/>
        </w:rPr>
      </w:pPr>
    </w:p>
    <w:p>
      <w:pPr>
        <w:jc w:val="right"/>
        <w:ind w:right="5220"/>
        <w:spacing w:after="0"/>
        <w:rPr>
          <w:sz w:val="20"/>
          <w:szCs w:val="20"/>
          <w:color w:val="auto"/>
        </w:rPr>
      </w:pPr>
      <w:r>
        <w:rPr>
          <w:rFonts w:ascii="Times New Roman" w:cs="Times New Roman" w:eastAsia="Times New Roman" w:hAnsi="Times New Roman"/>
          <w:sz w:val="17"/>
          <w:szCs w:val="17"/>
          <w:color w:val="0000FF"/>
        </w:rPr>
        <w:t>Common Stock, $.10 par value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1"/>
        </w:trPr>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7"/>
                <w:szCs w:val="17"/>
                <w:color w:val="0000FF"/>
                <w:w w:val="96"/>
              </w:rPr>
              <w:t>1,340,732</w:t>
            </w:r>
            <w:r>
              <w:rPr>
                <w:rFonts w:ascii="Times New Roman" w:cs="Times New Roman" w:eastAsia="Times New Roman" w:hAnsi="Times New Roman"/>
                <w:sz w:val="22"/>
                <w:szCs w:val="22"/>
                <w:color w:val="008000"/>
                <w:w w:val="96"/>
                <w:vertAlign w:val="superscript"/>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spacing w:after="0"/>
              <w:rPr>
                <w:sz w:val="24"/>
                <w:szCs w:val="24"/>
                <w:color w:val="auto"/>
              </w:rPr>
            </w:pPr>
          </w:p>
        </w:tc>
      </w:tr>
      <w:tr>
        <w:trPr>
          <w:trHeight w:val="453"/>
        </w:trPr>
        <w:tc>
          <w:tcPr>
            <w:tcW w:w="11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0000FF"/>
                <w:w w:val="93"/>
              </w:rPr>
              <w:t>71,611</w:t>
            </w:r>
            <w:r>
              <w:rPr>
                <w:rFonts w:ascii="Times New Roman" w:cs="Times New Roman" w:eastAsia="Times New Roman" w:hAnsi="Times New Roman"/>
                <w:sz w:val="22"/>
                <w:szCs w:val="22"/>
                <w:color w:val="008000"/>
                <w:w w:val="93"/>
                <w:vertAlign w:val="superscript"/>
              </w:rPr>
              <w:t>(3)</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spacing w:after="0"/>
              <w:rPr>
                <w:sz w:val="24"/>
                <w:szCs w:val="24"/>
                <w:color w:val="auto"/>
              </w:rPr>
            </w:pPr>
          </w:p>
        </w:tc>
      </w:tr>
      <w:tr>
        <w:trPr>
          <w:trHeight w:val="453"/>
        </w:trPr>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7"/>
                <w:szCs w:val="17"/>
                <w:color w:val="0000FF"/>
                <w:w w:val="97"/>
              </w:rPr>
              <w:t>10,601</w:t>
            </w:r>
            <w:r>
              <w:rPr>
                <w:rFonts w:ascii="Times New Roman" w:cs="Times New Roman" w:eastAsia="Times New Roman" w:hAnsi="Times New Roman"/>
                <w:sz w:val="22"/>
                <w:szCs w:val="22"/>
                <w:color w:val="008000"/>
                <w:w w:val="97"/>
                <w:vertAlign w:val="superscript"/>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401k</w:t>
            </w:r>
          </w:p>
        </w:tc>
      </w:tr>
      <w:tr>
        <w:trPr>
          <w:trHeight w:val="346"/>
        </w:trPr>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7"/>
                <w:szCs w:val="17"/>
                <w:color w:val="0000FF"/>
                <w:w w:val="99"/>
              </w:rPr>
              <w:t>2,324</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6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3"/>
              </w:rPr>
              <w:t>Children</w:t>
            </w:r>
            <w:r>
              <w:rPr>
                <w:rFonts w:ascii="Times New Roman" w:cs="Times New Roman" w:eastAsia="Times New Roman" w:hAnsi="Times New Roman"/>
                <w:sz w:val="22"/>
                <w:szCs w:val="22"/>
                <w:color w:val="008000"/>
                <w:w w:val="93"/>
                <w:vertAlign w:val="superscript"/>
              </w:rPr>
              <w:t>(5)</w:t>
            </w:r>
          </w:p>
        </w:tc>
      </w:tr>
    </w:tbl>
    <w:p>
      <w:pPr>
        <w:spacing w:after="0" w:line="71" w:lineRule="exact"/>
        <w:rPr>
          <w:sz w:val="24"/>
          <w:szCs w:val="24"/>
          <w:color w:val="auto"/>
        </w:rPr>
      </w:pPr>
    </w:p>
    <w:p>
      <w:pPr>
        <w:sectPr>
          <w:pgSz w:w="11900" w:h="16838" w:orient="portrait"/>
          <w:cols w:equalWidth="0" w:num="2">
            <w:col w:w="7460" w:space="720"/>
            <w:col w:w="2820"/>
          </w:cols>
          <w:pgMar w:left="460" w:top="219" w:right="439" w:bottom="473"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James Hyatt Brown Nongrantor Charitable Lead Annuity Trust, of which the Reporting Person is a trustee and a remainder beneficiary.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total of 357 of these shares were acquired through the Company's Employee Stock Purchase Plan in July 2024. Number of shares may vary due to dividend reinvesment.</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Company's 2019 Stock Incentive Plan ("2019 SIP"). The Reporting Person has voting rights and dividend entitlement with respect to these shares, but full ownership will not vest until the satisfaction of service-based conditions.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upon information supplied by the plan record keeper as of December 31, 2023. Number of shares varied periodically based on contributions to the plan.</w:t>
      </w:r>
    </w:p>
    <w:p>
      <w:pPr>
        <w:spacing w:after="0" w:line="50"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disclaims beneficial ownership of securities owned by children who share the Reporting person's household. This report shall not be deemed an admission that the Reporting Person is the beneficial owner of such securities for the purpose of Section 16 or for any other purpose.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P. Barrett Brown</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9832" TargetMode="External"/><Relationship Id="rId14"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2025-01-02T16:03:59Z</dcterms:created>
  <dcterms:modified xsi:type="dcterms:W3CDTF">2025-01-02T16:03:59Z</dcterms:modified>
</cp:coreProperties>
</file>