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2025</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tbl>
      <w:tblPr>
        <w:tblLayout w:type="fixed"/>
        <w:tblInd w:w="980" w:type="dxa"/>
        <w:tblCellMar>
          <w:top w:w="0" w:type="dxa"/>
          <w:left w:w="0" w:type="dxa"/>
          <w:bottom w:w="0" w:type="dxa"/>
          <w:right w:w="0" w:type="dxa"/>
        </w:tblCellMar>
      </w:tblPr>
      <w:tr>
        <w:trPr>
          <w:trHeight w:val="214"/>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57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001-13619</w:t>
            </w:r>
          </w:p>
        </w:tc>
        <w:tc>
          <w:tcPr>
            <w:tcW w:w="1460" w:type="dxa"/>
            <w:vAlign w:val="bottom"/>
          </w:tcPr>
          <w:p>
            <w:pPr>
              <w:jc w:val="center"/>
              <w:ind w:left="242"/>
              <w:spacing w:after="0"/>
              <w:rPr>
                <w:sz w:val="20"/>
                <w:szCs w:val="20"/>
                <w:color w:val="auto"/>
              </w:rPr>
            </w:pPr>
            <w:r>
              <w:rPr>
                <w:rFonts w:ascii="Times New Roman" w:cs="Times New Roman" w:eastAsia="Times New Roman" w:hAnsi="Times New Roman"/>
                <w:sz w:val="18"/>
                <w:szCs w:val="18"/>
                <w:b w:val="1"/>
                <w:bCs w:val="1"/>
                <w:color w:val="auto"/>
                <w:w w:val="98"/>
              </w:rPr>
              <w:t>59-0864469</w:t>
            </w:r>
          </w:p>
        </w:tc>
      </w:tr>
      <w:tr>
        <w:trPr>
          <w:trHeight w:val="148"/>
        </w:trPr>
        <w:tc>
          <w:tcPr>
            <w:tcW w:w="184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6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0"/>
        </w:trPr>
        <w:tc>
          <w:tcPr>
            <w:tcW w:w="1840" w:type="dxa"/>
            <w:vAlign w:val="bottom"/>
          </w:tcPr>
          <w:p>
            <w:pPr>
              <w:spacing w:after="0"/>
              <w:rPr>
                <w:sz w:val="24"/>
                <w:szCs w:val="24"/>
                <w:color w:val="auto"/>
              </w:rPr>
            </w:pPr>
          </w:p>
        </w:tc>
        <w:tc>
          <w:tcPr>
            <w:tcW w:w="57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300 North Beach Street, Daytona Beach, Florida 32114</w:t>
            </w:r>
          </w:p>
        </w:tc>
        <w:tc>
          <w:tcPr>
            <w:tcW w:w="1460" w:type="dxa"/>
            <w:vAlign w:val="bottom"/>
          </w:tcPr>
          <w:p>
            <w:pPr>
              <w:spacing w:after="0"/>
              <w:rPr>
                <w:sz w:val="24"/>
                <w:szCs w:val="24"/>
                <w:color w:val="auto"/>
              </w:rPr>
            </w:pPr>
          </w:p>
        </w:tc>
      </w:tr>
      <w:tr>
        <w:trPr>
          <w:trHeight w:val="190"/>
        </w:trPr>
        <w:tc>
          <w:tcPr>
            <w:tcW w:w="1840" w:type="dxa"/>
            <w:vAlign w:val="bottom"/>
          </w:tcPr>
          <w:p>
            <w:pPr>
              <w:spacing w:after="0"/>
              <w:rPr>
                <w:sz w:val="16"/>
                <w:szCs w:val="16"/>
                <w:color w:val="auto"/>
              </w:rPr>
            </w:pPr>
          </w:p>
        </w:tc>
        <w:tc>
          <w:tcPr>
            <w:tcW w:w="57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60" w:type="dxa"/>
            <w:vAlign w:val="bottom"/>
          </w:tcPr>
          <w:p>
            <w:pPr>
              <w:spacing w:after="0"/>
              <w:rPr>
                <w:sz w:val="16"/>
                <w:szCs w:val="16"/>
                <w:color w:val="auto"/>
              </w:rPr>
            </w:pPr>
          </w:p>
        </w:tc>
      </w:tr>
      <w:tr>
        <w:trPr>
          <w:trHeight w:val="415"/>
        </w:trPr>
        <w:tc>
          <w:tcPr>
            <w:tcW w:w="1840" w:type="dxa"/>
            <w:vAlign w:val="bottom"/>
          </w:tcPr>
          <w:p>
            <w:pPr>
              <w:spacing w:after="0"/>
              <w:rPr>
                <w:sz w:val="24"/>
                <w:szCs w:val="24"/>
                <w:color w:val="auto"/>
              </w:rPr>
            </w:pPr>
          </w:p>
        </w:tc>
        <w:tc>
          <w:tcPr>
            <w:tcW w:w="57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(386) 252-9601</w:t>
            </w:r>
          </w:p>
        </w:tc>
        <w:tc>
          <w:tcPr>
            <w:tcW w:w="1460" w:type="dxa"/>
            <w:vAlign w:val="bottom"/>
          </w:tcPr>
          <w:p>
            <w:pPr>
              <w:spacing w:after="0"/>
              <w:rPr>
                <w:sz w:val="24"/>
                <w:szCs w:val="24"/>
                <w:color w:val="auto"/>
              </w:rPr>
            </w:pPr>
          </w:p>
        </w:tc>
      </w:tr>
      <w:tr>
        <w:trPr>
          <w:trHeight w:val="407"/>
        </w:trPr>
        <w:tc>
          <w:tcPr>
            <w:tcW w:w="1840" w:type="dxa"/>
            <w:vAlign w:val="bottom"/>
          </w:tcPr>
          <w:p>
            <w:pPr>
              <w:spacing w:after="0"/>
              <w:rPr>
                <w:sz w:val="24"/>
                <w:szCs w:val="24"/>
                <w:color w:val="auto"/>
              </w:rPr>
            </w:pPr>
          </w:p>
        </w:tc>
        <w:tc>
          <w:tcPr>
            <w:tcW w:w="57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460" w:type="dxa"/>
            <w:vAlign w:val="bottom"/>
          </w:tcPr>
          <w:p>
            <w:pPr>
              <w:spacing w:after="0"/>
              <w:rPr>
                <w:sz w:val="24"/>
                <w:szCs w:val="24"/>
                <w:color w:val="auto"/>
              </w:rPr>
            </w:pPr>
          </w:p>
        </w:tc>
      </w:tr>
      <w:tr>
        <w:trPr>
          <w:trHeight w:val="190"/>
        </w:trPr>
        <w:tc>
          <w:tcPr>
            <w:tcW w:w="1840" w:type="dxa"/>
            <w:vAlign w:val="bottom"/>
          </w:tcPr>
          <w:p>
            <w:pPr>
              <w:spacing w:after="0"/>
              <w:rPr>
                <w:sz w:val="16"/>
                <w:szCs w:val="16"/>
                <w:color w:val="auto"/>
              </w:rPr>
            </w:pPr>
          </w:p>
        </w:tc>
        <w:tc>
          <w:tcPr>
            <w:tcW w:w="57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60" w:type="dxa"/>
            <w:vAlign w:val="bottom"/>
          </w:tcPr>
          <w:p>
            <w:pPr>
              <w:spacing w:after="0"/>
              <w:rPr>
                <w:sz w:val="16"/>
                <w:szCs w:val="16"/>
                <w:color w:val="auto"/>
              </w:rPr>
            </w:pPr>
          </w:p>
        </w:tc>
      </w:tr>
    </w:tbl>
    <w:p>
      <w:pPr>
        <w:spacing w:after="0" w:line="18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394" w:lineRule="exact"/>
        <w:rPr>
          <w:sz w:val="24"/>
          <w:szCs w:val="24"/>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700" w:hanging="3455"/>
        <w:spacing w:after="0" w:line="525" w:lineRule="auto"/>
        <w:tabs>
          <w:tab w:leader="none" w:pos="50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8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$0.10 Par Value</w:t>
            </w: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BRO</w:t>
            </w:r>
          </w:p>
        </w:tc>
        <w:tc>
          <w:tcPr>
            <w:tcW w:w="41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27, 2025, Brown &amp; Brown, Inc. issued a press release announcing its results of operations for the third quarter ended September 30, 2025. A copy of the press release is furnished as Exhibit 99.1 hereto and is incorporated herein by reference.</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herewith pursuant to Item 2.02 of this Current Report, including Exhibit 99.1, shall not be deemed to be filed for the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except as shall be expressly set forth by specific reference in such filing.</w:t>
      </w:r>
    </w:p>
    <w:p>
      <w:pPr>
        <w:spacing w:after="0" w:line="31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8"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10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563C1"/>
              </w:rPr>
              <w:t>Press Release dated October 27, 2025.</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shd w:val="clear" w:color="auto" w:fill="0563C1"/>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45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55"/>
        </w:trPr>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58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 Andrew Watts, Executive Vice President, Chief Financial Officer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41"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81915</wp:posOffset>
            </wp:positionV>
            <wp:extent cx="448310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831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 announces third quarter 2025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including total revenues of $1.6 billion, an increase of 35.4%; Organic Revenue growth of 3.5%;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diluted net income per share of $0.68; and Diluted Net Income Per Share - Adjusted of $1.05</w:t>
      </w: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DAYTONA BEACH, Fla., October 27, 2025 - </w:t>
      </w:r>
      <w:r>
        <w:rPr>
          <w:rFonts w:ascii="Times New Roman" w:cs="Times New Roman" w:eastAsia="Times New Roman" w:hAnsi="Times New Roman"/>
          <w:sz w:val="18"/>
          <w:szCs w:val="18"/>
          <w:color w:val="auto"/>
        </w:rPr>
        <w:t>Brown &amp; Brown, Inc. (NYSE:BRO) (the "Company") announced its unaudited financial results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2025.</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for the third quarter of 2025 under U.S. generally accepted accounting principles ("GAAP") were $1.6 billion, increasing $420 million, or 35.4%, compared to the third quarter of the prior year, with commissions and fees increasing by 34.2% and Organic Revenue increasing by 3.5%. Income before income taxes was $311 million, decreasing 1.9% from the third quarter of the prior year with Income Before Income Taxes Margin decreasing to 19.4% from 26.7%. EBITDAC - Adjusted was $587 million, increasing 41.8% from the third quarter of the prior year with EBITDAC Margin - Adjusted increasing to 36.6% from 34.9%. Net income attributable to the Company was $227 million, decreasing $7 million, or 3.0%, and diluted net income per share decreased to $0.68, or 16.0%, with Diluted Net Income Per Share - Adjusted increasing to $1.05, or 15.4%, each as compared to the third quarter of the prior year.</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Revenues for the nine months ended September 30, 2025 under GAAP were $4.3 billion, increasing $673 million, or 18.6%, as compared to the same period in 2024, with commissions and fees increasing by 18.0%, and Organic Revenue increasing by 4.6%. Income before income taxes was $1.0 billion, increasing 2.1% with Income Before Income Taxes Margin decreasing to 24.4% from 28.4% as compared to the same period in 2024. EBITDAC - Adjusted was $1.6 billion, which was an increase of 22.6% and EBITDAC Margin - Adjusted increased to 37.1% from 35.9% as compared to the same period in 2024. Net income attributable to the Company was $790 million, increasing $7 million, or 0.9%, with diluted net income per share decreasing to $2.57, or 5.9%, and Diluted Net Income Per Share - Adjusted increasing to $3.33, or 11.7%, each as compared to the same period in 2024.</w:t>
      </w:r>
    </w:p>
    <w:p>
      <w:pPr>
        <w:spacing w:after="0" w:line="18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J. Powell Brown, president and chief executive officer of the Company, noted, “We are very excited to welcome over 5,000 new teammates to our organization in the third quarter. We continue to deliver our solutions for our customers locally, but draw upon enhanced global capabilities. We are pleased with our overall growth, profitability and cash flow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Commissions and Fees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Organic Revenue</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Borders>
              <w:bottom w:val="single" w:sz="8" w:color="95B3D7"/>
            </w:tcBorders>
            <w:shd w:val="clear" w:color="auto" w:fill="95B3D7"/>
          </w:tcPr>
          <w:p>
            <w:pPr>
              <w:spacing w:after="0"/>
              <w:rPr>
                <w:sz w:val="13"/>
                <w:szCs w:val="13"/>
                <w:color w:val="auto"/>
              </w:rPr>
            </w:pPr>
          </w:p>
        </w:tc>
        <w:tc>
          <w:tcPr>
            <w:tcW w:w="120" w:type="dxa"/>
            <w:vAlign w:val="bottom"/>
            <w:tcBorders>
              <w:bottom w:val="single" w:sz="8" w:color="95B3D7"/>
            </w:tcBorders>
            <w:shd w:val="clear" w:color="auto" w:fill="95B3D7"/>
          </w:tcPr>
          <w:p>
            <w:pPr>
              <w:spacing w:after="0"/>
              <w:rPr>
                <w:sz w:val="13"/>
                <w:szCs w:val="13"/>
                <w:color w:val="auto"/>
              </w:rPr>
            </w:pPr>
          </w:p>
        </w:tc>
        <w:tc>
          <w:tcPr>
            <w:tcW w:w="2600" w:type="dxa"/>
            <w:vAlign w:val="bottom"/>
            <w:tcBorders>
              <w:bottom w:val="single" w:sz="8" w:color="auto"/>
            </w:tcBorders>
            <w:gridSpan w:val="6"/>
            <w:shd w:val="clear" w:color="auto" w:fill="95B3D7"/>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Borders>
              <w:bottom w:val="single" w:sz="8" w:color="95B3D7"/>
            </w:tcBorders>
            <w:shd w:val="clear" w:color="auto" w:fill="95B3D7"/>
          </w:tcPr>
          <w:p>
            <w:pPr>
              <w:spacing w:after="0"/>
              <w:rPr>
                <w:sz w:val="13"/>
                <w:szCs w:val="13"/>
                <w:color w:val="auto"/>
              </w:rPr>
            </w:pPr>
          </w:p>
        </w:tc>
        <w:tc>
          <w:tcPr>
            <w:tcW w:w="120" w:type="dxa"/>
            <w:vAlign w:val="bottom"/>
            <w:tcBorders>
              <w:bottom w:val="single" w:sz="8" w:color="95B3D7"/>
            </w:tcBorders>
            <w:shd w:val="clear" w:color="auto" w:fill="95B3D7"/>
          </w:tcPr>
          <w:p>
            <w:pPr>
              <w:spacing w:after="0"/>
              <w:rPr>
                <w:sz w:val="13"/>
                <w:szCs w:val="13"/>
                <w:color w:val="auto"/>
              </w:rPr>
            </w:pPr>
          </w:p>
        </w:tc>
        <w:tc>
          <w:tcPr>
            <w:tcW w:w="160" w:type="dxa"/>
            <w:vAlign w:val="bottom"/>
            <w:tcBorders>
              <w:bottom w:val="single" w:sz="8" w:color="auto"/>
            </w:tcBorders>
            <w:shd w:val="clear" w:color="auto" w:fill="95B3D7"/>
          </w:tcPr>
          <w:p>
            <w:pPr>
              <w:spacing w:after="0"/>
              <w:rPr>
                <w:sz w:val="13"/>
                <w:szCs w:val="13"/>
                <w:color w:val="auto"/>
              </w:rPr>
            </w:pPr>
          </w:p>
        </w:tc>
        <w:tc>
          <w:tcPr>
            <w:tcW w:w="2460" w:type="dxa"/>
            <w:vAlign w:val="bottom"/>
            <w:tcBorders>
              <w:bottom w:val="single" w:sz="8" w:color="auto"/>
            </w:tcBorders>
            <w:gridSpan w:val="4"/>
            <w:shd w:val="clear" w:color="auto" w:fill="95B3D7"/>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95B3D7"/>
            </w:tcBorders>
            <w:shd w:val="clear" w:color="auto" w:fill="95B3D7"/>
          </w:tcPr>
          <w:p>
            <w:pPr>
              <w:spacing w:after="0"/>
              <w:rPr>
                <w:sz w:val="13"/>
                <w:szCs w:val="13"/>
                <w:color w:val="auto"/>
              </w:rPr>
            </w:pPr>
          </w:p>
        </w:tc>
      </w:tr>
      <w:tr>
        <w:trPr>
          <w:trHeight w:val="142"/>
        </w:trPr>
        <w:tc>
          <w:tcPr>
            <w:tcW w:w="5500" w:type="dxa"/>
            <w:vAlign w:val="bottom"/>
            <w:tcBorders>
              <w:bottom w:val="single" w:sz="8" w:color="95B3D7"/>
            </w:tcBorders>
            <w:shd w:val="clear" w:color="auto" w:fill="95B3D7"/>
          </w:tcPr>
          <w:p>
            <w:pPr>
              <w:spacing w:after="0"/>
              <w:rPr>
                <w:sz w:val="12"/>
                <w:szCs w:val="12"/>
                <w:color w:val="auto"/>
              </w:rPr>
            </w:pPr>
          </w:p>
        </w:tc>
        <w:tc>
          <w:tcPr>
            <w:tcW w:w="120" w:type="dxa"/>
            <w:vAlign w:val="bottom"/>
            <w:tcBorders>
              <w:bottom w:val="single" w:sz="8" w:color="95B3D7"/>
            </w:tcBorders>
            <w:shd w:val="clear" w:color="auto" w:fill="95B3D7"/>
          </w:tcPr>
          <w:p>
            <w:pPr>
              <w:spacing w:after="0"/>
              <w:rPr>
                <w:sz w:val="12"/>
                <w:szCs w:val="12"/>
                <w:color w:val="auto"/>
              </w:rPr>
            </w:pPr>
          </w:p>
        </w:tc>
        <w:tc>
          <w:tcPr>
            <w:tcW w:w="700" w:type="dxa"/>
            <w:vAlign w:val="bottom"/>
            <w:tcBorders>
              <w:bottom w:val="single" w:sz="8" w:color="auto"/>
            </w:tcBorders>
            <w:shd w:val="clear" w:color="auto" w:fill="95B3D7"/>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shd w:val="clear" w:color="auto" w:fill="95B3D7"/>
          </w:tcPr>
          <w:p>
            <w:pPr>
              <w:spacing w:after="0"/>
              <w:rPr>
                <w:sz w:val="12"/>
                <w:szCs w:val="12"/>
                <w:color w:val="auto"/>
              </w:rPr>
            </w:pPr>
          </w:p>
        </w:tc>
        <w:tc>
          <w:tcPr>
            <w:tcW w:w="280" w:type="dxa"/>
            <w:vAlign w:val="bottom"/>
            <w:tcBorders>
              <w:bottom w:val="single" w:sz="8" w:color="95B3D7"/>
            </w:tcBorders>
            <w:shd w:val="clear" w:color="auto" w:fill="95B3D7"/>
          </w:tcPr>
          <w:p>
            <w:pPr>
              <w:spacing w:after="0"/>
              <w:rPr>
                <w:sz w:val="12"/>
                <w:szCs w:val="12"/>
                <w:color w:val="auto"/>
              </w:rPr>
            </w:pPr>
          </w:p>
        </w:tc>
        <w:tc>
          <w:tcPr>
            <w:tcW w:w="100" w:type="dxa"/>
            <w:vAlign w:val="bottom"/>
            <w:tcBorders>
              <w:bottom w:val="single" w:sz="8" w:color="95B3D7"/>
            </w:tcBorders>
            <w:shd w:val="clear" w:color="auto" w:fill="95B3D7"/>
          </w:tcPr>
          <w:p>
            <w:pPr>
              <w:spacing w:after="0"/>
              <w:rPr>
                <w:sz w:val="12"/>
                <w:szCs w:val="12"/>
                <w:color w:val="auto"/>
              </w:rPr>
            </w:pPr>
          </w:p>
        </w:tc>
        <w:tc>
          <w:tcPr>
            <w:tcW w:w="240" w:type="dxa"/>
            <w:vAlign w:val="bottom"/>
            <w:tcBorders>
              <w:bottom w:val="single" w:sz="8" w:color="auto"/>
            </w:tcBorders>
            <w:shd w:val="clear" w:color="auto" w:fill="95B3D7"/>
          </w:tcPr>
          <w:p>
            <w:pPr>
              <w:spacing w:after="0"/>
              <w:rPr>
                <w:sz w:val="12"/>
                <w:szCs w:val="12"/>
                <w:color w:val="auto"/>
              </w:rPr>
            </w:pPr>
          </w:p>
        </w:tc>
        <w:tc>
          <w:tcPr>
            <w:tcW w:w="860" w:type="dxa"/>
            <w:vAlign w:val="bottom"/>
            <w:tcBorders>
              <w:bottom w:val="single" w:sz="8" w:color="auto"/>
            </w:tcBorders>
            <w:shd w:val="clear" w:color="auto" w:fill="95B3D7"/>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95B3D7"/>
            </w:tcBorders>
            <w:shd w:val="clear" w:color="auto" w:fill="95B3D7"/>
          </w:tcPr>
          <w:p>
            <w:pPr>
              <w:spacing w:after="0"/>
              <w:rPr>
                <w:sz w:val="12"/>
                <w:szCs w:val="12"/>
                <w:color w:val="auto"/>
              </w:rPr>
            </w:pPr>
          </w:p>
        </w:tc>
        <w:tc>
          <w:tcPr>
            <w:tcW w:w="120" w:type="dxa"/>
            <w:vAlign w:val="bottom"/>
            <w:tcBorders>
              <w:bottom w:val="single" w:sz="8" w:color="95B3D7"/>
            </w:tcBorders>
            <w:shd w:val="clear" w:color="auto" w:fill="95B3D7"/>
          </w:tcPr>
          <w:p>
            <w:pPr>
              <w:spacing w:after="0"/>
              <w:rPr>
                <w:sz w:val="12"/>
                <w:szCs w:val="12"/>
                <w:color w:val="auto"/>
              </w:rPr>
            </w:pPr>
          </w:p>
        </w:tc>
        <w:tc>
          <w:tcPr>
            <w:tcW w:w="160" w:type="dxa"/>
            <w:vAlign w:val="bottom"/>
            <w:tcBorders>
              <w:bottom w:val="single" w:sz="8" w:color="auto"/>
            </w:tcBorders>
            <w:shd w:val="clear" w:color="auto" w:fill="95B3D7"/>
          </w:tcPr>
          <w:p>
            <w:pPr>
              <w:spacing w:after="0"/>
              <w:rPr>
                <w:sz w:val="12"/>
                <w:szCs w:val="12"/>
                <w:color w:val="auto"/>
              </w:rPr>
            </w:pPr>
          </w:p>
        </w:tc>
        <w:tc>
          <w:tcPr>
            <w:tcW w:w="960" w:type="dxa"/>
            <w:vAlign w:val="bottom"/>
            <w:tcBorders>
              <w:bottom w:val="single" w:sz="8" w:color="auto"/>
            </w:tcBorders>
            <w:shd w:val="clear" w:color="auto" w:fill="95B3D7"/>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95B3D7"/>
            </w:tcBorders>
            <w:shd w:val="clear" w:color="auto" w:fill="95B3D7"/>
          </w:tcPr>
          <w:p>
            <w:pPr>
              <w:spacing w:after="0"/>
              <w:rPr>
                <w:sz w:val="12"/>
                <w:szCs w:val="12"/>
                <w:color w:val="auto"/>
              </w:rPr>
            </w:pPr>
          </w:p>
        </w:tc>
        <w:tc>
          <w:tcPr>
            <w:tcW w:w="260" w:type="dxa"/>
            <w:vAlign w:val="bottom"/>
            <w:tcBorders>
              <w:bottom w:val="single" w:sz="8" w:color="auto"/>
            </w:tcBorders>
            <w:shd w:val="clear" w:color="auto" w:fill="95B3D7"/>
          </w:tcPr>
          <w:p>
            <w:pPr>
              <w:spacing w:after="0"/>
              <w:rPr>
                <w:sz w:val="12"/>
                <w:szCs w:val="12"/>
                <w:color w:val="auto"/>
              </w:rPr>
            </w:pPr>
          </w:p>
        </w:tc>
        <w:tc>
          <w:tcPr>
            <w:tcW w:w="860" w:type="dxa"/>
            <w:vAlign w:val="bottom"/>
            <w:tcBorders>
              <w:bottom w:val="single" w:sz="8" w:color="auto"/>
            </w:tcBorders>
            <w:shd w:val="clear" w:color="auto" w:fill="95B3D7"/>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95B3D7"/>
            </w:tcBorders>
            <w:shd w:val="clear" w:color="auto" w:fill="95B3D7"/>
          </w:tcPr>
          <w:p>
            <w:pPr>
              <w:spacing w:after="0"/>
              <w:rPr>
                <w:sz w:val="12"/>
                <w:szCs w:val="12"/>
                <w:color w:val="auto"/>
              </w:rPr>
            </w:pPr>
          </w:p>
        </w:tc>
      </w:tr>
      <w:tr>
        <w:trPr>
          <w:trHeight w:val="210"/>
        </w:trPr>
        <w:tc>
          <w:tcPr>
            <w:tcW w:w="550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Commissions and fees</w:t>
            </w:r>
          </w:p>
        </w:tc>
        <w:tc>
          <w:tcPr>
            <w:tcW w:w="820" w:type="dxa"/>
            <w:vAlign w:val="bottom"/>
            <w:gridSpan w:val="2"/>
            <w:shd w:val="clear" w:color="auto" w:fill="E9EDF4"/>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1,550</w:t>
            </w:r>
          </w:p>
        </w:tc>
        <w:tc>
          <w:tcPr>
            <w:tcW w:w="280" w:type="dxa"/>
            <w:vAlign w:val="bottom"/>
            <w:shd w:val="clear" w:color="auto" w:fill="E9EDF4"/>
          </w:tcPr>
          <w:p>
            <w:pPr>
              <w:spacing w:after="0"/>
              <w:rPr>
                <w:sz w:val="18"/>
                <w:szCs w:val="18"/>
                <w:color w:val="auto"/>
              </w:rPr>
            </w:pPr>
          </w:p>
        </w:tc>
        <w:tc>
          <w:tcPr>
            <w:tcW w:w="340" w:type="dxa"/>
            <w:vAlign w:val="bottom"/>
            <w:gridSpan w:val="2"/>
            <w:shd w:val="clear" w:color="auto" w:fill="E9EDF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180" w:type="dxa"/>
            <w:vAlign w:val="bottom"/>
            <w:shd w:val="clear" w:color="auto" w:fill="E9EDF4"/>
          </w:tcPr>
          <w:p>
            <w:pPr>
              <w:spacing w:after="0"/>
              <w:rPr>
                <w:sz w:val="18"/>
                <w:szCs w:val="18"/>
                <w:color w:val="auto"/>
              </w:rPr>
            </w:pPr>
          </w:p>
        </w:tc>
        <w:tc>
          <w:tcPr>
            <w:tcW w:w="280" w:type="dxa"/>
            <w:vAlign w:val="bottom"/>
            <w:gridSpan w:val="2"/>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4,183</w:t>
            </w:r>
          </w:p>
        </w:tc>
        <w:tc>
          <w:tcPr>
            <w:tcW w:w="380" w:type="dxa"/>
            <w:vAlign w:val="bottom"/>
            <w:shd w:val="clear" w:color="auto" w:fill="E9EDF4"/>
          </w:tcPr>
          <w:p>
            <w:pPr>
              <w:spacing w:after="0"/>
              <w:rPr>
                <w:sz w:val="18"/>
                <w:szCs w:val="18"/>
                <w:color w:val="auto"/>
              </w:rPr>
            </w:pPr>
          </w:p>
        </w:tc>
        <w:tc>
          <w:tcPr>
            <w:tcW w:w="260" w:type="dxa"/>
            <w:vAlign w:val="bottom"/>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3,545</w:t>
            </w:r>
          </w:p>
        </w:tc>
        <w:tc>
          <w:tcPr>
            <w:tcW w:w="100" w:type="dxa"/>
            <w:vAlign w:val="bottom"/>
            <w:shd w:val="clear" w:color="auto" w:fill="E9EDF4"/>
          </w:tcPr>
          <w:p>
            <w:pPr>
              <w:spacing w:after="0"/>
              <w:rPr>
                <w:sz w:val="18"/>
                <w:szCs w:val="18"/>
                <w:color w:val="auto"/>
              </w:rPr>
            </w:pPr>
          </w:p>
        </w:tc>
      </w:tr>
      <w:tr>
        <w:trPr>
          <w:trHeight w:val="216"/>
        </w:trPr>
        <w:tc>
          <w:tcPr>
            <w:tcW w:w="5500" w:type="dxa"/>
            <w:vAlign w:val="bottom"/>
            <w:shd w:val="clear" w:color="auto" w:fill="D0D8E8"/>
          </w:tcPr>
          <w:p>
            <w:pPr>
              <w:ind w:left="10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120" w:type="dxa"/>
            <w:vAlign w:val="bottom"/>
            <w:shd w:val="clear" w:color="auto" w:fill="D0D8E8"/>
          </w:tcPr>
          <w:p>
            <w:pPr>
              <w:spacing w:after="0"/>
              <w:rPr>
                <w:sz w:val="18"/>
                <w:szCs w:val="18"/>
                <w:color w:val="auto"/>
              </w:rPr>
            </w:pPr>
          </w:p>
        </w:tc>
        <w:tc>
          <w:tcPr>
            <w:tcW w:w="700" w:type="dxa"/>
            <w:vAlign w:val="bottom"/>
            <w:shd w:val="clear" w:color="auto" w:fill="D0D8E8"/>
          </w:tcPr>
          <w:p>
            <w:pPr>
              <w:spacing w:after="0"/>
              <w:rPr>
                <w:sz w:val="18"/>
                <w:szCs w:val="18"/>
                <w:color w:val="auto"/>
              </w:rPr>
            </w:pPr>
          </w:p>
        </w:tc>
        <w:tc>
          <w:tcPr>
            <w:tcW w:w="700" w:type="dxa"/>
            <w:vAlign w:val="bottom"/>
            <w:gridSpan w:val="2"/>
            <w:shd w:val="clear" w:color="auto" w:fill="D0D8E8"/>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1040" w:type="dxa"/>
            <w:vAlign w:val="bottom"/>
            <w:gridSpan w:val="2"/>
            <w:shd w:val="clear" w:color="auto" w:fill="D0D8E8"/>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1340" w:type="dxa"/>
            <w:vAlign w:val="bottom"/>
            <w:gridSpan w:val="2"/>
            <w:shd w:val="clear" w:color="auto" w:fill="D0D8E8"/>
          </w:tcPr>
          <w:p>
            <w:pPr>
              <w:jc w:val="right"/>
              <w:ind w:right="320"/>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shd w:val="clear" w:color="auto" w:fill="D0D8E8"/>
          </w:tcPr>
          <w:p>
            <w:pPr>
              <w:spacing w:after="0"/>
              <w:rPr>
                <w:sz w:val="18"/>
                <w:szCs w:val="18"/>
                <w:color w:val="auto"/>
              </w:rPr>
            </w:pPr>
          </w:p>
        </w:tc>
        <w:tc>
          <w:tcPr>
            <w:tcW w:w="960" w:type="dxa"/>
            <w:vAlign w:val="bottom"/>
            <w:gridSpan w:val="2"/>
            <w:shd w:val="clear" w:color="auto" w:fill="D0D8E8"/>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09"/>
        </w:trPr>
        <w:tc>
          <w:tcPr>
            <w:tcW w:w="5500" w:type="dxa"/>
            <w:vAlign w:val="bottom"/>
            <w:tcBorders>
              <w:top w:val="single" w:sz="8" w:color="D0D8E8"/>
            </w:tcBorders>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Core commissions and fees</w:t>
            </w:r>
          </w:p>
        </w:tc>
        <w:tc>
          <w:tcPr>
            <w:tcW w:w="120" w:type="dxa"/>
            <w:vAlign w:val="bottom"/>
            <w:tcBorders>
              <w:top w:val="single" w:sz="8" w:color="D0D8E8"/>
            </w:tcBorders>
            <w:shd w:val="clear" w:color="auto" w:fill="E9EDF4"/>
          </w:tcPr>
          <w:p>
            <w:pPr>
              <w:spacing w:after="0"/>
              <w:rPr>
                <w:sz w:val="18"/>
                <w:szCs w:val="18"/>
                <w:color w:val="auto"/>
              </w:rPr>
            </w:pPr>
          </w:p>
        </w:tc>
        <w:tc>
          <w:tcPr>
            <w:tcW w:w="700" w:type="dxa"/>
            <w:vAlign w:val="bottom"/>
            <w:tcBorders>
              <w:top w:val="single" w:sz="8" w:color="auto"/>
            </w:tcBorders>
            <w:shd w:val="clear" w:color="auto" w:fill="E9EDF4"/>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1,477</w:t>
            </w:r>
          </w:p>
        </w:tc>
        <w:tc>
          <w:tcPr>
            <w:tcW w:w="280" w:type="dxa"/>
            <w:vAlign w:val="bottom"/>
            <w:tcBorders>
              <w:top w:val="single" w:sz="8" w:color="D0D8E8"/>
            </w:tcBorders>
            <w:shd w:val="clear" w:color="auto" w:fill="E9EDF4"/>
          </w:tcPr>
          <w:p>
            <w:pPr>
              <w:spacing w:after="0"/>
              <w:rPr>
                <w:sz w:val="18"/>
                <w:szCs w:val="18"/>
                <w:color w:val="auto"/>
              </w:rPr>
            </w:pPr>
          </w:p>
        </w:tc>
        <w:tc>
          <w:tcPr>
            <w:tcW w:w="100" w:type="dxa"/>
            <w:vAlign w:val="bottom"/>
            <w:tcBorders>
              <w:top w:val="single" w:sz="8" w:color="D0D8E8"/>
            </w:tcBorders>
            <w:shd w:val="clear" w:color="auto" w:fill="E9EDF4"/>
          </w:tcPr>
          <w:p>
            <w:pPr>
              <w:spacing w:after="0"/>
              <w:rPr>
                <w:sz w:val="18"/>
                <w:szCs w:val="18"/>
                <w:color w:val="auto"/>
              </w:rPr>
            </w:pPr>
          </w:p>
        </w:tc>
        <w:tc>
          <w:tcPr>
            <w:tcW w:w="240" w:type="dxa"/>
            <w:vAlign w:val="bottom"/>
            <w:tcBorders>
              <w:top w:val="single" w:sz="8" w:color="auto"/>
            </w:tcBorders>
            <w:shd w:val="clear" w:color="auto" w:fill="E9EDF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180" w:type="dxa"/>
            <w:vAlign w:val="bottom"/>
            <w:tcBorders>
              <w:top w:val="single" w:sz="8" w:color="D0D8E8"/>
            </w:tcBorders>
            <w:shd w:val="clear" w:color="auto" w:fill="E9EDF4"/>
          </w:tcPr>
          <w:p>
            <w:pPr>
              <w:spacing w:after="0"/>
              <w:rPr>
                <w:sz w:val="18"/>
                <w:szCs w:val="18"/>
                <w:color w:val="auto"/>
              </w:rPr>
            </w:pPr>
          </w:p>
        </w:tc>
        <w:tc>
          <w:tcPr>
            <w:tcW w:w="120" w:type="dxa"/>
            <w:vAlign w:val="bottom"/>
            <w:tcBorders>
              <w:top w:val="single" w:sz="8" w:color="D0D8E8"/>
            </w:tcBorders>
            <w:shd w:val="clear" w:color="auto" w:fill="E9EDF4"/>
          </w:tcPr>
          <w:p>
            <w:pPr>
              <w:spacing w:after="0"/>
              <w:rPr>
                <w:sz w:val="18"/>
                <w:szCs w:val="18"/>
                <w:color w:val="auto"/>
              </w:rPr>
            </w:pPr>
          </w:p>
        </w:tc>
        <w:tc>
          <w:tcPr>
            <w:tcW w:w="16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4,022</w:t>
            </w:r>
          </w:p>
        </w:tc>
        <w:tc>
          <w:tcPr>
            <w:tcW w:w="380" w:type="dxa"/>
            <w:vAlign w:val="bottom"/>
            <w:tcBorders>
              <w:top w:val="single" w:sz="8" w:color="D0D8E8"/>
            </w:tcBorders>
            <w:shd w:val="clear" w:color="auto" w:fill="E9EDF4"/>
          </w:tcPr>
          <w:p>
            <w:pPr>
              <w:spacing w:after="0"/>
              <w:rPr>
                <w:sz w:val="18"/>
                <w:szCs w:val="18"/>
                <w:color w:val="auto"/>
              </w:rPr>
            </w:pPr>
          </w:p>
        </w:tc>
        <w:tc>
          <w:tcPr>
            <w:tcW w:w="260" w:type="dxa"/>
            <w:vAlign w:val="bottom"/>
            <w:tcBorders>
              <w:top w:val="single" w:sz="8" w:color="auto"/>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3,435</w:t>
            </w:r>
          </w:p>
        </w:tc>
        <w:tc>
          <w:tcPr>
            <w:tcW w:w="100" w:type="dxa"/>
            <w:vAlign w:val="bottom"/>
            <w:tcBorders>
              <w:top w:val="single" w:sz="8" w:color="D0D8E8"/>
            </w:tcBorders>
            <w:shd w:val="clear" w:color="auto" w:fill="E9EDF4"/>
          </w:tcPr>
          <w:p>
            <w:pPr>
              <w:spacing w:after="0"/>
              <w:rPr>
                <w:sz w:val="18"/>
                <w:szCs w:val="18"/>
                <w:color w:val="auto"/>
              </w:rPr>
            </w:pPr>
          </w:p>
        </w:tc>
      </w:tr>
      <w:tr>
        <w:trPr>
          <w:trHeight w:val="216"/>
        </w:trPr>
        <w:tc>
          <w:tcPr>
            <w:tcW w:w="5500" w:type="dxa"/>
            <w:vAlign w:val="bottom"/>
            <w:shd w:val="clear" w:color="auto" w:fill="D0D8E8"/>
          </w:tcPr>
          <w:p>
            <w:pPr>
              <w:ind w:left="10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shd w:val="clear" w:color="auto" w:fill="D0D8E8"/>
          </w:tcPr>
          <w:p>
            <w:pPr>
              <w:spacing w:after="0"/>
              <w:rPr>
                <w:sz w:val="18"/>
                <w:szCs w:val="18"/>
                <w:color w:val="auto"/>
              </w:rPr>
            </w:pPr>
          </w:p>
        </w:tc>
        <w:tc>
          <w:tcPr>
            <w:tcW w:w="700" w:type="dxa"/>
            <w:vAlign w:val="bottom"/>
            <w:shd w:val="clear" w:color="auto" w:fill="D0D8E8"/>
          </w:tcPr>
          <w:p>
            <w:pPr>
              <w:spacing w:after="0"/>
              <w:rPr>
                <w:sz w:val="18"/>
                <w:szCs w:val="18"/>
                <w:color w:val="auto"/>
              </w:rPr>
            </w:pPr>
          </w:p>
        </w:tc>
        <w:tc>
          <w:tcPr>
            <w:tcW w:w="700" w:type="dxa"/>
            <w:vAlign w:val="bottom"/>
            <w:gridSpan w:val="2"/>
            <w:shd w:val="clear" w:color="auto" w:fill="D0D8E8"/>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86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12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1340" w:type="dxa"/>
            <w:vAlign w:val="bottom"/>
            <w:gridSpan w:val="2"/>
            <w:shd w:val="clear" w:color="auto" w:fill="D0D8E8"/>
          </w:tcPr>
          <w:p>
            <w:pPr>
              <w:jc w:val="right"/>
              <w:ind w:right="320"/>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shd w:val="clear" w:color="auto" w:fill="D0D8E8"/>
          </w:tcPr>
          <w:p>
            <w:pPr>
              <w:spacing w:after="0"/>
              <w:rPr>
                <w:sz w:val="18"/>
                <w:szCs w:val="18"/>
                <w:color w:val="auto"/>
              </w:rPr>
            </w:pPr>
          </w:p>
        </w:tc>
        <w:tc>
          <w:tcPr>
            <w:tcW w:w="86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r>
      <w:tr>
        <w:trPr>
          <w:trHeight w:val="216"/>
        </w:trPr>
        <w:tc>
          <w:tcPr>
            <w:tcW w:w="5500" w:type="dxa"/>
            <w:vAlign w:val="bottom"/>
            <w:shd w:val="clear" w:color="auto" w:fill="E9EDF4"/>
          </w:tcPr>
          <w:p>
            <w:pPr>
              <w:ind w:left="100"/>
              <w:spacing w:after="0"/>
              <w:rPr>
                <w:sz w:val="20"/>
                <w:szCs w:val="20"/>
                <w:color w:val="auto"/>
              </w:rPr>
            </w:pPr>
            <w:r>
              <w:rPr>
                <w:rFonts w:ascii="Times New Roman" w:cs="Times New Roman" w:eastAsia="Times New Roman" w:hAnsi="Times New Roman"/>
                <w:sz w:val="18"/>
                <w:szCs w:val="18"/>
                <w:color w:val="auto"/>
              </w:rPr>
              <w:t>Dispositions</w:t>
            </w:r>
          </w:p>
        </w:tc>
        <w:tc>
          <w:tcPr>
            <w:tcW w:w="120" w:type="dxa"/>
            <w:vAlign w:val="bottom"/>
            <w:shd w:val="clear" w:color="auto" w:fill="E9EDF4"/>
          </w:tcPr>
          <w:p>
            <w:pPr>
              <w:spacing w:after="0"/>
              <w:rPr>
                <w:sz w:val="18"/>
                <w:szCs w:val="18"/>
                <w:color w:val="auto"/>
              </w:rPr>
            </w:pPr>
          </w:p>
        </w:tc>
        <w:tc>
          <w:tcPr>
            <w:tcW w:w="700" w:type="dxa"/>
            <w:vAlign w:val="bottom"/>
            <w:shd w:val="clear" w:color="auto" w:fill="E9EDF4"/>
          </w:tcPr>
          <w:p>
            <w:pPr>
              <w:spacing w:after="0"/>
              <w:rPr>
                <w:sz w:val="18"/>
                <w:szCs w:val="18"/>
                <w:color w:val="auto"/>
              </w:rPr>
            </w:pPr>
          </w:p>
        </w:tc>
        <w:tc>
          <w:tcPr>
            <w:tcW w:w="42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40" w:type="dxa"/>
            <w:vAlign w:val="bottom"/>
            <w:gridSpan w:val="2"/>
            <w:shd w:val="clear" w:color="auto" w:fill="E9EDF4"/>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960" w:type="dxa"/>
            <w:vAlign w:val="bottom"/>
            <w:shd w:val="clear" w:color="auto" w:fill="E9EDF4"/>
          </w:tcPr>
          <w:p>
            <w:pPr>
              <w:spacing w:after="0"/>
              <w:rPr>
                <w:sz w:val="18"/>
                <w:szCs w:val="18"/>
                <w:color w:val="auto"/>
              </w:rPr>
            </w:pPr>
          </w:p>
        </w:tc>
        <w:tc>
          <w:tcPr>
            <w:tcW w:w="380" w:type="dxa"/>
            <w:vAlign w:val="bottom"/>
            <w:shd w:val="clear" w:color="auto" w:fill="E9EDF4"/>
          </w:tcPr>
          <w:p>
            <w:pPr>
              <w:spacing w:after="0"/>
              <w:rPr>
                <w:sz w:val="18"/>
                <w:szCs w:val="18"/>
                <w:color w:val="auto"/>
              </w:rPr>
            </w:pPr>
          </w:p>
        </w:tc>
        <w:tc>
          <w:tcPr>
            <w:tcW w:w="260" w:type="dxa"/>
            <w:vAlign w:val="bottom"/>
            <w:shd w:val="clear" w:color="auto" w:fill="E9EDF4"/>
          </w:tcPr>
          <w:p>
            <w:pPr>
              <w:spacing w:after="0"/>
              <w:rPr>
                <w:sz w:val="18"/>
                <w:szCs w:val="18"/>
                <w:color w:val="auto"/>
              </w:rPr>
            </w:pPr>
          </w:p>
        </w:tc>
        <w:tc>
          <w:tcPr>
            <w:tcW w:w="960" w:type="dxa"/>
            <w:vAlign w:val="bottom"/>
            <w:gridSpan w:val="2"/>
            <w:shd w:val="clear" w:color="auto" w:fill="E9EDF4"/>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500" w:type="dxa"/>
            <w:vAlign w:val="bottom"/>
            <w:tcBorders>
              <w:bottom w:val="single" w:sz="8" w:color="D0D8E8"/>
            </w:tcBorders>
            <w:shd w:val="clear" w:color="auto" w:fill="D0D8E8"/>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D0D8E8"/>
            </w:tcBorders>
            <w:shd w:val="clear" w:color="auto" w:fill="D0D8E8"/>
          </w:tcPr>
          <w:p>
            <w:pPr>
              <w:spacing w:after="0"/>
              <w:rPr>
                <w:sz w:val="18"/>
                <w:szCs w:val="18"/>
                <w:color w:val="auto"/>
              </w:rPr>
            </w:pPr>
          </w:p>
        </w:tc>
        <w:tc>
          <w:tcPr>
            <w:tcW w:w="700" w:type="dxa"/>
            <w:vAlign w:val="bottom"/>
            <w:tcBorders>
              <w:bottom w:val="single" w:sz="8" w:color="auto"/>
            </w:tcBorders>
            <w:shd w:val="clear" w:color="auto" w:fill="D0D8E8"/>
          </w:tcPr>
          <w:p>
            <w:pPr>
              <w:spacing w:after="0"/>
              <w:rPr>
                <w:sz w:val="18"/>
                <w:szCs w:val="18"/>
                <w:color w:val="auto"/>
              </w:rPr>
            </w:pPr>
          </w:p>
        </w:tc>
        <w:tc>
          <w:tcPr>
            <w:tcW w:w="420" w:type="dxa"/>
            <w:vAlign w:val="bottom"/>
            <w:tcBorders>
              <w:bottom w:val="single" w:sz="8" w:color="auto"/>
            </w:tcBorders>
            <w:shd w:val="clear" w:color="auto" w:fill="D0D8E8"/>
          </w:tcPr>
          <w:p>
            <w:pPr>
              <w:spacing w:after="0"/>
              <w:rPr>
                <w:sz w:val="18"/>
                <w:szCs w:val="18"/>
                <w:color w:val="auto"/>
              </w:rPr>
            </w:pPr>
          </w:p>
        </w:tc>
        <w:tc>
          <w:tcPr>
            <w:tcW w:w="280" w:type="dxa"/>
            <w:vAlign w:val="bottom"/>
            <w:tcBorders>
              <w:bottom w:val="single" w:sz="8" w:color="D0D8E8"/>
            </w:tcBorders>
            <w:shd w:val="clear" w:color="auto" w:fill="D0D8E8"/>
          </w:tcPr>
          <w:p>
            <w:pPr>
              <w:spacing w:after="0"/>
              <w:rPr>
                <w:sz w:val="18"/>
                <w:szCs w:val="18"/>
                <w:color w:val="auto"/>
              </w:rPr>
            </w:pPr>
          </w:p>
        </w:tc>
        <w:tc>
          <w:tcPr>
            <w:tcW w:w="100" w:type="dxa"/>
            <w:vAlign w:val="bottom"/>
            <w:tcBorders>
              <w:bottom w:val="single" w:sz="8" w:color="D0D8E8"/>
            </w:tcBorders>
            <w:shd w:val="clear" w:color="auto" w:fill="D0D8E8"/>
          </w:tcPr>
          <w:p>
            <w:pPr>
              <w:spacing w:after="0"/>
              <w:rPr>
                <w:sz w:val="18"/>
                <w:szCs w:val="18"/>
                <w:color w:val="auto"/>
              </w:rPr>
            </w:pPr>
          </w:p>
        </w:tc>
        <w:tc>
          <w:tcPr>
            <w:tcW w:w="240" w:type="dxa"/>
            <w:vAlign w:val="bottom"/>
            <w:tcBorders>
              <w:bottom w:val="single" w:sz="8" w:color="auto"/>
            </w:tcBorders>
            <w:shd w:val="clear" w:color="auto" w:fill="D0D8E8"/>
          </w:tcPr>
          <w:p>
            <w:pPr>
              <w:spacing w:after="0"/>
              <w:rPr>
                <w:sz w:val="18"/>
                <w:szCs w:val="18"/>
                <w:color w:val="auto"/>
              </w:rPr>
            </w:pPr>
          </w:p>
        </w:tc>
        <w:tc>
          <w:tcPr>
            <w:tcW w:w="86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D0D8E8"/>
            </w:tcBorders>
            <w:shd w:val="clear" w:color="auto" w:fill="D0D8E8"/>
          </w:tcPr>
          <w:p>
            <w:pPr>
              <w:spacing w:after="0"/>
              <w:rPr>
                <w:sz w:val="18"/>
                <w:szCs w:val="18"/>
                <w:color w:val="auto"/>
              </w:rPr>
            </w:pPr>
          </w:p>
        </w:tc>
        <w:tc>
          <w:tcPr>
            <w:tcW w:w="120" w:type="dxa"/>
            <w:vAlign w:val="bottom"/>
            <w:tcBorders>
              <w:bottom w:val="single" w:sz="8" w:color="D0D8E8"/>
            </w:tcBorders>
            <w:shd w:val="clear" w:color="auto" w:fill="D0D8E8"/>
          </w:tcPr>
          <w:p>
            <w:pPr>
              <w:spacing w:after="0"/>
              <w:rPr>
                <w:sz w:val="18"/>
                <w:szCs w:val="18"/>
                <w:color w:val="auto"/>
              </w:rPr>
            </w:pPr>
          </w:p>
        </w:tc>
        <w:tc>
          <w:tcPr>
            <w:tcW w:w="160" w:type="dxa"/>
            <w:vAlign w:val="bottom"/>
            <w:tcBorders>
              <w:bottom w:val="single" w:sz="8" w:color="auto"/>
            </w:tcBorders>
            <w:shd w:val="clear" w:color="auto" w:fill="D0D8E8"/>
          </w:tcPr>
          <w:p>
            <w:pPr>
              <w:spacing w:after="0"/>
              <w:rPr>
                <w:sz w:val="18"/>
                <w:szCs w:val="18"/>
                <w:color w:val="auto"/>
              </w:rPr>
            </w:pPr>
          </w:p>
        </w:tc>
        <w:tc>
          <w:tcPr>
            <w:tcW w:w="960" w:type="dxa"/>
            <w:vAlign w:val="bottom"/>
            <w:tcBorders>
              <w:bottom w:val="single" w:sz="8" w:color="auto"/>
            </w:tcBorders>
            <w:shd w:val="clear" w:color="auto" w:fill="D0D8E8"/>
          </w:tcPr>
          <w:p>
            <w:pPr>
              <w:spacing w:after="0"/>
              <w:rPr>
                <w:sz w:val="18"/>
                <w:szCs w:val="18"/>
                <w:color w:val="auto"/>
              </w:rPr>
            </w:pPr>
          </w:p>
        </w:tc>
        <w:tc>
          <w:tcPr>
            <w:tcW w:w="380" w:type="dxa"/>
            <w:vAlign w:val="bottom"/>
            <w:tcBorders>
              <w:bottom w:val="single" w:sz="8" w:color="D0D8E8"/>
            </w:tcBorders>
            <w:shd w:val="clear" w:color="auto" w:fill="D0D8E8"/>
          </w:tcPr>
          <w:p>
            <w:pPr>
              <w:spacing w:after="0"/>
              <w:rPr>
                <w:sz w:val="18"/>
                <w:szCs w:val="18"/>
                <w:color w:val="auto"/>
              </w:rPr>
            </w:pPr>
          </w:p>
        </w:tc>
        <w:tc>
          <w:tcPr>
            <w:tcW w:w="260" w:type="dxa"/>
            <w:vAlign w:val="bottom"/>
            <w:tcBorders>
              <w:bottom w:val="single" w:sz="8" w:color="auto"/>
            </w:tcBorders>
            <w:shd w:val="clear" w:color="auto" w:fill="D0D8E8"/>
          </w:tcPr>
          <w:p>
            <w:pPr>
              <w:spacing w:after="0"/>
              <w:rPr>
                <w:sz w:val="18"/>
                <w:szCs w:val="18"/>
                <w:color w:val="auto"/>
              </w:rPr>
            </w:pPr>
          </w:p>
        </w:tc>
        <w:tc>
          <w:tcPr>
            <w:tcW w:w="86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D0D8E8"/>
            </w:tcBorders>
            <w:shd w:val="clear" w:color="auto" w:fill="D0D8E8"/>
          </w:tcPr>
          <w:p>
            <w:pPr>
              <w:spacing w:after="0"/>
              <w:rPr>
                <w:sz w:val="18"/>
                <w:szCs w:val="18"/>
                <w:color w:val="auto"/>
              </w:rPr>
            </w:pPr>
          </w:p>
        </w:tc>
      </w:tr>
      <w:tr>
        <w:trPr>
          <w:trHeight w:val="209"/>
        </w:trPr>
        <w:tc>
          <w:tcPr>
            <w:tcW w:w="5500" w:type="dxa"/>
            <w:vAlign w:val="bottom"/>
            <w:tcBorders>
              <w:bottom w:val="single" w:sz="8" w:color="E9EDF4"/>
            </w:tcBorders>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Organic Revenue</w:t>
            </w:r>
          </w:p>
        </w:tc>
        <w:tc>
          <w:tcPr>
            <w:tcW w:w="120" w:type="dxa"/>
            <w:vAlign w:val="bottom"/>
            <w:tcBorders>
              <w:bottom w:val="single" w:sz="8" w:color="E9EDF4"/>
            </w:tcBorders>
            <w:shd w:val="clear" w:color="auto" w:fill="E9EDF4"/>
          </w:tcPr>
          <w:p>
            <w:pPr>
              <w:spacing w:after="0"/>
              <w:rPr>
                <w:sz w:val="18"/>
                <w:szCs w:val="18"/>
                <w:color w:val="auto"/>
              </w:rPr>
            </w:pPr>
          </w:p>
        </w:tc>
        <w:tc>
          <w:tcPr>
            <w:tcW w:w="700" w:type="dxa"/>
            <w:vAlign w:val="bottom"/>
            <w:tcBorders>
              <w:bottom w:val="single" w:sz="8" w:color="auto"/>
            </w:tcBorders>
            <w:shd w:val="clear" w:color="auto" w:fill="E9EDF4"/>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1,170</w:t>
            </w:r>
          </w:p>
        </w:tc>
        <w:tc>
          <w:tcPr>
            <w:tcW w:w="280" w:type="dxa"/>
            <w:vAlign w:val="bottom"/>
            <w:tcBorders>
              <w:bottom w:val="single" w:sz="8" w:color="E9EDF4"/>
            </w:tcBorders>
            <w:shd w:val="clear" w:color="auto" w:fill="E9EDF4"/>
          </w:tcPr>
          <w:p>
            <w:pPr>
              <w:spacing w:after="0"/>
              <w:rPr>
                <w:sz w:val="18"/>
                <w:szCs w:val="18"/>
                <w:color w:val="auto"/>
              </w:rPr>
            </w:pPr>
          </w:p>
        </w:tc>
        <w:tc>
          <w:tcPr>
            <w:tcW w:w="340" w:type="dxa"/>
            <w:vAlign w:val="bottom"/>
            <w:tcBorders>
              <w:bottom w:val="single" w:sz="8" w:color="E9EDF4"/>
            </w:tcBorders>
            <w:gridSpan w:val="2"/>
            <w:shd w:val="clear" w:color="auto" w:fill="E9EDF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E9EDF4"/>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1,130</w:t>
            </w:r>
          </w:p>
        </w:tc>
        <w:tc>
          <w:tcPr>
            <w:tcW w:w="180" w:type="dxa"/>
            <w:vAlign w:val="bottom"/>
            <w:tcBorders>
              <w:bottom w:val="single" w:sz="8" w:color="E9EDF4"/>
            </w:tcBorders>
            <w:shd w:val="clear" w:color="auto" w:fill="E9EDF4"/>
          </w:tcPr>
          <w:p>
            <w:pPr>
              <w:spacing w:after="0"/>
              <w:rPr>
                <w:sz w:val="18"/>
                <w:szCs w:val="18"/>
                <w:color w:val="auto"/>
              </w:rPr>
            </w:pPr>
          </w:p>
        </w:tc>
        <w:tc>
          <w:tcPr>
            <w:tcW w:w="120" w:type="dxa"/>
            <w:vAlign w:val="bottom"/>
            <w:tcBorders>
              <w:bottom w:val="single" w:sz="8" w:color="E9EDF4"/>
            </w:tcBorders>
            <w:shd w:val="clear" w:color="auto" w:fill="E9EDF4"/>
          </w:tcPr>
          <w:p>
            <w:pPr>
              <w:spacing w:after="0"/>
              <w:rPr>
                <w:sz w:val="18"/>
                <w:szCs w:val="18"/>
                <w:color w:val="auto"/>
              </w:rPr>
            </w:pPr>
          </w:p>
        </w:tc>
        <w:tc>
          <w:tcPr>
            <w:tcW w:w="16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3,593</w:t>
            </w:r>
          </w:p>
        </w:tc>
        <w:tc>
          <w:tcPr>
            <w:tcW w:w="380" w:type="dxa"/>
            <w:vAlign w:val="bottom"/>
            <w:tcBorders>
              <w:bottom w:val="single" w:sz="8" w:color="E9EDF4"/>
            </w:tcBorders>
            <w:shd w:val="clear" w:color="auto" w:fill="E9EDF4"/>
          </w:tcPr>
          <w:p>
            <w:pPr>
              <w:spacing w:after="0"/>
              <w:rPr>
                <w:sz w:val="18"/>
                <w:szCs w:val="18"/>
                <w:color w:val="auto"/>
              </w:rPr>
            </w:pPr>
          </w:p>
        </w:tc>
        <w:tc>
          <w:tcPr>
            <w:tcW w:w="260" w:type="dxa"/>
            <w:vAlign w:val="bottom"/>
            <w:tcBorders>
              <w:bottom w:val="single" w:sz="8" w:color="E9EDF4"/>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E9EDF4"/>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3,436</w:t>
            </w:r>
          </w:p>
        </w:tc>
        <w:tc>
          <w:tcPr>
            <w:tcW w:w="100" w:type="dxa"/>
            <w:vAlign w:val="bottom"/>
            <w:tcBorders>
              <w:bottom w:val="single" w:sz="8" w:color="E9EDF4"/>
            </w:tcBorders>
            <w:shd w:val="clear" w:color="auto" w:fill="E9EDF4"/>
          </w:tcPr>
          <w:p>
            <w:pPr>
              <w:spacing w:after="0"/>
              <w:rPr>
                <w:sz w:val="18"/>
                <w:szCs w:val="18"/>
                <w:color w:val="auto"/>
              </w:rPr>
            </w:pPr>
          </w:p>
        </w:tc>
      </w:tr>
      <w:tr>
        <w:trPr>
          <w:trHeight w:val="210"/>
        </w:trPr>
        <w:tc>
          <w:tcPr>
            <w:tcW w:w="5500" w:type="dxa"/>
            <w:vAlign w:val="bottom"/>
            <w:tcBorders>
              <w:bottom w:val="single" w:sz="8" w:color="D0D8E8"/>
            </w:tcBorders>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Organic Revenue growth</w:t>
            </w:r>
          </w:p>
        </w:tc>
        <w:tc>
          <w:tcPr>
            <w:tcW w:w="120" w:type="dxa"/>
            <w:vAlign w:val="bottom"/>
            <w:tcBorders>
              <w:bottom w:val="single" w:sz="8" w:color="D0D8E8"/>
            </w:tcBorders>
            <w:shd w:val="clear" w:color="auto" w:fill="D0D8E8"/>
          </w:tcPr>
          <w:p>
            <w:pPr>
              <w:spacing w:after="0"/>
              <w:rPr>
                <w:sz w:val="18"/>
                <w:szCs w:val="18"/>
                <w:color w:val="auto"/>
              </w:rPr>
            </w:pPr>
          </w:p>
        </w:tc>
        <w:tc>
          <w:tcPr>
            <w:tcW w:w="700" w:type="dxa"/>
            <w:vAlign w:val="bottom"/>
            <w:tcBorders>
              <w:bottom w:val="single" w:sz="8" w:color="auto"/>
            </w:tcBorders>
            <w:shd w:val="clear" w:color="auto" w:fill="D0D8E8"/>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80" w:type="dxa"/>
            <w:vAlign w:val="bottom"/>
            <w:tcBorders>
              <w:bottom w:val="single" w:sz="8" w:color="D0D8E8"/>
            </w:tcBorders>
            <w:shd w:val="clear" w:color="auto" w:fill="D0D8E8"/>
          </w:tcPr>
          <w:p>
            <w:pPr>
              <w:spacing w:after="0"/>
              <w:rPr>
                <w:sz w:val="18"/>
                <w:szCs w:val="18"/>
                <w:color w:val="auto"/>
              </w:rPr>
            </w:pPr>
          </w:p>
        </w:tc>
        <w:tc>
          <w:tcPr>
            <w:tcW w:w="100" w:type="dxa"/>
            <w:vAlign w:val="bottom"/>
            <w:tcBorders>
              <w:bottom w:val="single" w:sz="8" w:color="D0D8E8"/>
            </w:tcBorders>
            <w:shd w:val="clear" w:color="auto" w:fill="D0D8E8"/>
          </w:tcPr>
          <w:p>
            <w:pPr>
              <w:spacing w:after="0"/>
              <w:rPr>
                <w:sz w:val="18"/>
                <w:szCs w:val="18"/>
                <w:color w:val="auto"/>
              </w:rPr>
            </w:pPr>
          </w:p>
        </w:tc>
        <w:tc>
          <w:tcPr>
            <w:tcW w:w="240" w:type="dxa"/>
            <w:vAlign w:val="bottom"/>
            <w:tcBorders>
              <w:bottom w:val="single" w:sz="8" w:color="D0D8E8"/>
            </w:tcBorders>
            <w:shd w:val="clear" w:color="auto" w:fill="D0D8E8"/>
          </w:tcPr>
          <w:p>
            <w:pPr>
              <w:spacing w:after="0"/>
              <w:rPr>
                <w:sz w:val="18"/>
                <w:szCs w:val="18"/>
                <w:color w:val="auto"/>
              </w:rPr>
            </w:pPr>
          </w:p>
        </w:tc>
        <w:tc>
          <w:tcPr>
            <w:tcW w:w="860" w:type="dxa"/>
            <w:vAlign w:val="bottom"/>
            <w:tcBorders>
              <w:bottom w:val="single" w:sz="8" w:color="D0D8E8"/>
            </w:tcBorders>
            <w:shd w:val="clear" w:color="auto" w:fill="D0D8E8"/>
          </w:tcPr>
          <w:p>
            <w:pPr>
              <w:spacing w:after="0"/>
              <w:rPr>
                <w:sz w:val="18"/>
                <w:szCs w:val="18"/>
                <w:color w:val="auto"/>
              </w:rPr>
            </w:pPr>
          </w:p>
        </w:tc>
        <w:tc>
          <w:tcPr>
            <w:tcW w:w="180" w:type="dxa"/>
            <w:vAlign w:val="bottom"/>
            <w:tcBorders>
              <w:bottom w:val="single" w:sz="8" w:color="D0D8E8"/>
            </w:tcBorders>
            <w:shd w:val="clear" w:color="auto" w:fill="D0D8E8"/>
          </w:tcPr>
          <w:p>
            <w:pPr>
              <w:spacing w:after="0"/>
              <w:rPr>
                <w:sz w:val="18"/>
                <w:szCs w:val="18"/>
                <w:color w:val="auto"/>
              </w:rPr>
            </w:pPr>
          </w:p>
        </w:tc>
        <w:tc>
          <w:tcPr>
            <w:tcW w:w="120" w:type="dxa"/>
            <w:vAlign w:val="bottom"/>
            <w:tcBorders>
              <w:bottom w:val="single" w:sz="8" w:color="D0D8E8"/>
            </w:tcBorders>
            <w:shd w:val="clear" w:color="auto" w:fill="D0D8E8"/>
          </w:tcPr>
          <w:p>
            <w:pPr>
              <w:spacing w:after="0"/>
              <w:rPr>
                <w:sz w:val="18"/>
                <w:szCs w:val="18"/>
                <w:color w:val="auto"/>
              </w:rPr>
            </w:pPr>
          </w:p>
        </w:tc>
        <w:tc>
          <w:tcPr>
            <w:tcW w:w="16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380" w:type="dxa"/>
            <w:vAlign w:val="bottom"/>
            <w:tcBorders>
              <w:bottom w:val="single" w:sz="8" w:color="D0D8E8"/>
            </w:tcBorders>
            <w:shd w:val="clear" w:color="auto" w:fill="D0D8E8"/>
          </w:tcPr>
          <w:p>
            <w:pPr>
              <w:spacing w:after="0"/>
              <w:rPr>
                <w:sz w:val="18"/>
                <w:szCs w:val="18"/>
                <w:color w:val="auto"/>
              </w:rPr>
            </w:pPr>
          </w:p>
        </w:tc>
        <w:tc>
          <w:tcPr>
            <w:tcW w:w="260" w:type="dxa"/>
            <w:vAlign w:val="bottom"/>
            <w:tcBorders>
              <w:bottom w:val="single" w:sz="8" w:color="D0D8E8"/>
            </w:tcBorders>
            <w:shd w:val="clear" w:color="auto" w:fill="D0D8E8"/>
          </w:tcPr>
          <w:p>
            <w:pPr>
              <w:spacing w:after="0"/>
              <w:rPr>
                <w:sz w:val="18"/>
                <w:szCs w:val="18"/>
                <w:color w:val="auto"/>
              </w:rPr>
            </w:pPr>
          </w:p>
        </w:tc>
        <w:tc>
          <w:tcPr>
            <w:tcW w:w="860" w:type="dxa"/>
            <w:vAlign w:val="bottom"/>
            <w:tcBorders>
              <w:bottom w:val="single" w:sz="8" w:color="D0D8E8"/>
            </w:tcBorders>
            <w:shd w:val="clear" w:color="auto" w:fill="D0D8E8"/>
          </w:tcPr>
          <w:p>
            <w:pPr>
              <w:spacing w:after="0"/>
              <w:rPr>
                <w:sz w:val="18"/>
                <w:szCs w:val="18"/>
                <w:color w:val="auto"/>
              </w:rPr>
            </w:pPr>
          </w:p>
        </w:tc>
        <w:tc>
          <w:tcPr>
            <w:tcW w:w="100" w:type="dxa"/>
            <w:vAlign w:val="bottom"/>
            <w:tcBorders>
              <w:bottom w:val="single" w:sz="8" w:color="D0D8E8"/>
            </w:tcBorders>
            <w:shd w:val="clear" w:color="auto" w:fill="D0D8E8"/>
          </w:tcPr>
          <w:p>
            <w:pPr>
              <w:spacing w:after="0"/>
              <w:rPr>
                <w:sz w:val="18"/>
                <w:szCs w:val="18"/>
                <w:color w:val="auto"/>
              </w:rPr>
            </w:pPr>
          </w:p>
        </w:tc>
      </w:tr>
      <w:tr>
        <w:trPr>
          <w:trHeight w:val="209"/>
        </w:trPr>
        <w:tc>
          <w:tcPr>
            <w:tcW w:w="550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Organic Revenue growth %</w:t>
            </w:r>
          </w:p>
        </w:tc>
        <w:tc>
          <w:tcPr>
            <w:tcW w:w="120" w:type="dxa"/>
            <w:vAlign w:val="bottom"/>
            <w:shd w:val="clear" w:color="auto" w:fill="E9EDF4"/>
          </w:tcPr>
          <w:p>
            <w:pPr>
              <w:spacing w:after="0"/>
              <w:rPr>
                <w:sz w:val="18"/>
                <w:szCs w:val="18"/>
                <w:color w:val="auto"/>
              </w:rPr>
            </w:pPr>
          </w:p>
        </w:tc>
        <w:tc>
          <w:tcPr>
            <w:tcW w:w="700" w:type="dxa"/>
            <w:vAlign w:val="bottom"/>
            <w:shd w:val="clear" w:color="auto" w:fill="E9EDF4"/>
          </w:tcPr>
          <w:p>
            <w:pPr>
              <w:spacing w:after="0"/>
              <w:rPr>
                <w:sz w:val="18"/>
                <w:szCs w:val="18"/>
                <w:color w:val="auto"/>
              </w:rPr>
            </w:pPr>
          </w:p>
        </w:tc>
        <w:tc>
          <w:tcPr>
            <w:tcW w:w="700" w:type="dxa"/>
            <w:vAlign w:val="bottom"/>
            <w:gridSpan w:val="2"/>
            <w:shd w:val="clear" w:color="auto" w:fill="E9EDF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86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1340" w:type="dxa"/>
            <w:vAlign w:val="bottom"/>
            <w:gridSpan w:val="2"/>
            <w:shd w:val="clear" w:color="auto" w:fill="E9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w:t>
            </w:r>
          </w:p>
        </w:tc>
        <w:tc>
          <w:tcPr>
            <w:tcW w:w="260" w:type="dxa"/>
            <w:vAlign w:val="bottom"/>
            <w:shd w:val="clear" w:color="auto" w:fill="E9EDF4"/>
          </w:tcPr>
          <w:p>
            <w:pPr>
              <w:spacing w:after="0"/>
              <w:rPr>
                <w:sz w:val="18"/>
                <w:szCs w:val="18"/>
                <w:color w:val="auto"/>
              </w:rPr>
            </w:pPr>
          </w:p>
        </w:tc>
        <w:tc>
          <w:tcPr>
            <w:tcW w:w="86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-1379220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-1276985</wp:posOffset>
            </wp:positionV>
            <wp:extent cx="1289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-1276985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-1276985</wp:posOffset>
            </wp:positionV>
            <wp:extent cx="128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-993775</wp:posOffset>
            </wp:positionV>
            <wp:extent cx="1289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-993775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-993775</wp:posOffset>
            </wp:positionV>
            <wp:extent cx="1289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-436245</wp:posOffset>
            </wp:positionV>
            <wp:extent cx="1289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-436245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-436245</wp:posOffset>
            </wp:positionV>
            <wp:extent cx="1289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-290830</wp:posOffset>
            </wp:positionV>
            <wp:extent cx="1289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-290830</wp:posOffset>
            </wp:positionV>
            <wp:extent cx="1289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-144780</wp:posOffset>
            </wp:positionV>
            <wp:extent cx="1289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-144780</wp:posOffset>
            </wp:positionV>
            <wp:extent cx="1289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Diluted Net Income Per Share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Diluted Net Income Per Share - Adjusted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shd w:val="clear" w:color="auto" w:fill="95B3D7"/>
          </w:tcPr>
          <w:p>
            <w:pPr>
              <w:spacing w:after="0"/>
              <w:rPr>
                <w:sz w:val="13"/>
                <w:szCs w:val="13"/>
                <w:color w:val="auto"/>
              </w:rPr>
            </w:pPr>
          </w:p>
        </w:tc>
        <w:tc>
          <w:tcPr>
            <w:tcW w:w="120" w:type="dxa"/>
            <w:vAlign w:val="bottom"/>
            <w:shd w:val="clear" w:color="auto" w:fill="95B3D7"/>
          </w:tcPr>
          <w:p>
            <w:pPr>
              <w:spacing w:after="0"/>
              <w:rPr>
                <w:sz w:val="13"/>
                <w:szCs w:val="13"/>
                <w:color w:val="auto"/>
              </w:rPr>
            </w:pPr>
          </w:p>
        </w:tc>
        <w:tc>
          <w:tcPr>
            <w:tcW w:w="140" w:type="dxa"/>
            <w:vAlign w:val="bottom"/>
            <w:shd w:val="clear" w:color="auto" w:fill="95B3D7"/>
          </w:tcPr>
          <w:p>
            <w:pPr>
              <w:spacing w:after="0"/>
              <w:rPr>
                <w:sz w:val="13"/>
                <w:szCs w:val="13"/>
                <w:color w:val="auto"/>
              </w:rPr>
            </w:pPr>
          </w:p>
        </w:tc>
        <w:tc>
          <w:tcPr>
            <w:tcW w:w="1740" w:type="dxa"/>
            <w:vAlign w:val="bottom"/>
            <w:gridSpan w:val="4"/>
            <w:shd w:val="clear" w:color="auto" w:fill="95B3D7"/>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shd w:val="clear" w:color="auto" w:fill="95B3D7"/>
          </w:tcPr>
          <w:p>
            <w:pPr>
              <w:spacing w:after="0"/>
              <w:rPr>
                <w:sz w:val="13"/>
                <w:szCs w:val="13"/>
                <w:color w:val="auto"/>
              </w:rPr>
            </w:pPr>
          </w:p>
        </w:tc>
        <w:tc>
          <w:tcPr>
            <w:tcW w:w="160" w:type="dxa"/>
            <w:vAlign w:val="bottom"/>
            <w:shd w:val="clear" w:color="auto" w:fill="95B3D7"/>
          </w:tcPr>
          <w:p>
            <w:pPr>
              <w:spacing w:after="0"/>
              <w:rPr>
                <w:sz w:val="13"/>
                <w:szCs w:val="13"/>
                <w:color w:val="auto"/>
              </w:rPr>
            </w:pPr>
          </w:p>
        </w:tc>
        <w:tc>
          <w:tcPr>
            <w:tcW w:w="920" w:type="dxa"/>
            <w:vAlign w:val="bottom"/>
            <w:gridSpan w:val="3"/>
            <w:vMerge w:val="restart"/>
            <w:shd w:val="clear" w:color="auto" w:fill="95B3D7"/>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shd w:val="clear" w:color="auto" w:fill="95B3D7"/>
          </w:tcPr>
          <w:p>
            <w:pPr>
              <w:spacing w:after="0"/>
              <w:rPr>
                <w:sz w:val="13"/>
                <w:szCs w:val="13"/>
                <w:color w:val="auto"/>
              </w:rPr>
            </w:pPr>
          </w:p>
        </w:tc>
        <w:tc>
          <w:tcPr>
            <w:tcW w:w="120" w:type="dxa"/>
            <w:vAlign w:val="bottom"/>
            <w:shd w:val="clear" w:color="auto" w:fill="95B3D7"/>
          </w:tcPr>
          <w:p>
            <w:pPr>
              <w:spacing w:after="0"/>
              <w:rPr>
                <w:sz w:val="13"/>
                <w:szCs w:val="13"/>
                <w:color w:val="auto"/>
              </w:rPr>
            </w:pPr>
          </w:p>
        </w:tc>
        <w:tc>
          <w:tcPr>
            <w:tcW w:w="160" w:type="dxa"/>
            <w:vAlign w:val="bottom"/>
            <w:shd w:val="clear" w:color="auto" w:fill="95B3D7"/>
          </w:tcPr>
          <w:p>
            <w:pPr>
              <w:spacing w:after="0"/>
              <w:rPr>
                <w:sz w:val="13"/>
                <w:szCs w:val="13"/>
                <w:color w:val="auto"/>
              </w:rPr>
            </w:pPr>
          </w:p>
        </w:tc>
        <w:tc>
          <w:tcPr>
            <w:tcW w:w="1740" w:type="dxa"/>
            <w:vAlign w:val="bottom"/>
            <w:gridSpan w:val="4"/>
            <w:shd w:val="clear" w:color="auto" w:fill="95B3D7"/>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shd w:val="clear" w:color="auto" w:fill="95B3D7"/>
          </w:tcPr>
          <w:p>
            <w:pPr>
              <w:spacing w:after="0"/>
              <w:rPr>
                <w:sz w:val="13"/>
                <w:szCs w:val="13"/>
                <w:color w:val="auto"/>
              </w:rPr>
            </w:pPr>
          </w:p>
        </w:tc>
        <w:tc>
          <w:tcPr>
            <w:tcW w:w="160" w:type="dxa"/>
            <w:vAlign w:val="bottom"/>
            <w:shd w:val="clear" w:color="auto" w:fill="95B3D7"/>
          </w:tcPr>
          <w:p>
            <w:pPr>
              <w:spacing w:after="0"/>
              <w:rPr>
                <w:sz w:val="13"/>
                <w:szCs w:val="13"/>
                <w:color w:val="auto"/>
              </w:rPr>
            </w:pPr>
          </w:p>
        </w:tc>
        <w:tc>
          <w:tcPr>
            <w:tcW w:w="920" w:type="dxa"/>
            <w:vAlign w:val="bottom"/>
            <w:gridSpan w:val="3"/>
            <w:vMerge w:val="restart"/>
            <w:shd w:val="clear" w:color="auto" w:fill="95B3D7"/>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shd w:val="clear" w:color="auto" w:fill="95B3D7"/>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tcBorders>
              <w:bottom w:val="single" w:sz="8" w:color="95B3D7"/>
            </w:tcBorders>
            <w:shd w:val="clear" w:color="auto" w:fill="95B3D7"/>
          </w:tcPr>
          <w:p>
            <w:pPr>
              <w:spacing w:after="0"/>
              <w:rPr>
                <w:sz w:val="15"/>
                <w:szCs w:val="15"/>
                <w:color w:val="auto"/>
              </w:rPr>
            </w:pPr>
          </w:p>
        </w:tc>
        <w:tc>
          <w:tcPr>
            <w:tcW w:w="120" w:type="dxa"/>
            <w:vAlign w:val="bottom"/>
            <w:tcBorders>
              <w:bottom w:val="single" w:sz="8" w:color="95B3D7"/>
            </w:tcBorders>
            <w:shd w:val="clear" w:color="auto" w:fill="95B3D7"/>
          </w:tcPr>
          <w:p>
            <w:pPr>
              <w:spacing w:after="0"/>
              <w:rPr>
                <w:sz w:val="15"/>
                <w:szCs w:val="15"/>
                <w:color w:val="auto"/>
              </w:rPr>
            </w:pPr>
          </w:p>
        </w:tc>
        <w:tc>
          <w:tcPr>
            <w:tcW w:w="140" w:type="dxa"/>
            <w:vAlign w:val="bottom"/>
            <w:tcBorders>
              <w:bottom w:val="single" w:sz="8" w:color="auto"/>
            </w:tcBorders>
            <w:shd w:val="clear" w:color="auto" w:fill="95B3D7"/>
          </w:tcPr>
          <w:p>
            <w:pPr>
              <w:spacing w:after="0"/>
              <w:rPr>
                <w:sz w:val="15"/>
                <w:szCs w:val="15"/>
                <w:color w:val="auto"/>
              </w:rPr>
            </w:pPr>
          </w:p>
        </w:tc>
        <w:tc>
          <w:tcPr>
            <w:tcW w:w="1740" w:type="dxa"/>
            <w:vAlign w:val="bottom"/>
            <w:tcBorders>
              <w:bottom w:val="single" w:sz="8" w:color="auto"/>
            </w:tcBorders>
            <w:gridSpan w:val="4"/>
            <w:shd w:val="clear" w:color="auto" w:fill="95B3D7"/>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95B3D7"/>
            </w:tcBorders>
            <w:shd w:val="clear" w:color="auto" w:fill="95B3D7"/>
          </w:tcPr>
          <w:p>
            <w:pPr>
              <w:spacing w:after="0"/>
              <w:rPr>
                <w:sz w:val="15"/>
                <w:szCs w:val="15"/>
                <w:color w:val="auto"/>
              </w:rPr>
            </w:pPr>
          </w:p>
        </w:tc>
        <w:tc>
          <w:tcPr>
            <w:tcW w:w="160" w:type="dxa"/>
            <w:vAlign w:val="bottom"/>
            <w:tcBorders>
              <w:bottom w:val="single" w:sz="8" w:color="auto"/>
            </w:tcBorders>
            <w:shd w:val="clear" w:color="auto" w:fill="95B3D7"/>
          </w:tcPr>
          <w:p>
            <w:pPr>
              <w:spacing w:after="0"/>
              <w:rPr>
                <w:sz w:val="15"/>
                <w:szCs w:val="15"/>
                <w:color w:val="auto"/>
              </w:rPr>
            </w:pPr>
          </w:p>
        </w:tc>
        <w:tc>
          <w:tcPr>
            <w:tcW w:w="920" w:type="dxa"/>
            <w:vAlign w:val="bottom"/>
            <w:tcBorders>
              <w:bottom w:val="single" w:sz="8" w:color="auto"/>
            </w:tcBorders>
            <w:gridSpan w:val="3"/>
            <w:vMerge w:val="continue"/>
            <w:shd w:val="clear" w:color="auto" w:fill="95B3D7"/>
          </w:tcPr>
          <w:p>
            <w:pPr>
              <w:spacing w:after="0"/>
              <w:rPr>
                <w:sz w:val="15"/>
                <w:szCs w:val="15"/>
                <w:color w:val="auto"/>
              </w:rPr>
            </w:pPr>
          </w:p>
        </w:tc>
        <w:tc>
          <w:tcPr>
            <w:tcW w:w="760" w:type="dxa"/>
            <w:vAlign w:val="bottom"/>
            <w:tcBorders>
              <w:bottom w:val="single" w:sz="8" w:color="auto"/>
            </w:tcBorders>
            <w:shd w:val="clear" w:color="auto" w:fill="95B3D7"/>
          </w:tcPr>
          <w:p>
            <w:pPr>
              <w:spacing w:after="0"/>
              <w:rPr>
                <w:sz w:val="15"/>
                <w:szCs w:val="15"/>
                <w:color w:val="auto"/>
              </w:rPr>
            </w:pPr>
          </w:p>
        </w:tc>
        <w:tc>
          <w:tcPr>
            <w:tcW w:w="120" w:type="dxa"/>
            <w:vAlign w:val="bottom"/>
            <w:tcBorders>
              <w:bottom w:val="single" w:sz="8" w:color="95B3D7"/>
            </w:tcBorders>
            <w:shd w:val="clear" w:color="auto" w:fill="95B3D7"/>
          </w:tcPr>
          <w:p>
            <w:pPr>
              <w:spacing w:after="0"/>
              <w:rPr>
                <w:sz w:val="15"/>
                <w:szCs w:val="15"/>
                <w:color w:val="auto"/>
              </w:rPr>
            </w:pPr>
          </w:p>
        </w:tc>
        <w:tc>
          <w:tcPr>
            <w:tcW w:w="160" w:type="dxa"/>
            <w:vAlign w:val="bottom"/>
            <w:tcBorders>
              <w:bottom w:val="single" w:sz="8" w:color="auto"/>
            </w:tcBorders>
            <w:shd w:val="clear" w:color="auto" w:fill="95B3D7"/>
          </w:tcPr>
          <w:p>
            <w:pPr>
              <w:spacing w:after="0"/>
              <w:rPr>
                <w:sz w:val="15"/>
                <w:szCs w:val="15"/>
                <w:color w:val="auto"/>
              </w:rPr>
            </w:pPr>
          </w:p>
        </w:tc>
        <w:tc>
          <w:tcPr>
            <w:tcW w:w="1740" w:type="dxa"/>
            <w:vAlign w:val="bottom"/>
            <w:tcBorders>
              <w:bottom w:val="single" w:sz="8" w:color="auto"/>
            </w:tcBorders>
            <w:gridSpan w:val="4"/>
            <w:shd w:val="clear" w:color="auto" w:fill="95B3D7"/>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95B3D7"/>
            </w:tcBorders>
            <w:shd w:val="clear" w:color="auto" w:fill="95B3D7"/>
          </w:tcPr>
          <w:p>
            <w:pPr>
              <w:spacing w:after="0"/>
              <w:rPr>
                <w:sz w:val="15"/>
                <w:szCs w:val="15"/>
                <w:color w:val="auto"/>
              </w:rPr>
            </w:pPr>
          </w:p>
        </w:tc>
        <w:tc>
          <w:tcPr>
            <w:tcW w:w="160" w:type="dxa"/>
            <w:vAlign w:val="bottom"/>
            <w:tcBorders>
              <w:bottom w:val="single" w:sz="8" w:color="auto"/>
            </w:tcBorders>
            <w:shd w:val="clear" w:color="auto" w:fill="95B3D7"/>
          </w:tcPr>
          <w:p>
            <w:pPr>
              <w:spacing w:after="0"/>
              <w:rPr>
                <w:sz w:val="15"/>
                <w:szCs w:val="15"/>
                <w:color w:val="auto"/>
              </w:rPr>
            </w:pPr>
          </w:p>
        </w:tc>
        <w:tc>
          <w:tcPr>
            <w:tcW w:w="920" w:type="dxa"/>
            <w:vAlign w:val="bottom"/>
            <w:tcBorders>
              <w:bottom w:val="single" w:sz="8" w:color="auto"/>
            </w:tcBorders>
            <w:gridSpan w:val="3"/>
            <w:vMerge w:val="continue"/>
            <w:shd w:val="clear" w:color="auto" w:fill="95B3D7"/>
          </w:tcPr>
          <w:p>
            <w:pPr>
              <w:spacing w:after="0"/>
              <w:rPr>
                <w:sz w:val="15"/>
                <w:szCs w:val="15"/>
                <w:color w:val="auto"/>
              </w:rPr>
            </w:pPr>
          </w:p>
        </w:tc>
        <w:tc>
          <w:tcPr>
            <w:tcW w:w="780" w:type="dxa"/>
            <w:vAlign w:val="bottom"/>
            <w:tcBorders>
              <w:bottom w:val="single" w:sz="8" w:color="auto"/>
            </w:tcBorders>
            <w:shd w:val="clear" w:color="auto" w:fill="95B3D7"/>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95B3D7"/>
            </w:tcBorders>
            <w:shd w:val="clear" w:color="auto" w:fill="95B3D7"/>
          </w:tcPr>
          <w:p>
            <w:pPr>
              <w:spacing w:after="0"/>
              <w:rPr>
                <w:sz w:val="12"/>
                <w:szCs w:val="12"/>
                <w:color w:val="auto"/>
              </w:rPr>
            </w:pPr>
          </w:p>
        </w:tc>
        <w:tc>
          <w:tcPr>
            <w:tcW w:w="120" w:type="dxa"/>
            <w:vAlign w:val="bottom"/>
            <w:tcBorders>
              <w:bottom w:val="single" w:sz="8" w:color="95B3D7"/>
            </w:tcBorders>
            <w:shd w:val="clear" w:color="auto" w:fill="95B3D7"/>
          </w:tcPr>
          <w:p>
            <w:pPr>
              <w:spacing w:after="0"/>
              <w:rPr>
                <w:sz w:val="12"/>
                <w:szCs w:val="12"/>
                <w:color w:val="auto"/>
              </w:rPr>
            </w:pPr>
          </w:p>
        </w:tc>
        <w:tc>
          <w:tcPr>
            <w:tcW w:w="140" w:type="dxa"/>
            <w:vAlign w:val="bottom"/>
            <w:tcBorders>
              <w:bottom w:val="single" w:sz="8" w:color="auto"/>
            </w:tcBorders>
            <w:shd w:val="clear" w:color="auto" w:fill="95B3D7"/>
          </w:tcPr>
          <w:p>
            <w:pPr>
              <w:spacing w:after="0"/>
              <w:rPr>
                <w:sz w:val="12"/>
                <w:szCs w:val="12"/>
                <w:color w:val="auto"/>
              </w:rPr>
            </w:pPr>
          </w:p>
        </w:tc>
        <w:tc>
          <w:tcPr>
            <w:tcW w:w="740" w:type="dxa"/>
            <w:vAlign w:val="bottom"/>
            <w:tcBorders>
              <w:bottom w:val="single" w:sz="8" w:color="auto"/>
            </w:tcBorders>
            <w:shd w:val="clear" w:color="auto" w:fill="95B3D7"/>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95B3D7"/>
            </w:tcBorders>
            <w:shd w:val="clear" w:color="auto" w:fill="95B3D7"/>
          </w:tcPr>
          <w:p>
            <w:pPr>
              <w:spacing w:after="0"/>
              <w:rPr>
                <w:sz w:val="12"/>
                <w:szCs w:val="12"/>
                <w:color w:val="auto"/>
              </w:rPr>
            </w:pPr>
          </w:p>
        </w:tc>
        <w:tc>
          <w:tcPr>
            <w:tcW w:w="160" w:type="dxa"/>
            <w:vAlign w:val="bottom"/>
            <w:tcBorders>
              <w:bottom w:val="single" w:sz="8" w:color="auto"/>
            </w:tcBorders>
            <w:shd w:val="clear" w:color="auto" w:fill="95B3D7"/>
          </w:tcPr>
          <w:p>
            <w:pPr>
              <w:spacing w:after="0"/>
              <w:rPr>
                <w:sz w:val="12"/>
                <w:szCs w:val="12"/>
                <w:color w:val="auto"/>
              </w:rPr>
            </w:pPr>
          </w:p>
        </w:tc>
        <w:tc>
          <w:tcPr>
            <w:tcW w:w="720" w:type="dxa"/>
            <w:vAlign w:val="bottom"/>
            <w:tcBorders>
              <w:bottom w:val="single" w:sz="8" w:color="auto"/>
            </w:tcBorders>
            <w:shd w:val="clear" w:color="auto" w:fill="95B3D7"/>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95B3D7"/>
            </w:tcBorders>
            <w:shd w:val="clear" w:color="auto" w:fill="95B3D7"/>
          </w:tcPr>
          <w:p>
            <w:pPr>
              <w:spacing w:after="0"/>
              <w:rPr>
                <w:sz w:val="12"/>
                <w:szCs w:val="12"/>
                <w:color w:val="auto"/>
              </w:rPr>
            </w:pPr>
          </w:p>
        </w:tc>
        <w:tc>
          <w:tcPr>
            <w:tcW w:w="160" w:type="dxa"/>
            <w:vAlign w:val="bottom"/>
            <w:tcBorders>
              <w:bottom w:val="single" w:sz="8" w:color="auto"/>
            </w:tcBorders>
            <w:shd w:val="clear" w:color="auto" w:fill="95B3D7"/>
          </w:tcPr>
          <w:p>
            <w:pPr>
              <w:spacing w:after="0"/>
              <w:rPr>
                <w:sz w:val="12"/>
                <w:szCs w:val="12"/>
                <w:color w:val="auto"/>
              </w:rPr>
            </w:pPr>
          </w:p>
        </w:tc>
        <w:tc>
          <w:tcPr>
            <w:tcW w:w="580" w:type="dxa"/>
            <w:vAlign w:val="bottom"/>
            <w:tcBorders>
              <w:bottom w:val="single" w:sz="8" w:color="auto"/>
            </w:tcBorders>
            <w:shd w:val="clear" w:color="auto" w:fill="95B3D7"/>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95B3D7"/>
            </w:tcBorders>
            <w:shd w:val="clear" w:color="auto" w:fill="95B3D7"/>
          </w:tcPr>
          <w:p>
            <w:pPr>
              <w:spacing w:after="0"/>
              <w:rPr>
                <w:sz w:val="12"/>
                <w:szCs w:val="12"/>
                <w:color w:val="auto"/>
              </w:rPr>
            </w:pPr>
          </w:p>
        </w:tc>
        <w:tc>
          <w:tcPr>
            <w:tcW w:w="240" w:type="dxa"/>
            <w:vAlign w:val="bottom"/>
            <w:tcBorders>
              <w:bottom w:val="single" w:sz="8" w:color="auto"/>
            </w:tcBorders>
            <w:shd w:val="clear" w:color="auto" w:fill="95B3D7"/>
          </w:tcPr>
          <w:p>
            <w:pPr>
              <w:spacing w:after="0"/>
              <w:rPr>
                <w:sz w:val="12"/>
                <w:szCs w:val="12"/>
                <w:color w:val="auto"/>
              </w:rPr>
            </w:pPr>
          </w:p>
        </w:tc>
        <w:tc>
          <w:tcPr>
            <w:tcW w:w="760" w:type="dxa"/>
            <w:vAlign w:val="bottom"/>
            <w:tcBorders>
              <w:bottom w:val="single" w:sz="8" w:color="auto"/>
            </w:tcBorders>
            <w:shd w:val="clear" w:color="auto" w:fill="95B3D7"/>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95B3D7"/>
            </w:tcBorders>
            <w:shd w:val="clear" w:color="auto" w:fill="95B3D7"/>
          </w:tcPr>
          <w:p>
            <w:pPr>
              <w:spacing w:after="0"/>
              <w:rPr>
                <w:sz w:val="12"/>
                <w:szCs w:val="12"/>
                <w:color w:val="auto"/>
              </w:rPr>
            </w:pPr>
          </w:p>
        </w:tc>
        <w:tc>
          <w:tcPr>
            <w:tcW w:w="160" w:type="dxa"/>
            <w:vAlign w:val="bottom"/>
            <w:tcBorders>
              <w:bottom w:val="single" w:sz="8" w:color="auto"/>
            </w:tcBorders>
            <w:shd w:val="clear" w:color="auto" w:fill="95B3D7"/>
          </w:tcPr>
          <w:p>
            <w:pPr>
              <w:spacing w:after="0"/>
              <w:rPr>
                <w:sz w:val="12"/>
                <w:szCs w:val="12"/>
                <w:color w:val="auto"/>
              </w:rPr>
            </w:pPr>
          </w:p>
        </w:tc>
        <w:tc>
          <w:tcPr>
            <w:tcW w:w="740" w:type="dxa"/>
            <w:vAlign w:val="bottom"/>
            <w:tcBorders>
              <w:bottom w:val="single" w:sz="8" w:color="auto"/>
            </w:tcBorders>
            <w:shd w:val="clear" w:color="auto" w:fill="95B3D7"/>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95B3D7"/>
            </w:tcBorders>
            <w:shd w:val="clear" w:color="auto" w:fill="95B3D7"/>
          </w:tcPr>
          <w:p>
            <w:pPr>
              <w:spacing w:after="0"/>
              <w:rPr>
                <w:sz w:val="12"/>
                <w:szCs w:val="12"/>
                <w:color w:val="auto"/>
              </w:rPr>
            </w:pPr>
          </w:p>
        </w:tc>
        <w:tc>
          <w:tcPr>
            <w:tcW w:w="180" w:type="dxa"/>
            <w:vAlign w:val="bottom"/>
            <w:tcBorders>
              <w:bottom w:val="single" w:sz="8" w:color="auto"/>
            </w:tcBorders>
            <w:shd w:val="clear" w:color="auto" w:fill="95B3D7"/>
          </w:tcPr>
          <w:p>
            <w:pPr>
              <w:spacing w:after="0"/>
              <w:rPr>
                <w:sz w:val="12"/>
                <w:szCs w:val="12"/>
                <w:color w:val="auto"/>
              </w:rPr>
            </w:pPr>
          </w:p>
        </w:tc>
        <w:tc>
          <w:tcPr>
            <w:tcW w:w="720" w:type="dxa"/>
            <w:vAlign w:val="bottom"/>
            <w:tcBorders>
              <w:bottom w:val="single" w:sz="8" w:color="auto"/>
            </w:tcBorders>
            <w:shd w:val="clear" w:color="auto" w:fill="95B3D7"/>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95B3D7"/>
            </w:tcBorders>
            <w:shd w:val="clear" w:color="auto" w:fill="95B3D7"/>
          </w:tcPr>
          <w:p>
            <w:pPr>
              <w:spacing w:after="0"/>
              <w:rPr>
                <w:sz w:val="12"/>
                <w:szCs w:val="12"/>
                <w:color w:val="auto"/>
              </w:rPr>
            </w:pPr>
          </w:p>
        </w:tc>
        <w:tc>
          <w:tcPr>
            <w:tcW w:w="160" w:type="dxa"/>
            <w:vAlign w:val="bottom"/>
            <w:tcBorders>
              <w:bottom w:val="single" w:sz="8" w:color="auto"/>
            </w:tcBorders>
            <w:shd w:val="clear" w:color="auto" w:fill="95B3D7"/>
          </w:tcPr>
          <w:p>
            <w:pPr>
              <w:spacing w:after="0"/>
              <w:rPr>
                <w:sz w:val="12"/>
                <w:szCs w:val="12"/>
                <w:color w:val="auto"/>
              </w:rPr>
            </w:pPr>
          </w:p>
        </w:tc>
        <w:tc>
          <w:tcPr>
            <w:tcW w:w="580" w:type="dxa"/>
            <w:vAlign w:val="bottom"/>
            <w:tcBorders>
              <w:bottom w:val="single" w:sz="8" w:color="auto"/>
            </w:tcBorders>
            <w:shd w:val="clear" w:color="auto" w:fill="95B3D7"/>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95B3D7"/>
            </w:tcBorders>
            <w:shd w:val="clear" w:color="auto" w:fill="95B3D7"/>
          </w:tcPr>
          <w:p>
            <w:pPr>
              <w:spacing w:after="0"/>
              <w:rPr>
                <w:sz w:val="12"/>
                <w:szCs w:val="12"/>
                <w:color w:val="auto"/>
              </w:rPr>
            </w:pPr>
          </w:p>
        </w:tc>
        <w:tc>
          <w:tcPr>
            <w:tcW w:w="240" w:type="dxa"/>
            <w:vAlign w:val="bottom"/>
            <w:tcBorders>
              <w:bottom w:val="single" w:sz="8" w:color="auto"/>
            </w:tcBorders>
            <w:shd w:val="clear" w:color="auto" w:fill="95B3D7"/>
          </w:tcPr>
          <w:p>
            <w:pPr>
              <w:spacing w:after="0"/>
              <w:rPr>
                <w:sz w:val="12"/>
                <w:szCs w:val="12"/>
                <w:color w:val="auto"/>
              </w:rPr>
            </w:pPr>
          </w:p>
        </w:tc>
        <w:tc>
          <w:tcPr>
            <w:tcW w:w="780" w:type="dxa"/>
            <w:vAlign w:val="bottom"/>
            <w:tcBorders>
              <w:bottom w:val="single" w:sz="8" w:color="auto"/>
            </w:tcBorders>
            <w:shd w:val="clear" w:color="auto" w:fill="95B3D7"/>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328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60" w:type="dxa"/>
            <w:vAlign w:val="bottom"/>
            <w:gridSpan w:val="2"/>
            <w:shd w:val="clear" w:color="auto" w:fill="E9EDF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0.68</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0.81</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7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2.57</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2.73</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7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198"/>
        </w:trPr>
        <w:tc>
          <w:tcPr>
            <w:tcW w:w="3280" w:type="dxa"/>
            <w:vAlign w:val="bottom"/>
            <w:shd w:val="clear" w:color="auto" w:fill="D0D8E8"/>
          </w:tcPr>
          <w:p>
            <w:pPr>
              <w:ind w:left="6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 earn-out</w:t>
            </w:r>
          </w:p>
        </w:tc>
        <w:tc>
          <w:tcPr>
            <w:tcW w:w="120" w:type="dxa"/>
            <w:vAlign w:val="bottom"/>
            <w:shd w:val="clear" w:color="auto" w:fill="D0D8E8"/>
          </w:tcPr>
          <w:p>
            <w:pPr>
              <w:spacing w:after="0"/>
              <w:rPr>
                <w:sz w:val="17"/>
                <w:szCs w:val="17"/>
                <w:color w:val="auto"/>
              </w:rPr>
            </w:pPr>
          </w:p>
        </w:tc>
        <w:tc>
          <w:tcPr>
            <w:tcW w:w="140" w:type="dxa"/>
            <w:vAlign w:val="bottom"/>
            <w:shd w:val="clear" w:color="auto" w:fill="D0D8E8"/>
          </w:tcPr>
          <w:p>
            <w:pPr>
              <w:spacing w:after="0"/>
              <w:rPr>
                <w:sz w:val="17"/>
                <w:szCs w:val="17"/>
                <w:color w:val="auto"/>
              </w:rPr>
            </w:pPr>
          </w:p>
        </w:tc>
        <w:tc>
          <w:tcPr>
            <w:tcW w:w="740" w:type="dxa"/>
            <w:vAlign w:val="bottom"/>
            <w:shd w:val="clear" w:color="auto" w:fill="D0D8E8"/>
          </w:tcPr>
          <w:p>
            <w:pPr>
              <w:spacing w:after="0"/>
              <w:rPr>
                <w:sz w:val="17"/>
                <w:szCs w:val="17"/>
                <w:color w:val="auto"/>
              </w:rPr>
            </w:pPr>
          </w:p>
        </w:tc>
        <w:tc>
          <w:tcPr>
            <w:tcW w:w="120" w:type="dxa"/>
            <w:vAlign w:val="bottom"/>
            <w:shd w:val="clear" w:color="auto" w:fill="D0D8E8"/>
          </w:tcPr>
          <w:p>
            <w:pPr>
              <w:spacing w:after="0"/>
              <w:rPr>
                <w:sz w:val="17"/>
                <w:szCs w:val="17"/>
                <w:color w:val="auto"/>
              </w:rPr>
            </w:pPr>
          </w:p>
        </w:tc>
        <w:tc>
          <w:tcPr>
            <w:tcW w:w="160" w:type="dxa"/>
            <w:vAlign w:val="bottom"/>
            <w:shd w:val="clear" w:color="auto" w:fill="D0D8E8"/>
          </w:tcPr>
          <w:p>
            <w:pPr>
              <w:spacing w:after="0"/>
              <w:rPr>
                <w:sz w:val="17"/>
                <w:szCs w:val="17"/>
                <w:color w:val="auto"/>
              </w:rPr>
            </w:pPr>
          </w:p>
        </w:tc>
        <w:tc>
          <w:tcPr>
            <w:tcW w:w="720" w:type="dxa"/>
            <w:vAlign w:val="bottom"/>
            <w:shd w:val="clear" w:color="auto" w:fill="D0D8E8"/>
          </w:tcPr>
          <w:p>
            <w:pPr>
              <w:spacing w:after="0"/>
              <w:rPr>
                <w:sz w:val="17"/>
                <w:szCs w:val="17"/>
                <w:color w:val="auto"/>
              </w:rPr>
            </w:pPr>
          </w:p>
        </w:tc>
        <w:tc>
          <w:tcPr>
            <w:tcW w:w="120" w:type="dxa"/>
            <w:vAlign w:val="bottom"/>
            <w:shd w:val="clear" w:color="auto" w:fill="D0D8E8"/>
          </w:tcPr>
          <w:p>
            <w:pPr>
              <w:spacing w:after="0"/>
              <w:rPr>
                <w:sz w:val="17"/>
                <w:szCs w:val="17"/>
                <w:color w:val="auto"/>
              </w:rPr>
            </w:pPr>
          </w:p>
        </w:tc>
        <w:tc>
          <w:tcPr>
            <w:tcW w:w="160" w:type="dxa"/>
            <w:vAlign w:val="bottom"/>
            <w:shd w:val="clear" w:color="auto" w:fill="D0D8E8"/>
          </w:tcPr>
          <w:p>
            <w:pPr>
              <w:spacing w:after="0"/>
              <w:rPr>
                <w:sz w:val="17"/>
                <w:szCs w:val="17"/>
                <w:color w:val="auto"/>
              </w:rPr>
            </w:pPr>
          </w:p>
        </w:tc>
        <w:tc>
          <w:tcPr>
            <w:tcW w:w="580" w:type="dxa"/>
            <w:vAlign w:val="bottom"/>
            <w:shd w:val="clear" w:color="auto" w:fill="D0D8E8"/>
          </w:tcPr>
          <w:p>
            <w:pPr>
              <w:spacing w:after="0"/>
              <w:rPr>
                <w:sz w:val="17"/>
                <w:szCs w:val="17"/>
                <w:color w:val="auto"/>
              </w:rPr>
            </w:pPr>
          </w:p>
        </w:tc>
        <w:tc>
          <w:tcPr>
            <w:tcW w:w="100" w:type="dxa"/>
            <w:vAlign w:val="bottom"/>
            <w:shd w:val="clear" w:color="auto" w:fill="D0D8E8"/>
          </w:tcPr>
          <w:p>
            <w:pPr>
              <w:spacing w:after="0"/>
              <w:rPr>
                <w:sz w:val="17"/>
                <w:szCs w:val="17"/>
                <w:color w:val="auto"/>
              </w:rPr>
            </w:pPr>
          </w:p>
        </w:tc>
        <w:tc>
          <w:tcPr>
            <w:tcW w:w="240" w:type="dxa"/>
            <w:vAlign w:val="bottom"/>
            <w:shd w:val="clear" w:color="auto" w:fill="D0D8E8"/>
          </w:tcPr>
          <w:p>
            <w:pPr>
              <w:spacing w:after="0"/>
              <w:rPr>
                <w:sz w:val="17"/>
                <w:szCs w:val="17"/>
                <w:color w:val="auto"/>
              </w:rPr>
            </w:pPr>
          </w:p>
        </w:tc>
        <w:tc>
          <w:tcPr>
            <w:tcW w:w="760" w:type="dxa"/>
            <w:vAlign w:val="bottom"/>
            <w:shd w:val="clear" w:color="auto" w:fill="D0D8E8"/>
          </w:tcPr>
          <w:p>
            <w:pPr>
              <w:spacing w:after="0"/>
              <w:rPr>
                <w:sz w:val="17"/>
                <w:szCs w:val="17"/>
                <w:color w:val="auto"/>
              </w:rPr>
            </w:pPr>
          </w:p>
        </w:tc>
        <w:tc>
          <w:tcPr>
            <w:tcW w:w="120" w:type="dxa"/>
            <w:vAlign w:val="bottom"/>
            <w:shd w:val="clear" w:color="auto" w:fill="D0D8E8"/>
          </w:tcPr>
          <w:p>
            <w:pPr>
              <w:spacing w:after="0"/>
              <w:rPr>
                <w:sz w:val="17"/>
                <w:szCs w:val="17"/>
                <w:color w:val="auto"/>
              </w:rPr>
            </w:pPr>
          </w:p>
        </w:tc>
        <w:tc>
          <w:tcPr>
            <w:tcW w:w="160" w:type="dxa"/>
            <w:vAlign w:val="bottom"/>
            <w:shd w:val="clear" w:color="auto" w:fill="D0D8E8"/>
          </w:tcPr>
          <w:p>
            <w:pPr>
              <w:spacing w:after="0"/>
              <w:rPr>
                <w:sz w:val="17"/>
                <w:szCs w:val="17"/>
                <w:color w:val="auto"/>
              </w:rPr>
            </w:pPr>
          </w:p>
        </w:tc>
        <w:tc>
          <w:tcPr>
            <w:tcW w:w="740" w:type="dxa"/>
            <w:vAlign w:val="bottom"/>
            <w:shd w:val="clear" w:color="auto" w:fill="D0D8E8"/>
          </w:tcPr>
          <w:p>
            <w:pPr>
              <w:spacing w:after="0"/>
              <w:rPr>
                <w:sz w:val="17"/>
                <w:szCs w:val="17"/>
                <w:color w:val="auto"/>
              </w:rPr>
            </w:pPr>
          </w:p>
        </w:tc>
        <w:tc>
          <w:tcPr>
            <w:tcW w:w="100" w:type="dxa"/>
            <w:vAlign w:val="bottom"/>
            <w:shd w:val="clear" w:color="auto" w:fill="D0D8E8"/>
          </w:tcPr>
          <w:p>
            <w:pPr>
              <w:spacing w:after="0"/>
              <w:rPr>
                <w:sz w:val="17"/>
                <w:szCs w:val="17"/>
                <w:color w:val="auto"/>
              </w:rPr>
            </w:pPr>
          </w:p>
        </w:tc>
        <w:tc>
          <w:tcPr>
            <w:tcW w:w="180" w:type="dxa"/>
            <w:vAlign w:val="bottom"/>
            <w:shd w:val="clear" w:color="auto" w:fill="D0D8E8"/>
          </w:tcPr>
          <w:p>
            <w:pPr>
              <w:spacing w:after="0"/>
              <w:rPr>
                <w:sz w:val="17"/>
                <w:szCs w:val="17"/>
                <w:color w:val="auto"/>
              </w:rPr>
            </w:pPr>
          </w:p>
        </w:tc>
        <w:tc>
          <w:tcPr>
            <w:tcW w:w="720" w:type="dxa"/>
            <w:vAlign w:val="bottom"/>
            <w:shd w:val="clear" w:color="auto" w:fill="D0D8E8"/>
          </w:tcPr>
          <w:p>
            <w:pPr>
              <w:spacing w:after="0"/>
              <w:rPr>
                <w:sz w:val="17"/>
                <w:szCs w:val="17"/>
                <w:color w:val="auto"/>
              </w:rPr>
            </w:pPr>
          </w:p>
        </w:tc>
        <w:tc>
          <w:tcPr>
            <w:tcW w:w="120" w:type="dxa"/>
            <w:vAlign w:val="bottom"/>
            <w:shd w:val="clear" w:color="auto" w:fill="D0D8E8"/>
          </w:tcPr>
          <w:p>
            <w:pPr>
              <w:spacing w:after="0"/>
              <w:rPr>
                <w:sz w:val="17"/>
                <w:szCs w:val="17"/>
                <w:color w:val="auto"/>
              </w:rPr>
            </w:pPr>
          </w:p>
        </w:tc>
        <w:tc>
          <w:tcPr>
            <w:tcW w:w="160" w:type="dxa"/>
            <w:vAlign w:val="bottom"/>
            <w:shd w:val="clear" w:color="auto" w:fill="D0D8E8"/>
          </w:tcPr>
          <w:p>
            <w:pPr>
              <w:spacing w:after="0"/>
              <w:rPr>
                <w:sz w:val="17"/>
                <w:szCs w:val="17"/>
                <w:color w:val="auto"/>
              </w:rPr>
            </w:pPr>
          </w:p>
        </w:tc>
        <w:tc>
          <w:tcPr>
            <w:tcW w:w="580" w:type="dxa"/>
            <w:vAlign w:val="bottom"/>
            <w:shd w:val="clear" w:color="auto" w:fill="D0D8E8"/>
          </w:tcPr>
          <w:p>
            <w:pPr>
              <w:spacing w:after="0"/>
              <w:rPr>
                <w:sz w:val="17"/>
                <w:szCs w:val="17"/>
                <w:color w:val="auto"/>
              </w:rPr>
            </w:pPr>
          </w:p>
        </w:tc>
        <w:tc>
          <w:tcPr>
            <w:tcW w:w="100" w:type="dxa"/>
            <w:vAlign w:val="bottom"/>
            <w:shd w:val="clear" w:color="auto" w:fill="D0D8E8"/>
          </w:tcPr>
          <w:p>
            <w:pPr>
              <w:spacing w:after="0"/>
              <w:rPr>
                <w:sz w:val="17"/>
                <w:szCs w:val="17"/>
                <w:color w:val="auto"/>
              </w:rPr>
            </w:pPr>
          </w:p>
        </w:tc>
        <w:tc>
          <w:tcPr>
            <w:tcW w:w="240" w:type="dxa"/>
            <w:vAlign w:val="bottom"/>
            <w:shd w:val="clear" w:color="auto" w:fill="D0D8E8"/>
          </w:tcPr>
          <w:p>
            <w:pPr>
              <w:spacing w:after="0"/>
              <w:rPr>
                <w:sz w:val="17"/>
                <w:szCs w:val="17"/>
                <w:color w:val="auto"/>
              </w:rPr>
            </w:pPr>
          </w:p>
        </w:tc>
        <w:tc>
          <w:tcPr>
            <w:tcW w:w="780" w:type="dxa"/>
            <w:vAlign w:val="bottom"/>
            <w:shd w:val="clear" w:color="auto" w:fill="D0D8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D0D8E8"/>
          </w:tcPr>
          <w:p>
            <w:pPr>
              <w:ind w:left="60"/>
              <w:spacing w:after="0"/>
              <w:rPr>
                <w:sz w:val="20"/>
                <w:szCs w:val="20"/>
                <w:color w:val="auto"/>
              </w:rPr>
            </w:pPr>
            <w:r>
              <w:rPr>
                <w:rFonts w:ascii="Times New Roman" w:cs="Times New Roman" w:eastAsia="Times New Roman" w:hAnsi="Times New Roman"/>
                <w:sz w:val="18"/>
                <w:szCs w:val="18"/>
                <w:color w:val="auto"/>
              </w:rPr>
              <w:t>payables</w:t>
            </w:r>
          </w:p>
        </w:tc>
        <w:tc>
          <w:tcPr>
            <w:tcW w:w="120" w:type="dxa"/>
            <w:vAlign w:val="bottom"/>
            <w:shd w:val="clear" w:color="auto" w:fill="D0D8E8"/>
          </w:tcPr>
          <w:p>
            <w:pPr>
              <w:spacing w:after="0"/>
              <w:rPr>
                <w:sz w:val="20"/>
                <w:szCs w:val="20"/>
                <w:color w:val="auto"/>
              </w:rPr>
            </w:pPr>
          </w:p>
        </w:tc>
        <w:tc>
          <w:tcPr>
            <w:tcW w:w="140" w:type="dxa"/>
            <w:vAlign w:val="bottom"/>
            <w:shd w:val="clear" w:color="auto" w:fill="D0D8E8"/>
          </w:tcPr>
          <w:p>
            <w:pPr>
              <w:spacing w:after="0"/>
              <w:rPr>
                <w:sz w:val="20"/>
                <w:szCs w:val="20"/>
                <w:color w:val="auto"/>
              </w:rPr>
            </w:pPr>
          </w:p>
        </w:tc>
        <w:tc>
          <w:tcPr>
            <w:tcW w:w="740" w:type="dxa"/>
            <w:vAlign w:val="bottom"/>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D0D8E8"/>
          </w:tcPr>
          <w:p>
            <w:pPr>
              <w:spacing w:after="0"/>
              <w:rPr>
                <w:sz w:val="20"/>
                <w:szCs w:val="20"/>
                <w:color w:val="auto"/>
              </w:rPr>
            </w:pPr>
          </w:p>
        </w:tc>
        <w:tc>
          <w:tcPr>
            <w:tcW w:w="160" w:type="dxa"/>
            <w:vAlign w:val="bottom"/>
            <w:shd w:val="clear" w:color="auto" w:fill="D0D8E8"/>
          </w:tcPr>
          <w:p>
            <w:pPr>
              <w:spacing w:after="0"/>
              <w:rPr>
                <w:sz w:val="20"/>
                <w:szCs w:val="20"/>
                <w:color w:val="auto"/>
              </w:rPr>
            </w:pPr>
          </w:p>
        </w:tc>
        <w:tc>
          <w:tcPr>
            <w:tcW w:w="7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D0D8E8"/>
          </w:tcPr>
          <w:p>
            <w:pPr>
              <w:spacing w:after="0"/>
              <w:rPr>
                <w:sz w:val="20"/>
                <w:szCs w:val="20"/>
                <w:color w:val="auto"/>
              </w:rPr>
            </w:pPr>
          </w:p>
        </w:tc>
        <w:tc>
          <w:tcPr>
            <w:tcW w:w="160" w:type="dxa"/>
            <w:vAlign w:val="bottom"/>
            <w:shd w:val="clear" w:color="auto" w:fill="D0D8E8"/>
          </w:tcPr>
          <w:p>
            <w:pPr>
              <w:spacing w:after="0"/>
              <w:rPr>
                <w:sz w:val="20"/>
                <w:szCs w:val="20"/>
                <w:color w:val="auto"/>
              </w:rPr>
            </w:pPr>
          </w:p>
        </w:tc>
        <w:tc>
          <w:tcPr>
            <w:tcW w:w="580" w:type="dxa"/>
            <w:vAlign w:val="bottom"/>
            <w:shd w:val="clear" w:color="auto" w:fill="D0D8E8"/>
          </w:tcPr>
          <w:p>
            <w:pPr>
              <w:jc w:val="right"/>
              <w:ind w:right="34"/>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D0D8E8"/>
          </w:tcPr>
          <w:p>
            <w:pPr>
              <w:spacing w:after="0"/>
              <w:rPr>
                <w:sz w:val="20"/>
                <w:szCs w:val="20"/>
                <w:color w:val="auto"/>
              </w:rPr>
            </w:pPr>
          </w:p>
        </w:tc>
        <w:tc>
          <w:tcPr>
            <w:tcW w:w="240" w:type="dxa"/>
            <w:vAlign w:val="bottom"/>
            <w:shd w:val="clear" w:color="auto" w:fill="D0D8E8"/>
          </w:tcPr>
          <w:p>
            <w:pPr>
              <w:spacing w:after="0"/>
              <w:rPr>
                <w:sz w:val="20"/>
                <w:szCs w:val="20"/>
                <w:color w:val="auto"/>
              </w:rPr>
            </w:pPr>
          </w:p>
        </w:tc>
        <w:tc>
          <w:tcPr>
            <w:tcW w:w="760" w:type="dxa"/>
            <w:vAlign w:val="bottom"/>
            <w:shd w:val="clear" w:color="auto" w:fill="D0D8E8"/>
          </w:tcPr>
          <w:p>
            <w:pPr>
              <w:spacing w:after="0"/>
              <w:rPr>
                <w:sz w:val="20"/>
                <w:szCs w:val="20"/>
                <w:color w:val="auto"/>
              </w:rPr>
            </w:pPr>
          </w:p>
        </w:tc>
        <w:tc>
          <w:tcPr>
            <w:tcW w:w="120" w:type="dxa"/>
            <w:vAlign w:val="bottom"/>
            <w:shd w:val="clear" w:color="auto" w:fill="D0D8E8"/>
          </w:tcPr>
          <w:p>
            <w:pPr>
              <w:spacing w:after="0"/>
              <w:rPr>
                <w:sz w:val="20"/>
                <w:szCs w:val="20"/>
                <w:color w:val="auto"/>
              </w:rPr>
            </w:pPr>
          </w:p>
        </w:tc>
        <w:tc>
          <w:tcPr>
            <w:tcW w:w="160" w:type="dxa"/>
            <w:vAlign w:val="bottom"/>
            <w:shd w:val="clear" w:color="auto" w:fill="D0D8E8"/>
          </w:tcPr>
          <w:p>
            <w:pPr>
              <w:spacing w:after="0"/>
              <w:rPr>
                <w:sz w:val="20"/>
                <w:szCs w:val="20"/>
                <w:color w:val="auto"/>
              </w:rPr>
            </w:pPr>
          </w:p>
        </w:tc>
        <w:tc>
          <w:tcPr>
            <w:tcW w:w="740" w:type="dxa"/>
            <w:vAlign w:val="bottom"/>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D0D8E8"/>
          </w:tcPr>
          <w:p>
            <w:pPr>
              <w:spacing w:after="0"/>
              <w:rPr>
                <w:sz w:val="20"/>
                <w:szCs w:val="20"/>
                <w:color w:val="auto"/>
              </w:rPr>
            </w:pPr>
          </w:p>
        </w:tc>
        <w:tc>
          <w:tcPr>
            <w:tcW w:w="180" w:type="dxa"/>
            <w:vAlign w:val="bottom"/>
            <w:shd w:val="clear" w:color="auto" w:fill="D0D8E8"/>
          </w:tcPr>
          <w:p>
            <w:pPr>
              <w:spacing w:after="0"/>
              <w:rPr>
                <w:sz w:val="20"/>
                <w:szCs w:val="20"/>
                <w:color w:val="auto"/>
              </w:rPr>
            </w:pPr>
          </w:p>
        </w:tc>
        <w:tc>
          <w:tcPr>
            <w:tcW w:w="7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D0D8E8"/>
          </w:tcPr>
          <w:p>
            <w:pPr>
              <w:spacing w:after="0"/>
              <w:rPr>
                <w:sz w:val="20"/>
                <w:szCs w:val="20"/>
                <w:color w:val="auto"/>
              </w:rPr>
            </w:pPr>
          </w:p>
        </w:tc>
        <w:tc>
          <w:tcPr>
            <w:tcW w:w="160" w:type="dxa"/>
            <w:vAlign w:val="bottom"/>
            <w:shd w:val="clear" w:color="auto" w:fill="D0D8E8"/>
          </w:tcPr>
          <w:p>
            <w:pPr>
              <w:spacing w:after="0"/>
              <w:rPr>
                <w:sz w:val="20"/>
                <w:szCs w:val="20"/>
                <w:color w:val="auto"/>
              </w:rPr>
            </w:pPr>
          </w:p>
        </w:tc>
        <w:tc>
          <w:tcPr>
            <w:tcW w:w="580" w:type="dxa"/>
            <w:vAlign w:val="bottom"/>
            <w:shd w:val="clear" w:color="auto" w:fill="D0D8E8"/>
          </w:tcPr>
          <w:p>
            <w:pPr>
              <w:jc w:val="right"/>
              <w:ind w:right="34"/>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D0D8E8"/>
          </w:tcPr>
          <w:p>
            <w:pPr>
              <w:spacing w:after="0"/>
              <w:rPr>
                <w:sz w:val="20"/>
                <w:szCs w:val="20"/>
                <w:color w:val="auto"/>
              </w:rPr>
            </w:pPr>
          </w:p>
        </w:tc>
        <w:tc>
          <w:tcPr>
            <w:tcW w:w="240" w:type="dxa"/>
            <w:vAlign w:val="bottom"/>
            <w:shd w:val="clear" w:color="auto" w:fill="D0D8E8"/>
          </w:tcPr>
          <w:p>
            <w:pPr>
              <w:spacing w:after="0"/>
              <w:rPr>
                <w:sz w:val="20"/>
                <w:szCs w:val="20"/>
                <w:color w:val="auto"/>
              </w:rPr>
            </w:pPr>
          </w:p>
        </w:tc>
        <w:tc>
          <w:tcPr>
            <w:tcW w:w="780" w:type="dxa"/>
            <w:vAlign w:val="bottom"/>
            <w:shd w:val="clear" w:color="auto" w:fill="D0D8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9EDF4"/>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12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74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920" w:type="dxa"/>
            <w:vAlign w:val="bottom"/>
            <w:gridSpan w:val="3"/>
            <w:shd w:val="clear" w:color="auto" w:fill="E9EDF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9EDF4"/>
          </w:tcPr>
          <w:p>
            <w:pPr>
              <w:spacing w:after="0"/>
              <w:rPr>
                <w:sz w:val="18"/>
                <w:szCs w:val="18"/>
                <w:color w:val="auto"/>
              </w:rPr>
            </w:pP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74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7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78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0D8E8"/>
          </w:tcPr>
          <w:p>
            <w:pPr>
              <w:ind w:left="6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120" w:type="dxa"/>
            <w:vAlign w:val="bottom"/>
            <w:shd w:val="clear" w:color="auto" w:fill="D0D8E8"/>
          </w:tcPr>
          <w:p>
            <w:pPr>
              <w:spacing w:after="0"/>
              <w:rPr>
                <w:sz w:val="18"/>
                <w:szCs w:val="18"/>
                <w:color w:val="auto"/>
              </w:rPr>
            </w:pPr>
          </w:p>
        </w:tc>
        <w:tc>
          <w:tcPr>
            <w:tcW w:w="140" w:type="dxa"/>
            <w:vAlign w:val="bottom"/>
            <w:shd w:val="clear" w:color="auto" w:fill="D0D8E8"/>
          </w:tcPr>
          <w:p>
            <w:pPr>
              <w:spacing w:after="0"/>
              <w:rPr>
                <w:sz w:val="18"/>
                <w:szCs w:val="18"/>
                <w:color w:val="auto"/>
              </w:rPr>
            </w:pPr>
          </w:p>
        </w:tc>
        <w:tc>
          <w:tcPr>
            <w:tcW w:w="740" w:type="dxa"/>
            <w:vAlign w:val="bottom"/>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72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580" w:type="dxa"/>
            <w:vAlign w:val="bottom"/>
            <w:shd w:val="clear" w:color="auto" w:fill="D0D8E8"/>
          </w:tcPr>
          <w:p>
            <w:pPr>
              <w:jc w:val="right"/>
              <w:ind w:right="34"/>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760" w:type="dxa"/>
            <w:vAlign w:val="bottom"/>
            <w:shd w:val="clear" w:color="auto" w:fill="D0D8E8"/>
          </w:tcPr>
          <w:p>
            <w:pPr>
              <w:spacing w:after="0"/>
              <w:rPr>
                <w:sz w:val="18"/>
                <w:szCs w:val="18"/>
                <w:color w:val="auto"/>
              </w:rPr>
            </w:pPr>
          </w:p>
        </w:tc>
        <w:tc>
          <w:tcPr>
            <w:tcW w:w="12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740" w:type="dxa"/>
            <w:vAlign w:val="bottom"/>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72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580" w:type="dxa"/>
            <w:vAlign w:val="bottom"/>
            <w:shd w:val="clear" w:color="auto" w:fill="D0D8E8"/>
          </w:tcPr>
          <w:p>
            <w:pPr>
              <w:jc w:val="right"/>
              <w:ind w:right="34"/>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78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9EDF4"/>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74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760" w:type="dxa"/>
            <w:vAlign w:val="bottom"/>
            <w:shd w:val="clear" w:color="auto" w:fill="E9EDF4"/>
          </w:tcPr>
          <w:p>
            <w:pPr>
              <w:spacing w:after="0"/>
              <w:rPr>
                <w:sz w:val="18"/>
                <w:szCs w:val="18"/>
                <w:color w:val="auto"/>
              </w:rPr>
            </w:pP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74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78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D0D8E8"/>
            </w:tcBorders>
            <w:shd w:val="clear" w:color="auto" w:fill="D0D8E8"/>
          </w:tcPr>
          <w:p>
            <w:pPr>
              <w:ind w:left="60"/>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120" w:type="dxa"/>
            <w:vAlign w:val="bottom"/>
            <w:tcBorders>
              <w:bottom w:val="single" w:sz="8" w:color="D0D8E8"/>
            </w:tcBorders>
            <w:shd w:val="clear" w:color="auto" w:fill="D0D8E8"/>
          </w:tcPr>
          <w:p>
            <w:pPr>
              <w:spacing w:after="0"/>
              <w:rPr>
                <w:sz w:val="18"/>
                <w:szCs w:val="18"/>
                <w:color w:val="auto"/>
              </w:rPr>
            </w:pPr>
          </w:p>
        </w:tc>
        <w:tc>
          <w:tcPr>
            <w:tcW w:w="140" w:type="dxa"/>
            <w:vAlign w:val="bottom"/>
            <w:tcBorders>
              <w:bottom w:val="single" w:sz="8" w:color="auto"/>
            </w:tcBorders>
            <w:shd w:val="clear" w:color="auto" w:fill="D0D8E8"/>
          </w:tcPr>
          <w:p>
            <w:pPr>
              <w:spacing w:after="0"/>
              <w:rPr>
                <w:sz w:val="18"/>
                <w:szCs w:val="18"/>
                <w:color w:val="auto"/>
              </w:rPr>
            </w:pPr>
          </w:p>
        </w:tc>
        <w:tc>
          <w:tcPr>
            <w:tcW w:w="740" w:type="dxa"/>
            <w:vAlign w:val="bottom"/>
            <w:tcBorders>
              <w:bottom w:val="single" w:sz="8" w:color="auto"/>
            </w:tcBorders>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D0D8E8"/>
            </w:tcBorders>
            <w:shd w:val="clear" w:color="auto" w:fill="D0D8E8"/>
          </w:tcPr>
          <w:p>
            <w:pPr>
              <w:spacing w:after="0"/>
              <w:rPr>
                <w:sz w:val="18"/>
                <w:szCs w:val="18"/>
                <w:color w:val="auto"/>
              </w:rPr>
            </w:pPr>
          </w:p>
        </w:tc>
        <w:tc>
          <w:tcPr>
            <w:tcW w:w="160" w:type="dxa"/>
            <w:vAlign w:val="bottom"/>
            <w:tcBorders>
              <w:bottom w:val="single" w:sz="8" w:color="auto"/>
            </w:tcBorders>
            <w:shd w:val="clear" w:color="auto" w:fill="D0D8E8"/>
          </w:tcPr>
          <w:p>
            <w:pPr>
              <w:spacing w:after="0"/>
              <w:rPr>
                <w:sz w:val="18"/>
                <w:szCs w:val="18"/>
                <w:color w:val="auto"/>
              </w:rPr>
            </w:pPr>
          </w:p>
        </w:tc>
        <w:tc>
          <w:tcPr>
            <w:tcW w:w="720" w:type="dxa"/>
            <w:vAlign w:val="bottom"/>
            <w:tcBorders>
              <w:bottom w:val="single" w:sz="8" w:color="auto"/>
            </w:tcBorders>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0D8E8"/>
            </w:tcBorders>
            <w:shd w:val="clear" w:color="auto" w:fill="D0D8E8"/>
          </w:tcPr>
          <w:p>
            <w:pPr>
              <w:spacing w:after="0"/>
              <w:rPr>
                <w:sz w:val="18"/>
                <w:szCs w:val="18"/>
                <w:color w:val="auto"/>
              </w:rPr>
            </w:pPr>
          </w:p>
        </w:tc>
        <w:tc>
          <w:tcPr>
            <w:tcW w:w="160" w:type="dxa"/>
            <w:vAlign w:val="bottom"/>
            <w:tcBorders>
              <w:bottom w:val="single" w:sz="8" w:color="auto"/>
            </w:tcBorders>
            <w:shd w:val="clear" w:color="auto" w:fill="D0D8E8"/>
          </w:tcPr>
          <w:p>
            <w:pPr>
              <w:spacing w:after="0"/>
              <w:rPr>
                <w:sz w:val="18"/>
                <w:szCs w:val="18"/>
                <w:color w:val="auto"/>
              </w:rPr>
            </w:pPr>
          </w:p>
        </w:tc>
        <w:tc>
          <w:tcPr>
            <w:tcW w:w="580" w:type="dxa"/>
            <w:vAlign w:val="bottom"/>
            <w:tcBorders>
              <w:bottom w:val="single" w:sz="8" w:color="auto"/>
            </w:tcBorders>
            <w:shd w:val="clear" w:color="auto" w:fill="D0D8E8"/>
          </w:tcPr>
          <w:p>
            <w:pPr>
              <w:jc w:val="right"/>
              <w:ind w:right="34"/>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D0D8E8"/>
            </w:tcBorders>
            <w:shd w:val="clear" w:color="auto" w:fill="D0D8E8"/>
          </w:tcPr>
          <w:p>
            <w:pPr>
              <w:spacing w:after="0"/>
              <w:rPr>
                <w:sz w:val="18"/>
                <w:szCs w:val="18"/>
                <w:color w:val="auto"/>
              </w:rPr>
            </w:pPr>
          </w:p>
        </w:tc>
        <w:tc>
          <w:tcPr>
            <w:tcW w:w="240" w:type="dxa"/>
            <w:vAlign w:val="bottom"/>
            <w:tcBorders>
              <w:bottom w:val="single" w:sz="8" w:color="auto"/>
            </w:tcBorders>
            <w:shd w:val="clear" w:color="auto" w:fill="D0D8E8"/>
          </w:tcPr>
          <w:p>
            <w:pPr>
              <w:spacing w:after="0"/>
              <w:rPr>
                <w:sz w:val="18"/>
                <w:szCs w:val="18"/>
                <w:color w:val="auto"/>
              </w:rPr>
            </w:pPr>
          </w:p>
        </w:tc>
        <w:tc>
          <w:tcPr>
            <w:tcW w:w="760" w:type="dxa"/>
            <w:vAlign w:val="bottom"/>
            <w:tcBorders>
              <w:bottom w:val="single" w:sz="8" w:color="auto"/>
            </w:tcBorders>
            <w:shd w:val="clear" w:color="auto" w:fill="D0D8E8"/>
          </w:tcPr>
          <w:p>
            <w:pPr>
              <w:spacing w:after="0"/>
              <w:rPr>
                <w:sz w:val="18"/>
                <w:szCs w:val="18"/>
                <w:color w:val="auto"/>
              </w:rPr>
            </w:pPr>
          </w:p>
        </w:tc>
        <w:tc>
          <w:tcPr>
            <w:tcW w:w="120" w:type="dxa"/>
            <w:vAlign w:val="bottom"/>
            <w:tcBorders>
              <w:bottom w:val="single" w:sz="8" w:color="D0D8E8"/>
            </w:tcBorders>
            <w:shd w:val="clear" w:color="auto" w:fill="D0D8E8"/>
          </w:tcPr>
          <w:p>
            <w:pPr>
              <w:spacing w:after="0"/>
              <w:rPr>
                <w:sz w:val="18"/>
                <w:szCs w:val="18"/>
                <w:color w:val="auto"/>
              </w:rPr>
            </w:pPr>
          </w:p>
        </w:tc>
        <w:tc>
          <w:tcPr>
            <w:tcW w:w="160" w:type="dxa"/>
            <w:vAlign w:val="bottom"/>
            <w:tcBorders>
              <w:bottom w:val="single" w:sz="8" w:color="auto"/>
            </w:tcBorders>
            <w:shd w:val="clear" w:color="auto" w:fill="D0D8E8"/>
          </w:tcPr>
          <w:p>
            <w:pPr>
              <w:spacing w:after="0"/>
              <w:rPr>
                <w:sz w:val="18"/>
                <w:szCs w:val="18"/>
                <w:color w:val="auto"/>
              </w:rPr>
            </w:pPr>
          </w:p>
        </w:tc>
        <w:tc>
          <w:tcPr>
            <w:tcW w:w="740" w:type="dxa"/>
            <w:vAlign w:val="bottom"/>
            <w:tcBorders>
              <w:bottom w:val="single" w:sz="8" w:color="auto"/>
            </w:tcBorders>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D0D8E8"/>
            </w:tcBorders>
            <w:shd w:val="clear" w:color="auto" w:fill="D0D8E8"/>
          </w:tcPr>
          <w:p>
            <w:pPr>
              <w:spacing w:after="0"/>
              <w:rPr>
                <w:sz w:val="18"/>
                <w:szCs w:val="18"/>
                <w:color w:val="auto"/>
              </w:rPr>
            </w:pPr>
          </w:p>
        </w:tc>
        <w:tc>
          <w:tcPr>
            <w:tcW w:w="180" w:type="dxa"/>
            <w:vAlign w:val="bottom"/>
            <w:tcBorders>
              <w:bottom w:val="single" w:sz="8" w:color="auto"/>
            </w:tcBorders>
            <w:shd w:val="clear" w:color="auto" w:fill="D0D8E8"/>
          </w:tcPr>
          <w:p>
            <w:pPr>
              <w:spacing w:after="0"/>
              <w:rPr>
                <w:sz w:val="18"/>
                <w:szCs w:val="18"/>
                <w:color w:val="auto"/>
              </w:rPr>
            </w:pPr>
          </w:p>
        </w:tc>
        <w:tc>
          <w:tcPr>
            <w:tcW w:w="720" w:type="dxa"/>
            <w:vAlign w:val="bottom"/>
            <w:tcBorders>
              <w:bottom w:val="single" w:sz="8" w:color="auto"/>
            </w:tcBorders>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0D8E8"/>
            </w:tcBorders>
            <w:shd w:val="clear" w:color="auto" w:fill="D0D8E8"/>
          </w:tcPr>
          <w:p>
            <w:pPr>
              <w:spacing w:after="0"/>
              <w:rPr>
                <w:sz w:val="18"/>
                <w:szCs w:val="18"/>
                <w:color w:val="auto"/>
              </w:rPr>
            </w:pPr>
          </w:p>
        </w:tc>
        <w:tc>
          <w:tcPr>
            <w:tcW w:w="160" w:type="dxa"/>
            <w:vAlign w:val="bottom"/>
            <w:tcBorders>
              <w:bottom w:val="single" w:sz="8" w:color="auto"/>
            </w:tcBorders>
            <w:shd w:val="clear" w:color="auto" w:fill="D0D8E8"/>
          </w:tcPr>
          <w:p>
            <w:pPr>
              <w:spacing w:after="0"/>
              <w:rPr>
                <w:sz w:val="18"/>
                <w:szCs w:val="18"/>
                <w:color w:val="auto"/>
              </w:rPr>
            </w:pPr>
          </w:p>
        </w:tc>
        <w:tc>
          <w:tcPr>
            <w:tcW w:w="580" w:type="dxa"/>
            <w:vAlign w:val="bottom"/>
            <w:tcBorders>
              <w:bottom w:val="single" w:sz="8" w:color="auto"/>
            </w:tcBorders>
            <w:shd w:val="clear" w:color="auto" w:fill="D0D8E8"/>
          </w:tcPr>
          <w:p>
            <w:pPr>
              <w:jc w:val="right"/>
              <w:ind w:right="34"/>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D0D8E8"/>
            </w:tcBorders>
            <w:shd w:val="clear" w:color="auto" w:fill="D0D8E8"/>
          </w:tcPr>
          <w:p>
            <w:pPr>
              <w:spacing w:after="0"/>
              <w:rPr>
                <w:sz w:val="18"/>
                <w:szCs w:val="18"/>
                <w:color w:val="auto"/>
              </w:rPr>
            </w:pPr>
          </w:p>
        </w:tc>
        <w:tc>
          <w:tcPr>
            <w:tcW w:w="240" w:type="dxa"/>
            <w:vAlign w:val="bottom"/>
            <w:tcBorders>
              <w:bottom w:val="single" w:sz="8" w:color="auto"/>
            </w:tcBorders>
            <w:shd w:val="clear" w:color="auto" w:fill="D0D8E8"/>
          </w:tcPr>
          <w:p>
            <w:pPr>
              <w:spacing w:after="0"/>
              <w:rPr>
                <w:sz w:val="18"/>
                <w:szCs w:val="18"/>
                <w:color w:val="auto"/>
              </w:rPr>
            </w:pPr>
          </w:p>
        </w:tc>
        <w:tc>
          <w:tcPr>
            <w:tcW w:w="780" w:type="dxa"/>
            <w:vAlign w:val="bottom"/>
            <w:tcBorders>
              <w:bottom w:val="single" w:sz="8" w:color="auto"/>
            </w:tcBorders>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 - Adjusted</w:t>
            </w:r>
          </w:p>
        </w:tc>
        <w:tc>
          <w:tcPr>
            <w:tcW w:w="260" w:type="dxa"/>
            <w:vAlign w:val="bottom"/>
            <w:gridSpan w:val="2"/>
            <w:shd w:val="clear" w:color="auto" w:fill="E9EDF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1.05</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0.91</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7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3.33</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2.98</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7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-1216660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-1216660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-1216660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-1113790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-1113790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-1113790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-1113790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-1113790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-1113790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-1113790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-145415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-145415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-145415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-145415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-145415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-145415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-145415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 w:name="page6"/>
    <w:bookmarkEnd w:id="5"/>
    <w:p>
      <w:pPr>
        <w:jc w:val="center"/>
        <w:ind w:left="380" w:right="2680"/>
        <w:spacing w:after="0" w:line="234" w:lineRule="auto"/>
        <w:rPr>
          <w:sz w:val="20"/>
          <w:szCs w:val="20"/>
          <w:color w:val="auto"/>
        </w:rPr>
      </w:pPr>
      <w:r>
        <w:rPr>
          <w:rFonts w:ascii="Times New Roman" w:cs="Times New Roman" w:eastAsia="Times New Roman" w:hAnsi="Times New Roman"/>
          <w:sz w:val="20"/>
          <w:szCs w:val="20"/>
          <w:b w:val="1"/>
          <w:bCs w:val="1"/>
          <w:color w:val="auto"/>
        </w:rPr>
        <w:t>Reconciliation of Income Before Income Taxes to EBITDAC and EBITDAC - Adjusted and Income Before Income Taxes Margin</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b w:val="1"/>
          <w:bCs w:val="1"/>
          <w:color w:val="auto"/>
        </w:rPr>
        <w:t xml:space="preserve"> to EBITDAC Margin and EBITDAC Margin - Adjusted (in millions, unaudited)</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Borders>
              <w:bottom w:val="single" w:sz="8" w:color="95B3D7"/>
            </w:tcBorders>
            <w:shd w:val="clear" w:color="auto" w:fill="95B3D7"/>
          </w:tcPr>
          <w:p>
            <w:pPr>
              <w:spacing w:after="0"/>
              <w:rPr>
                <w:sz w:val="13"/>
                <w:szCs w:val="13"/>
                <w:color w:val="auto"/>
              </w:rPr>
            </w:pPr>
          </w:p>
        </w:tc>
        <w:tc>
          <w:tcPr>
            <w:tcW w:w="320" w:type="dxa"/>
            <w:vAlign w:val="bottom"/>
            <w:tcBorders>
              <w:bottom w:val="single" w:sz="8" w:color="95B3D7"/>
            </w:tcBorders>
            <w:shd w:val="clear" w:color="auto" w:fill="95B3D7"/>
          </w:tcPr>
          <w:p>
            <w:pPr>
              <w:spacing w:after="0"/>
              <w:rPr>
                <w:sz w:val="13"/>
                <w:szCs w:val="13"/>
                <w:color w:val="auto"/>
              </w:rPr>
            </w:pPr>
          </w:p>
        </w:tc>
        <w:tc>
          <w:tcPr>
            <w:tcW w:w="2560" w:type="dxa"/>
            <w:vAlign w:val="bottom"/>
            <w:tcBorders>
              <w:bottom w:val="single" w:sz="8" w:color="auto"/>
            </w:tcBorders>
            <w:gridSpan w:val="5"/>
            <w:shd w:val="clear" w:color="auto" w:fill="95B3D7"/>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95B3D7"/>
            </w:tcBorders>
            <w:shd w:val="clear" w:color="auto" w:fill="95B3D7"/>
          </w:tcPr>
          <w:p>
            <w:pPr>
              <w:spacing w:after="0"/>
              <w:rPr>
                <w:sz w:val="13"/>
                <w:szCs w:val="13"/>
                <w:color w:val="auto"/>
              </w:rPr>
            </w:pPr>
          </w:p>
        </w:tc>
        <w:tc>
          <w:tcPr>
            <w:tcW w:w="80" w:type="dxa"/>
            <w:vAlign w:val="bottom"/>
            <w:tcBorders>
              <w:bottom w:val="single" w:sz="8" w:color="auto"/>
            </w:tcBorders>
            <w:shd w:val="clear" w:color="auto" w:fill="95B3D7"/>
          </w:tcPr>
          <w:p>
            <w:pPr>
              <w:spacing w:after="0"/>
              <w:rPr>
                <w:sz w:val="13"/>
                <w:szCs w:val="13"/>
                <w:color w:val="auto"/>
              </w:rPr>
            </w:pPr>
          </w:p>
        </w:tc>
        <w:tc>
          <w:tcPr>
            <w:tcW w:w="2460" w:type="dxa"/>
            <w:vAlign w:val="bottom"/>
            <w:tcBorders>
              <w:bottom w:val="single" w:sz="8" w:color="auto"/>
            </w:tcBorders>
            <w:gridSpan w:val="4"/>
            <w:shd w:val="clear" w:color="auto" w:fill="95B3D7"/>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560" w:type="dxa"/>
            <w:vAlign w:val="bottom"/>
            <w:tcBorders>
              <w:bottom w:val="single" w:sz="8" w:color="95B3D7"/>
            </w:tcBorders>
            <w:shd w:val="clear" w:color="auto" w:fill="95B3D7"/>
          </w:tcPr>
          <w:p>
            <w:pPr>
              <w:spacing w:after="0"/>
              <w:rPr>
                <w:sz w:val="12"/>
                <w:szCs w:val="12"/>
                <w:color w:val="auto"/>
              </w:rPr>
            </w:pPr>
          </w:p>
        </w:tc>
        <w:tc>
          <w:tcPr>
            <w:tcW w:w="320" w:type="dxa"/>
            <w:vAlign w:val="bottom"/>
            <w:tcBorders>
              <w:bottom w:val="single" w:sz="8" w:color="95B3D7"/>
            </w:tcBorders>
            <w:shd w:val="clear" w:color="auto" w:fill="95B3D7"/>
          </w:tcPr>
          <w:p>
            <w:pPr>
              <w:spacing w:after="0"/>
              <w:rPr>
                <w:sz w:val="12"/>
                <w:szCs w:val="12"/>
                <w:color w:val="auto"/>
              </w:rPr>
            </w:pPr>
          </w:p>
        </w:tc>
        <w:tc>
          <w:tcPr>
            <w:tcW w:w="220" w:type="dxa"/>
            <w:vAlign w:val="bottom"/>
            <w:tcBorders>
              <w:bottom w:val="single" w:sz="8" w:color="auto"/>
            </w:tcBorders>
            <w:shd w:val="clear" w:color="auto" w:fill="95B3D7"/>
          </w:tcPr>
          <w:p>
            <w:pPr>
              <w:spacing w:after="0"/>
              <w:rPr>
                <w:sz w:val="12"/>
                <w:szCs w:val="12"/>
                <w:color w:val="auto"/>
              </w:rPr>
            </w:pPr>
          </w:p>
        </w:tc>
        <w:tc>
          <w:tcPr>
            <w:tcW w:w="1020" w:type="dxa"/>
            <w:vAlign w:val="bottom"/>
            <w:tcBorders>
              <w:bottom w:val="single" w:sz="8" w:color="auto"/>
            </w:tcBorders>
            <w:shd w:val="clear" w:color="auto" w:fill="95B3D7"/>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95B3D7"/>
            </w:tcBorders>
            <w:shd w:val="clear" w:color="auto" w:fill="95B3D7"/>
          </w:tcPr>
          <w:p>
            <w:pPr>
              <w:spacing w:after="0"/>
              <w:rPr>
                <w:sz w:val="12"/>
                <w:szCs w:val="12"/>
                <w:color w:val="auto"/>
              </w:rPr>
            </w:pPr>
          </w:p>
        </w:tc>
        <w:tc>
          <w:tcPr>
            <w:tcW w:w="220" w:type="dxa"/>
            <w:vAlign w:val="bottom"/>
            <w:tcBorders>
              <w:bottom w:val="single" w:sz="8" w:color="auto"/>
            </w:tcBorders>
            <w:shd w:val="clear" w:color="auto" w:fill="95B3D7"/>
          </w:tcPr>
          <w:p>
            <w:pPr>
              <w:spacing w:after="0"/>
              <w:rPr>
                <w:sz w:val="12"/>
                <w:szCs w:val="12"/>
                <w:color w:val="auto"/>
              </w:rPr>
            </w:pPr>
          </w:p>
        </w:tc>
        <w:tc>
          <w:tcPr>
            <w:tcW w:w="1000" w:type="dxa"/>
            <w:vAlign w:val="bottom"/>
            <w:tcBorders>
              <w:bottom w:val="single" w:sz="8" w:color="auto"/>
            </w:tcBorders>
            <w:shd w:val="clear" w:color="auto" w:fill="95B3D7"/>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95B3D7"/>
            </w:tcBorders>
            <w:shd w:val="clear" w:color="auto" w:fill="95B3D7"/>
          </w:tcPr>
          <w:p>
            <w:pPr>
              <w:spacing w:after="0"/>
              <w:rPr>
                <w:sz w:val="12"/>
                <w:szCs w:val="12"/>
                <w:color w:val="auto"/>
              </w:rPr>
            </w:pPr>
          </w:p>
        </w:tc>
        <w:tc>
          <w:tcPr>
            <w:tcW w:w="80" w:type="dxa"/>
            <w:vAlign w:val="bottom"/>
            <w:tcBorders>
              <w:bottom w:val="single" w:sz="8" w:color="auto"/>
            </w:tcBorders>
            <w:shd w:val="clear" w:color="auto" w:fill="95B3D7"/>
          </w:tcPr>
          <w:p>
            <w:pPr>
              <w:spacing w:after="0"/>
              <w:rPr>
                <w:sz w:val="12"/>
                <w:szCs w:val="12"/>
                <w:color w:val="auto"/>
              </w:rPr>
            </w:pPr>
          </w:p>
        </w:tc>
        <w:tc>
          <w:tcPr>
            <w:tcW w:w="1120" w:type="dxa"/>
            <w:vAlign w:val="bottom"/>
            <w:tcBorders>
              <w:bottom w:val="single" w:sz="8" w:color="auto"/>
            </w:tcBorders>
            <w:shd w:val="clear" w:color="auto" w:fill="95B3D7"/>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95B3D7"/>
            </w:tcBorders>
            <w:shd w:val="clear" w:color="auto" w:fill="95B3D7"/>
          </w:tcPr>
          <w:p>
            <w:pPr>
              <w:spacing w:after="0"/>
              <w:rPr>
                <w:sz w:val="12"/>
                <w:szCs w:val="12"/>
                <w:color w:val="auto"/>
              </w:rPr>
            </w:pPr>
          </w:p>
        </w:tc>
        <w:tc>
          <w:tcPr>
            <w:tcW w:w="220" w:type="dxa"/>
            <w:vAlign w:val="bottom"/>
            <w:tcBorders>
              <w:bottom w:val="single" w:sz="8" w:color="auto"/>
            </w:tcBorders>
            <w:shd w:val="clear" w:color="auto" w:fill="95B3D7"/>
          </w:tcPr>
          <w:p>
            <w:pPr>
              <w:spacing w:after="0"/>
              <w:rPr>
                <w:sz w:val="12"/>
                <w:szCs w:val="12"/>
                <w:color w:val="auto"/>
              </w:rPr>
            </w:pPr>
          </w:p>
        </w:tc>
        <w:tc>
          <w:tcPr>
            <w:tcW w:w="1000" w:type="dxa"/>
            <w:vAlign w:val="bottom"/>
            <w:tcBorders>
              <w:bottom w:val="single" w:sz="8" w:color="auto"/>
            </w:tcBorders>
            <w:shd w:val="clear" w:color="auto" w:fill="95B3D7"/>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56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shd w:val="clear" w:color="auto" w:fill="E9EDF4"/>
          </w:tcPr>
          <w:p>
            <w:pPr>
              <w:spacing w:after="0"/>
              <w:rPr>
                <w:sz w:val="18"/>
                <w:szCs w:val="18"/>
                <w:color w:val="auto"/>
              </w:rPr>
            </w:pPr>
          </w:p>
        </w:tc>
        <w:tc>
          <w:tcPr>
            <w:tcW w:w="220" w:type="dxa"/>
            <w:vAlign w:val="bottom"/>
            <w:shd w:val="clear" w:color="auto" w:fill="E9EDF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1,606</w:t>
            </w:r>
          </w:p>
        </w:tc>
        <w:tc>
          <w:tcPr>
            <w:tcW w:w="320" w:type="dxa"/>
            <w:vAlign w:val="bottom"/>
            <w:gridSpan w:val="2"/>
            <w:shd w:val="clear" w:color="auto" w:fill="E9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E9EDF4"/>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1,186</w:t>
            </w:r>
          </w:p>
        </w:tc>
        <w:tc>
          <w:tcPr>
            <w:tcW w:w="200" w:type="dxa"/>
            <w:vAlign w:val="bottom"/>
            <w:gridSpan w:val="2"/>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E9EDF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4,295</w:t>
            </w:r>
          </w:p>
        </w:tc>
        <w:tc>
          <w:tcPr>
            <w:tcW w:w="340" w:type="dxa"/>
            <w:vAlign w:val="bottom"/>
            <w:gridSpan w:val="2"/>
            <w:shd w:val="clear" w:color="auto" w:fill="E9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3,622</w:t>
            </w:r>
          </w:p>
        </w:tc>
      </w:tr>
      <w:tr>
        <w:trPr>
          <w:trHeight w:val="20"/>
        </w:trPr>
        <w:tc>
          <w:tcPr>
            <w:tcW w:w="4560" w:type="dxa"/>
            <w:vAlign w:val="bottom"/>
            <w:shd w:val="clear" w:color="auto" w:fill="E9EDF4"/>
          </w:tcPr>
          <w:p>
            <w:pPr>
              <w:spacing w:after="0" w:line="20" w:lineRule="exact"/>
              <w:rPr>
                <w:sz w:val="1"/>
                <w:szCs w:val="1"/>
                <w:color w:val="auto"/>
              </w:rPr>
            </w:pPr>
          </w:p>
        </w:tc>
        <w:tc>
          <w:tcPr>
            <w:tcW w:w="320" w:type="dxa"/>
            <w:vAlign w:val="bottom"/>
            <w:shd w:val="clear" w:color="auto" w:fill="E9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E9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E9EDF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E9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09"/>
        </w:trPr>
        <w:tc>
          <w:tcPr>
            <w:tcW w:w="456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shd w:val="clear" w:color="auto" w:fill="D0D8E8"/>
          </w:tcPr>
          <w:p>
            <w:pPr>
              <w:spacing w:after="0"/>
              <w:rPr>
                <w:sz w:val="18"/>
                <w:szCs w:val="18"/>
                <w:color w:val="auto"/>
              </w:rPr>
            </w:pPr>
          </w:p>
        </w:tc>
        <w:tc>
          <w:tcPr>
            <w:tcW w:w="220" w:type="dxa"/>
            <w:vAlign w:val="bottom"/>
            <w:shd w:val="clear" w:color="auto" w:fill="D0D8E8"/>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311</w:t>
            </w:r>
          </w:p>
        </w:tc>
        <w:tc>
          <w:tcPr>
            <w:tcW w:w="320" w:type="dxa"/>
            <w:vAlign w:val="bottom"/>
            <w:gridSpan w:val="2"/>
            <w:shd w:val="clear" w:color="auto" w:fill="D0D8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317</w:t>
            </w:r>
          </w:p>
        </w:tc>
        <w:tc>
          <w:tcPr>
            <w:tcW w:w="200" w:type="dxa"/>
            <w:vAlign w:val="bottom"/>
            <w:gridSpan w:val="2"/>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D0D8E8"/>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1,050</w:t>
            </w:r>
          </w:p>
        </w:tc>
        <w:tc>
          <w:tcPr>
            <w:tcW w:w="340" w:type="dxa"/>
            <w:vAlign w:val="bottom"/>
            <w:gridSpan w:val="2"/>
            <w:shd w:val="clear" w:color="auto" w:fill="D0D8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1,028</w:t>
            </w:r>
          </w:p>
        </w:tc>
      </w:tr>
      <w:tr>
        <w:trPr>
          <w:trHeight w:val="216"/>
        </w:trPr>
        <w:tc>
          <w:tcPr>
            <w:tcW w:w="4560" w:type="dxa"/>
            <w:vAlign w:val="bottom"/>
            <w:shd w:val="clear" w:color="auto" w:fill="E9EDF4"/>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Income Before Income Taxes Margin</w:t>
            </w:r>
            <w:r>
              <w:rPr>
                <w:rFonts w:ascii="Times New Roman" w:cs="Times New Roman" w:eastAsia="Times New Roman" w:hAnsi="Times New Roman"/>
                <w:sz w:val="24"/>
                <w:szCs w:val="24"/>
                <w:b w:val="1"/>
                <w:bCs w:val="1"/>
                <w:color w:val="auto"/>
                <w:vertAlign w:val="superscript"/>
              </w:rPr>
              <w:t>(1)</w:t>
            </w:r>
          </w:p>
        </w:tc>
        <w:tc>
          <w:tcPr>
            <w:tcW w:w="3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20" w:type="dxa"/>
            <w:vAlign w:val="bottom"/>
            <w:shd w:val="clear" w:color="auto" w:fill="E9EDF4"/>
          </w:tcPr>
          <w:p>
            <w:pPr>
              <w:spacing w:after="0"/>
              <w:rPr>
                <w:sz w:val="18"/>
                <w:szCs w:val="18"/>
                <w:color w:val="auto"/>
              </w:rPr>
            </w:pPr>
          </w:p>
        </w:tc>
        <w:tc>
          <w:tcPr>
            <w:tcW w:w="80" w:type="dxa"/>
            <w:vAlign w:val="bottom"/>
            <w:shd w:val="clear" w:color="auto" w:fill="E9EDF4"/>
          </w:tcPr>
          <w:p>
            <w:pPr>
              <w:spacing w:after="0"/>
              <w:rPr>
                <w:sz w:val="18"/>
                <w:szCs w:val="18"/>
                <w:color w:val="auto"/>
              </w:rPr>
            </w:pPr>
          </w:p>
        </w:tc>
        <w:tc>
          <w:tcPr>
            <w:tcW w:w="11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r>
      <w:tr>
        <w:trPr>
          <w:trHeight w:val="216"/>
        </w:trPr>
        <w:tc>
          <w:tcPr>
            <w:tcW w:w="4560" w:type="dxa"/>
            <w:vAlign w:val="bottom"/>
            <w:shd w:val="clear" w:color="auto" w:fill="D0D8E8"/>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102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1000" w:type="dxa"/>
            <w:vAlign w:val="bottom"/>
            <w:shd w:val="clear" w:color="auto" w:fill="D0D8E8"/>
          </w:tcPr>
          <w:p>
            <w:pPr>
              <w:jc w:val="right"/>
              <w:ind w:right="11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D0D8E8"/>
          </w:tcPr>
          <w:p>
            <w:pPr>
              <w:spacing w:after="0"/>
              <w:rPr>
                <w:sz w:val="18"/>
                <w:szCs w:val="18"/>
                <w:color w:val="auto"/>
              </w:rPr>
            </w:pPr>
          </w:p>
        </w:tc>
        <w:tc>
          <w:tcPr>
            <w:tcW w:w="80" w:type="dxa"/>
            <w:vAlign w:val="bottom"/>
            <w:shd w:val="clear" w:color="auto" w:fill="D0D8E8"/>
          </w:tcPr>
          <w:p>
            <w:pPr>
              <w:spacing w:after="0"/>
              <w:rPr>
                <w:sz w:val="18"/>
                <w:szCs w:val="18"/>
                <w:color w:val="auto"/>
              </w:rPr>
            </w:pPr>
          </w:p>
        </w:tc>
        <w:tc>
          <w:tcPr>
            <w:tcW w:w="1120" w:type="dxa"/>
            <w:vAlign w:val="bottom"/>
            <w:shd w:val="clear" w:color="auto" w:fill="D0D8E8"/>
          </w:tcPr>
          <w:p>
            <w:pPr>
              <w:jc w:val="right"/>
              <w:ind w:right="112"/>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100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4560" w:type="dxa"/>
            <w:vAlign w:val="bottom"/>
            <w:shd w:val="clear" w:color="auto" w:fill="E9EDF4"/>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20" w:type="dxa"/>
            <w:vAlign w:val="bottom"/>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00" w:type="dxa"/>
            <w:vAlign w:val="bottom"/>
            <w:shd w:val="clear" w:color="auto" w:fill="E9EDF4"/>
          </w:tcPr>
          <w:p>
            <w:pPr>
              <w:jc w:val="right"/>
              <w:ind w:right="1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E9EDF4"/>
          </w:tcPr>
          <w:p>
            <w:pPr>
              <w:spacing w:after="0"/>
              <w:rPr>
                <w:sz w:val="18"/>
                <w:szCs w:val="18"/>
                <w:color w:val="auto"/>
              </w:rPr>
            </w:pPr>
          </w:p>
        </w:tc>
        <w:tc>
          <w:tcPr>
            <w:tcW w:w="80" w:type="dxa"/>
            <w:vAlign w:val="bottom"/>
            <w:shd w:val="clear" w:color="auto" w:fill="E9EDF4"/>
          </w:tcPr>
          <w:p>
            <w:pPr>
              <w:spacing w:after="0"/>
              <w:rPr>
                <w:sz w:val="18"/>
                <w:szCs w:val="18"/>
                <w:color w:val="auto"/>
              </w:rPr>
            </w:pPr>
          </w:p>
        </w:tc>
        <w:tc>
          <w:tcPr>
            <w:tcW w:w="1120" w:type="dxa"/>
            <w:vAlign w:val="bottom"/>
            <w:shd w:val="clear" w:color="auto" w:fill="E9EDF4"/>
          </w:tcPr>
          <w:p>
            <w:pPr>
              <w:jc w:val="right"/>
              <w:ind w:right="1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00" w:type="dxa"/>
            <w:vAlign w:val="bottom"/>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560" w:type="dxa"/>
            <w:vAlign w:val="bottom"/>
            <w:shd w:val="clear" w:color="auto" w:fill="D0D8E8"/>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102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1000" w:type="dxa"/>
            <w:vAlign w:val="bottom"/>
            <w:shd w:val="clear" w:color="auto" w:fill="D0D8E8"/>
          </w:tcPr>
          <w:p>
            <w:pPr>
              <w:jc w:val="right"/>
              <w:ind w:right="11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D0D8E8"/>
          </w:tcPr>
          <w:p>
            <w:pPr>
              <w:spacing w:after="0"/>
              <w:rPr>
                <w:sz w:val="18"/>
                <w:szCs w:val="18"/>
                <w:color w:val="auto"/>
              </w:rPr>
            </w:pPr>
          </w:p>
        </w:tc>
        <w:tc>
          <w:tcPr>
            <w:tcW w:w="80" w:type="dxa"/>
            <w:vAlign w:val="bottom"/>
            <w:shd w:val="clear" w:color="auto" w:fill="D0D8E8"/>
          </w:tcPr>
          <w:p>
            <w:pPr>
              <w:spacing w:after="0"/>
              <w:rPr>
                <w:sz w:val="18"/>
                <w:szCs w:val="18"/>
                <w:color w:val="auto"/>
              </w:rPr>
            </w:pPr>
          </w:p>
        </w:tc>
        <w:tc>
          <w:tcPr>
            <w:tcW w:w="1120" w:type="dxa"/>
            <w:vAlign w:val="bottom"/>
            <w:shd w:val="clear" w:color="auto" w:fill="D0D8E8"/>
          </w:tcPr>
          <w:p>
            <w:pPr>
              <w:jc w:val="right"/>
              <w:ind w:right="112"/>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100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4560" w:type="dxa"/>
            <w:vAlign w:val="bottom"/>
            <w:tcBorders>
              <w:bottom w:val="single" w:sz="8" w:color="E9EDF4"/>
            </w:tcBorders>
            <w:shd w:val="clear" w:color="auto" w:fill="E9EDF4"/>
          </w:tcPr>
          <w:p>
            <w:pPr>
              <w:ind w:left="8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20" w:type="dxa"/>
            <w:vAlign w:val="bottom"/>
            <w:tcBorders>
              <w:bottom w:val="single" w:sz="8" w:color="E9EDF4"/>
            </w:tcBorders>
            <w:shd w:val="clear" w:color="auto" w:fill="E9EDF4"/>
          </w:tcPr>
          <w:p>
            <w:pPr>
              <w:spacing w:after="0"/>
              <w:rPr>
                <w:sz w:val="18"/>
                <w:szCs w:val="18"/>
                <w:color w:val="auto"/>
              </w:rPr>
            </w:pPr>
          </w:p>
        </w:tc>
        <w:tc>
          <w:tcPr>
            <w:tcW w:w="220" w:type="dxa"/>
            <w:vAlign w:val="bottom"/>
            <w:tcBorders>
              <w:bottom w:val="single" w:sz="8" w:color="auto"/>
            </w:tcBorders>
            <w:shd w:val="clear" w:color="auto" w:fill="E9EDF4"/>
          </w:tcPr>
          <w:p>
            <w:pPr>
              <w:spacing w:after="0"/>
              <w:rPr>
                <w:sz w:val="18"/>
                <w:szCs w:val="18"/>
                <w:color w:val="auto"/>
              </w:rPr>
            </w:pPr>
          </w:p>
        </w:tc>
        <w:tc>
          <w:tcPr>
            <w:tcW w:w="1020" w:type="dxa"/>
            <w:vAlign w:val="bottom"/>
            <w:tcBorders>
              <w:bottom w:val="single" w:sz="8" w:color="auto"/>
            </w:tcBorders>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E9EDF4"/>
            </w:tcBorders>
            <w:shd w:val="clear" w:color="auto" w:fill="E9EDF4"/>
          </w:tcPr>
          <w:p>
            <w:pPr>
              <w:spacing w:after="0"/>
              <w:rPr>
                <w:sz w:val="18"/>
                <w:szCs w:val="18"/>
                <w:color w:val="auto"/>
              </w:rPr>
            </w:pPr>
          </w:p>
        </w:tc>
        <w:tc>
          <w:tcPr>
            <w:tcW w:w="220" w:type="dxa"/>
            <w:vAlign w:val="bottom"/>
            <w:tcBorders>
              <w:bottom w:val="single" w:sz="8" w:color="auto"/>
            </w:tcBorders>
            <w:shd w:val="clear" w:color="auto" w:fill="E9EDF4"/>
          </w:tcPr>
          <w:p>
            <w:pPr>
              <w:spacing w:after="0"/>
              <w:rPr>
                <w:sz w:val="18"/>
                <w:szCs w:val="18"/>
                <w:color w:val="auto"/>
              </w:rPr>
            </w:pPr>
          </w:p>
        </w:tc>
        <w:tc>
          <w:tcPr>
            <w:tcW w:w="1000" w:type="dxa"/>
            <w:vAlign w:val="bottom"/>
            <w:tcBorders>
              <w:bottom w:val="single" w:sz="8" w:color="auto"/>
            </w:tcBorders>
            <w:shd w:val="clear" w:color="auto" w:fill="E9EDF4"/>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E9EDF4"/>
            </w:tcBorders>
            <w:shd w:val="clear" w:color="auto" w:fill="E9EDF4"/>
          </w:tcPr>
          <w:p>
            <w:pPr>
              <w:spacing w:after="0"/>
              <w:rPr>
                <w:sz w:val="18"/>
                <w:szCs w:val="18"/>
                <w:color w:val="auto"/>
              </w:rPr>
            </w:pPr>
          </w:p>
        </w:tc>
        <w:tc>
          <w:tcPr>
            <w:tcW w:w="80" w:type="dxa"/>
            <w:vAlign w:val="bottom"/>
            <w:tcBorders>
              <w:bottom w:val="single" w:sz="8" w:color="auto"/>
            </w:tcBorders>
            <w:shd w:val="clear" w:color="auto" w:fill="E9EDF4"/>
          </w:tcPr>
          <w:p>
            <w:pPr>
              <w:spacing w:after="0"/>
              <w:rPr>
                <w:sz w:val="18"/>
                <w:szCs w:val="18"/>
                <w:color w:val="auto"/>
              </w:rPr>
            </w:pPr>
          </w:p>
        </w:tc>
        <w:tc>
          <w:tcPr>
            <w:tcW w:w="1120" w:type="dxa"/>
            <w:vAlign w:val="bottom"/>
            <w:tcBorders>
              <w:bottom w:val="single" w:sz="8" w:color="auto"/>
            </w:tcBorders>
            <w:shd w:val="clear" w:color="auto" w:fill="E9EDF4"/>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E9EDF4"/>
            </w:tcBorders>
            <w:shd w:val="clear" w:color="auto" w:fill="E9EDF4"/>
          </w:tcPr>
          <w:p>
            <w:pPr>
              <w:spacing w:after="0"/>
              <w:rPr>
                <w:sz w:val="18"/>
                <w:szCs w:val="18"/>
                <w:color w:val="auto"/>
              </w:rPr>
            </w:pPr>
          </w:p>
        </w:tc>
        <w:tc>
          <w:tcPr>
            <w:tcW w:w="220" w:type="dxa"/>
            <w:vAlign w:val="bottom"/>
            <w:tcBorders>
              <w:bottom w:val="single" w:sz="8" w:color="auto"/>
            </w:tcBorders>
            <w:shd w:val="clear" w:color="auto" w:fill="E9EDF4"/>
          </w:tcPr>
          <w:p>
            <w:pPr>
              <w:spacing w:after="0"/>
              <w:rPr>
                <w:sz w:val="18"/>
                <w:szCs w:val="18"/>
                <w:color w:val="auto"/>
              </w:rPr>
            </w:pPr>
          </w:p>
        </w:tc>
        <w:tc>
          <w:tcPr>
            <w:tcW w:w="1000" w:type="dxa"/>
            <w:vAlign w:val="bottom"/>
            <w:tcBorders>
              <w:bottom w:val="single" w:sz="8" w:color="auto"/>
            </w:tcBorders>
            <w:shd w:val="clear" w:color="auto" w:fill="E9EDF4"/>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456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EBITDAC</w:t>
            </w:r>
          </w:p>
        </w:tc>
        <w:tc>
          <w:tcPr>
            <w:tcW w:w="540" w:type="dxa"/>
            <w:vAlign w:val="bottom"/>
            <w:gridSpan w:val="2"/>
            <w:shd w:val="clear" w:color="auto" w:fill="D0D8E8"/>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529</w:t>
            </w:r>
          </w:p>
        </w:tc>
        <w:tc>
          <w:tcPr>
            <w:tcW w:w="320" w:type="dxa"/>
            <w:vAlign w:val="bottom"/>
            <w:gridSpan w:val="2"/>
            <w:shd w:val="clear" w:color="auto" w:fill="D0D8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415</w:t>
            </w:r>
          </w:p>
        </w:tc>
        <w:tc>
          <w:tcPr>
            <w:tcW w:w="200" w:type="dxa"/>
            <w:vAlign w:val="bottom"/>
            <w:gridSpan w:val="2"/>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D0D8E8"/>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1,498</w:t>
            </w:r>
          </w:p>
        </w:tc>
        <w:tc>
          <w:tcPr>
            <w:tcW w:w="340" w:type="dxa"/>
            <w:vAlign w:val="bottom"/>
            <w:gridSpan w:val="2"/>
            <w:shd w:val="clear" w:color="auto" w:fill="D0D8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1,330</w:t>
            </w:r>
          </w:p>
        </w:tc>
      </w:tr>
      <w:tr>
        <w:trPr>
          <w:trHeight w:val="216"/>
        </w:trPr>
        <w:tc>
          <w:tcPr>
            <w:tcW w:w="456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EBITDAC Margin</w:t>
            </w:r>
          </w:p>
        </w:tc>
        <w:tc>
          <w:tcPr>
            <w:tcW w:w="3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20" w:type="dxa"/>
            <w:vAlign w:val="bottom"/>
            <w:shd w:val="clear" w:color="auto" w:fill="E9EDF4"/>
          </w:tcPr>
          <w:p>
            <w:pPr>
              <w:spacing w:after="0"/>
              <w:rPr>
                <w:sz w:val="18"/>
                <w:szCs w:val="18"/>
                <w:color w:val="auto"/>
              </w:rPr>
            </w:pPr>
          </w:p>
        </w:tc>
        <w:tc>
          <w:tcPr>
            <w:tcW w:w="80" w:type="dxa"/>
            <w:vAlign w:val="bottom"/>
            <w:shd w:val="clear" w:color="auto" w:fill="E9EDF4"/>
          </w:tcPr>
          <w:p>
            <w:pPr>
              <w:spacing w:after="0"/>
              <w:rPr>
                <w:sz w:val="18"/>
                <w:szCs w:val="18"/>
                <w:color w:val="auto"/>
              </w:rPr>
            </w:pPr>
          </w:p>
        </w:tc>
        <w:tc>
          <w:tcPr>
            <w:tcW w:w="11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1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r>
      <w:tr>
        <w:trPr>
          <w:trHeight w:val="216"/>
        </w:trPr>
        <w:tc>
          <w:tcPr>
            <w:tcW w:w="4560" w:type="dxa"/>
            <w:vAlign w:val="bottom"/>
            <w:shd w:val="clear" w:color="auto" w:fill="D0D8E8"/>
          </w:tcPr>
          <w:p>
            <w:pPr>
              <w:ind w:left="80"/>
              <w:spacing w:after="0"/>
              <w:rPr>
                <w:sz w:val="20"/>
                <w:szCs w:val="20"/>
                <w:color w:val="auto"/>
              </w:rPr>
            </w:pPr>
            <w:r>
              <w:rPr>
                <w:rFonts w:ascii="Times New Roman" w:cs="Times New Roman" w:eastAsia="Times New Roman" w:hAnsi="Times New Roman"/>
                <w:sz w:val="18"/>
                <w:szCs w:val="18"/>
                <w:color w:val="auto"/>
              </w:rPr>
              <w:t>(Gain)/loss on disposal</w:t>
            </w:r>
          </w:p>
        </w:tc>
        <w:tc>
          <w:tcPr>
            <w:tcW w:w="320" w:type="dxa"/>
            <w:vAlign w:val="bottom"/>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102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1000" w:type="dxa"/>
            <w:vAlign w:val="bottom"/>
            <w:shd w:val="clear" w:color="auto" w:fill="D0D8E8"/>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D0D8E8"/>
          </w:tcPr>
          <w:p>
            <w:pPr>
              <w:spacing w:after="0"/>
              <w:rPr>
                <w:sz w:val="18"/>
                <w:szCs w:val="18"/>
                <w:color w:val="auto"/>
              </w:rPr>
            </w:pPr>
          </w:p>
        </w:tc>
        <w:tc>
          <w:tcPr>
            <w:tcW w:w="80" w:type="dxa"/>
            <w:vAlign w:val="bottom"/>
            <w:shd w:val="clear" w:color="auto" w:fill="D0D8E8"/>
          </w:tcPr>
          <w:p>
            <w:pPr>
              <w:spacing w:after="0"/>
              <w:rPr>
                <w:sz w:val="18"/>
                <w:szCs w:val="18"/>
                <w:color w:val="auto"/>
              </w:rPr>
            </w:pPr>
          </w:p>
        </w:tc>
        <w:tc>
          <w:tcPr>
            <w:tcW w:w="1120" w:type="dxa"/>
            <w:vAlign w:val="bottom"/>
            <w:shd w:val="clear" w:color="auto" w:fill="D0D8E8"/>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1000" w:type="dxa"/>
            <w:vAlign w:val="bottom"/>
            <w:shd w:val="clear" w:color="auto" w:fill="D0D8E8"/>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560" w:type="dxa"/>
            <w:vAlign w:val="bottom"/>
            <w:shd w:val="clear" w:color="auto" w:fill="E9EDF4"/>
          </w:tcPr>
          <w:p>
            <w:pPr>
              <w:ind w:left="8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3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20" w:type="dxa"/>
            <w:vAlign w:val="bottom"/>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00" w:type="dxa"/>
            <w:vAlign w:val="bottom"/>
            <w:shd w:val="clear" w:color="auto" w:fill="E9EDF4"/>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DF4"/>
          </w:tcPr>
          <w:p>
            <w:pPr>
              <w:spacing w:after="0"/>
              <w:rPr>
                <w:sz w:val="18"/>
                <w:szCs w:val="18"/>
                <w:color w:val="auto"/>
              </w:rPr>
            </w:pPr>
          </w:p>
        </w:tc>
        <w:tc>
          <w:tcPr>
            <w:tcW w:w="80" w:type="dxa"/>
            <w:vAlign w:val="bottom"/>
            <w:shd w:val="clear" w:color="auto" w:fill="E9EDF4"/>
          </w:tcPr>
          <w:p>
            <w:pPr>
              <w:spacing w:after="0"/>
              <w:rPr>
                <w:sz w:val="18"/>
                <w:szCs w:val="18"/>
                <w:color w:val="auto"/>
              </w:rPr>
            </w:pPr>
          </w:p>
        </w:tc>
        <w:tc>
          <w:tcPr>
            <w:tcW w:w="1120" w:type="dxa"/>
            <w:vAlign w:val="bottom"/>
            <w:shd w:val="clear" w:color="auto" w:fill="E9EDF4"/>
          </w:tcPr>
          <w:p>
            <w:pPr>
              <w:jc w:val="right"/>
              <w:ind w:right="112"/>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00" w:type="dxa"/>
            <w:vAlign w:val="bottom"/>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Borders>
              <w:bottom w:val="single" w:sz="8" w:color="D0D8E8"/>
            </w:tcBorders>
            <w:shd w:val="clear" w:color="auto" w:fill="D0D8E8"/>
          </w:tcPr>
          <w:p>
            <w:pPr>
              <w:ind w:left="80"/>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320" w:type="dxa"/>
            <w:vAlign w:val="bottom"/>
            <w:tcBorders>
              <w:bottom w:val="single" w:sz="8" w:color="D0D8E8"/>
            </w:tcBorders>
            <w:shd w:val="clear" w:color="auto" w:fill="D0D8E8"/>
          </w:tcPr>
          <w:p>
            <w:pPr>
              <w:spacing w:after="0"/>
              <w:rPr>
                <w:sz w:val="18"/>
                <w:szCs w:val="18"/>
                <w:color w:val="auto"/>
              </w:rPr>
            </w:pPr>
          </w:p>
        </w:tc>
        <w:tc>
          <w:tcPr>
            <w:tcW w:w="220" w:type="dxa"/>
            <w:vAlign w:val="bottom"/>
            <w:tcBorders>
              <w:bottom w:val="single" w:sz="8" w:color="auto"/>
            </w:tcBorders>
            <w:shd w:val="clear" w:color="auto" w:fill="D0D8E8"/>
          </w:tcPr>
          <w:p>
            <w:pPr>
              <w:spacing w:after="0"/>
              <w:rPr>
                <w:sz w:val="18"/>
                <w:szCs w:val="18"/>
                <w:color w:val="auto"/>
              </w:rPr>
            </w:pPr>
          </w:p>
        </w:tc>
        <w:tc>
          <w:tcPr>
            <w:tcW w:w="1020" w:type="dxa"/>
            <w:vAlign w:val="bottom"/>
            <w:tcBorders>
              <w:bottom w:val="single" w:sz="8" w:color="auto"/>
            </w:tcBorders>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D0D8E8"/>
            </w:tcBorders>
            <w:shd w:val="clear" w:color="auto" w:fill="D0D8E8"/>
          </w:tcPr>
          <w:p>
            <w:pPr>
              <w:spacing w:after="0"/>
              <w:rPr>
                <w:sz w:val="18"/>
                <w:szCs w:val="18"/>
                <w:color w:val="auto"/>
              </w:rPr>
            </w:pPr>
          </w:p>
        </w:tc>
        <w:tc>
          <w:tcPr>
            <w:tcW w:w="220" w:type="dxa"/>
            <w:vAlign w:val="bottom"/>
            <w:tcBorders>
              <w:bottom w:val="single" w:sz="8" w:color="auto"/>
            </w:tcBorders>
            <w:shd w:val="clear" w:color="auto" w:fill="D0D8E8"/>
          </w:tcPr>
          <w:p>
            <w:pPr>
              <w:spacing w:after="0"/>
              <w:rPr>
                <w:sz w:val="18"/>
                <w:szCs w:val="18"/>
                <w:color w:val="auto"/>
              </w:rPr>
            </w:pPr>
          </w:p>
        </w:tc>
        <w:tc>
          <w:tcPr>
            <w:tcW w:w="1000" w:type="dxa"/>
            <w:vAlign w:val="bottom"/>
            <w:tcBorders>
              <w:bottom w:val="single" w:sz="8" w:color="auto"/>
            </w:tcBorders>
            <w:shd w:val="clear" w:color="auto" w:fill="D0D8E8"/>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0D8E8"/>
            </w:tcBorders>
            <w:shd w:val="clear" w:color="auto" w:fill="D0D8E8"/>
          </w:tcPr>
          <w:p>
            <w:pPr>
              <w:spacing w:after="0"/>
              <w:rPr>
                <w:sz w:val="18"/>
                <w:szCs w:val="18"/>
                <w:color w:val="auto"/>
              </w:rPr>
            </w:pPr>
          </w:p>
        </w:tc>
        <w:tc>
          <w:tcPr>
            <w:tcW w:w="80" w:type="dxa"/>
            <w:vAlign w:val="bottom"/>
            <w:tcBorders>
              <w:bottom w:val="single" w:sz="8" w:color="auto"/>
            </w:tcBorders>
            <w:shd w:val="clear" w:color="auto" w:fill="D0D8E8"/>
          </w:tcPr>
          <w:p>
            <w:pPr>
              <w:spacing w:after="0"/>
              <w:rPr>
                <w:sz w:val="18"/>
                <w:szCs w:val="18"/>
                <w:color w:val="auto"/>
              </w:rPr>
            </w:pPr>
          </w:p>
        </w:tc>
        <w:tc>
          <w:tcPr>
            <w:tcW w:w="1120" w:type="dxa"/>
            <w:vAlign w:val="bottom"/>
            <w:tcBorders>
              <w:bottom w:val="single" w:sz="8" w:color="auto"/>
            </w:tcBorders>
            <w:shd w:val="clear" w:color="auto" w:fill="D0D8E8"/>
          </w:tcPr>
          <w:p>
            <w:pPr>
              <w:jc w:val="right"/>
              <w:ind w:right="1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D0D8E8"/>
            </w:tcBorders>
            <w:shd w:val="clear" w:color="auto" w:fill="D0D8E8"/>
          </w:tcPr>
          <w:p>
            <w:pPr>
              <w:spacing w:after="0"/>
              <w:rPr>
                <w:sz w:val="18"/>
                <w:szCs w:val="18"/>
                <w:color w:val="auto"/>
              </w:rPr>
            </w:pPr>
          </w:p>
        </w:tc>
        <w:tc>
          <w:tcPr>
            <w:tcW w:w="220" w:type="dxa"/>
            <w:vAlign w:val="bottom"/>
            <w:tcBorders>
              <w:bottom w:val="single" w:sz="8" w:color="auto"/>
            </w:tcBorders>
            <w:shd w:val="clear" w:color="auto" w:fill="D0D8E8"/>
          </w:tcPr>
          <w:p>
            <w:pPr>
              <w:spacing w:after="0"/>
              <w:rPr>
                <w:sz w:val="18"/>
                <w:szCs w:val="18"/>
                <w:color w:val="auto"/>
              </w:rPr>
            </w:pPr>
          </w:p>
        </w:tc>
        <w:tc>
          <w:tcPr>
            <w:tcW w:w="1000" w:type="dxa"/>
            <w:vAlign w:val="bottom"/>
            <w:tcBorders>
              <w:bottom w:val="single" w:sz="8" w:color="auto"/>
            </w:tcBorders>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6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EBITDAC - Adjusted</w:t>
            </w:r>
          </w:p>
        </w:tc>
        <w:tc>
          <w:tcPr>
            <w:tcW w:w="540" w:type="dxa"/>
            <w:vAlign w:val="bottom"/>
            <w:gridSpan w:val="2"/>
            <w:shd w:val="clear" w:color="auto" w:fill="D0D8E8"/>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587</w:t>
            </w:r>
          </w:p>
        </w:tc>
        <w:tc>
          <w:tcPr>
            <w:tcW w:w="320" w:type="dxa"/>
            <w:vAlign w:val="bottom"/>
            <w:gridSpan w:val="2"/>
            <w:shd w:val="clear" w:color="auto" w:fill="D0D8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414</w:t>
            </w:r>
          </w:p>
        </w:tc>
        <w:tc>
          <w:tcPr>
            <w:tcW w:w="200" w:type="dxa"/>
            <w:vAlign w:val="bottom"/>
            <w:gridSpan w:val="2"/>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D0D8E8"/>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1,594</w:t>
            </w:r>
          </w:p>
        </w:tc>
        <w:tc>
          <w:tcPr>
            <w:tcW w:w="340" w:type="dxa"/>
            <w:vAlign w:val="bottom"/>
            <w:gridSpan w:val="2"/>
            <w:shd w:val="clear" w:color="auto" w:fill="D0D8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1,300</w:t>
            </w:r>
          </w:p>
        </w:tc>
      </w:tr>
      <w:tr>
        <w:trPr>
          <w:trHeight w:val="216"/>
        </w:trPr>
        <w:tc>
          <w:tcPr>
            <w:tcW w:w="4560" w:type="dxa"/>
            <w:vAlign w:val="bottom"/>
            <w:shd w:val="clear" w:color="auto" w:fill="E9EDF4"/>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EBITDAC Margin - Adjusted </w:t>
            </w:r>
            <w:r>
              <w:rPr>
                <w:rFonts w:ascii="Times New Roman" w:cs="Times New Roman" w:eastAsia="Times New Roman" w:hAnsi="Times New Roman"/>
                <w:sz w:val="24"/>
                <w:szCs w:val="24"/>
                <w:b w:val="1"/>
                <w:bCs w:val="1"/>
                <w:color w:val="auto"/>
                <w:vertAlign w:val="superscript"/>
              </w:rPr>
              <w:t>(2)</w:t>
            </w:r>
          </w:p>
        </w:tc>
        <w:tc>
          <w:tcPr>
            <w:tcW w:w="3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0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120" w:type="dxa"/>
            <w:vAlign w:val="bottom"/>
            <w:shd w:val="clear" w:color="auto" w:fill="E9EDF4"/>
          </w:tcPr>
          <w:p>
            <w:pPr>
              <w:spacing w:after="0"/>
              <w:rPr>
                <w:sz w:val="18"/>
                <w:szCs w:val="18"/>
                <w:color w:val="auto"/>
              </w:rPr>
            </w:pPr>
          </w:p>
        </w:tc>
        <w:tc>
          <w:tcPr>
            <w:tcW w:w="80" w:type="dxa"/>
            <w:vAlign w:val="bottom"/>
            <w:shd w:val="clear" w:color="auto" w:fill="E9EDF4"/>
          </w:tcPr>
          <w:p>
            <w:pPr>
              <w:spacing w:after="0"/>
              <w:rPr>
                <w:sz w:val="18"/>
                <w:szCs w:val="18"/>
                <w:color w:val="auto"/>
              </w:rPr>
            </w:pPr>
          </w:p>
        </w:tc>
        <w:tc>
          <w:tcPr>
            <w:tcW w:w="11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-2056765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-1953895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-1953895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-1953895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-1807845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-1807845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-1807845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-976630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-976630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-976630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-282575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-282575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-282575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25" w:lineRule="exact"/>
        <w:rPr>
          <w:rFonts w:ascii="Times New Roman" w:cs="Times New Roman" w:eastAsia="Times New Roman" w:hAnsi="Times New Roman"/>
          <w:sz w:val="18"/>
          <w:szCs w:val="18"/>
          <w:color w:val="auto"/>
        </w:rPr>
      </w:pPr>
    </w:p>
    <w:p>
      <w:pPr>
        <w:ind w:firstLine="8"/>
        <w:spacing w:after="0" w:line="266"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amounts reflect the positive impact of approximately $29 million and $42 million for the three and nine months ended September 30,2025, respectively, of interest income earned from the proceeds of the Company’s follow-on common stock offering and senior notes issuance in June 2025, held in preparation for the closing of the Company’s acquisition of RSC Topco, Inc. ("RSC" or "Accession").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3"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20"/>
          <w:szCs w:val="20"/>
          <w:color w:val="auto"/>
        </w:rPr>
        <w:t>(in millions, except per share data;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86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fees</w:t>
            </w:r>
          </w:p>
        </w:tc>
        <w:tc>
          <w:tcPr>
            <w:tcW w:w="1680" w:type="dxa"/>
            <w:vAlign w:val="bottom"/>
            <w:gridSpan w:val="3"/>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1,550</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5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1,606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expenses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1,295</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1,050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before non-controlling interests</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799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spacing w:after="0"/>
              <w:rPr>
                <w:sz w:val="20"/>
                <w:szCs w:val="20"/>
                <w:color w:val="auto"/>
              </w:rPr>
            </w:pPr>
          </w:p>
        </w:tc>
        <w:tc>
          <w:tcPr>
            <w:tcW w:w="72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5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7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0.68</w:t>
            </w:r>
          </w:p>
        </w:tc>
        <w:tc>
          <w:tcPr>
            <w:tcW w:w="2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1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2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color w:val="auto"/>
        </w:rPr>
        <w:t>(in millions, except per share data,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7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1,190</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cash</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Commission, fees, and other receivables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receivables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191"/>
        </w:trPr>
        <w:tc>
          <w:tcPr>
            <w:tcW w:w="754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8,143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6,924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7,970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0"/>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29,354</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17,612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liabilities</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3,619</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loss adjustment reserve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3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91"/>
        </w:trPr>
        <w:tc>
          <w:tcPr>
            <w:tcW w:w="754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6,890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6,314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unamortized discount and debt issuance costs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par value $0.10 per share; authorized 560 shares; issued 357 shares and outstanding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337 shares at 2025, issued 306 shares and outstanding 286 shares at 2024, respectively</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20 shares at 2025 and 2024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6,781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6,128</w:t>
            </w:r>
          </w:p>
        </w:tc>
        <w:tc>
          <w:tcPr>
            <w:tcW w:w="0" w:type="dxa"/>
            <w:vAlign w:val="bottom"/>
          </w:tcPr>
          <w:p>
            <w:pPr>
              <w:spacing w:after="0"/>
              <w:rPr>
                <w:sz w:val="1"/>
                <w:szCs w:val="1"/>
                <w:color w:val="auto"/>
              </w:rPr>
            </w:pPr>
          </w:p>
        </w:tc>
      </w:tr>
      <w:tr>
        <w:trPr>
          <w:trHeight w:val="210"/>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12,407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09"/>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29,354</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17,612</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auto"/>
        </w:rPr>
        <w:t>(in millions,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6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Pr>
          <w:p>
            <w:pPr>
              <w:spacing w:after="0"/>
              <w:rPr>
                <w:sz w:val="17"/>
                <w:szCs w:val="17"/>
                <w:color w:val="auto"/>
              </w:rPr>
            </w:pPr>
          </w:p>
        </w:tc>
        <w:tc>
          <w:tcPr>
            <w:tcW w:w="12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7"/>
                <w:szCs w:val="17"/>
                <w:color w:val="auto"/>
              </w:rPr>
            </w:pPr>
          </w:p>
        </w:tc>
      </w:tr>
      <w:tr>
        <w:trPr>
          <w:trHeight w:val="182"/>
        </w:trPr>
        <w:tc>
          <w:tcPr>
            <w:tcW w:w="7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income before non-controlling interests</w:t>
            </w:r>
          </w:p>
        </w:tc>
        <w:tc>
          <w:tcPr>
            <w:tcW w:w="1040" w:type="dxa"/>
            <w:vAlign w:val="bottom"/>
            <w:gridSpan w:val="2"/>
          </w:tcPr>
          <w:p>
            <w:pPr>
              <w:jc w:val="right"/>
              <w:ind w:right="887"/>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799</w:t>
            </w:r>
          </w:p>
        </w:tc>
        <w:tc>
          <w:tcPr>
            <w:tcW w:w="126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before non-controlling interests to net cash provided by operating activities: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estimated acquisition earn-out payables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Mark-to-market of escrow liability</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loss/(gain) on sales/disposals of investments, businesses, fixed assets and customer accounts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acquisition earn-outs in excess of original estimated payables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 from acquisitions and divestitures: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Commissions, fees and other receivables (increase)/decrease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Reinsurance recoverable (increase)/decrease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reinsurance premiums (increase)/decrease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 (increase)/decrease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and loss adjustment reserve increase/(decrease)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1,913</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Unearned premiums increase/(decrease)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increase/(decrease)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 increase/(decrease)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 increase/(decrease)</w:t>
            </w:r>
          </w:p>
        </w:tc>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1,006</w:t>
            </w:r>
          </w:p>
        </w:tc>
        <w:tc>
          <w:tcPr>
            <w:tcW w:w="1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813</w:t>
            </w:r>
          </w:p>
        </w:tc>
      </w:tr>
      <w:tr>
        <w:trPr>
          <w:trHeight w:val="182"/>
        </w:trPr>
        <w:tc>
          <w:tcPr>
            <w:tcW w:w="7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to fixed assets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businesses acquired, net of cash acquired</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sales of businesses, fixed assets and customer accounts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02"/>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(7,701)</w:t>
            </w:r>
          </w:p>
        </w:tc>
        <w:tc>
          <w:tcPr>
            <w:tcW w:w="1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182"/>
        </w:trPr>
        <w:tc>
          <w:tcPr>
            <w:tcW w:w="7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Fiduciary receivables and liabilities, net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acquisition earn-outs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4,192</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599</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on revolving credit facility</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net of expenses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4,315</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Issuances of common stock for employee stock benefit plans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shares to fund tax withholdings for non-cash stock-based compensation</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paid</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202"/>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7,851</w:t>
            </w:r>
          </w:p>
        </w:tc>
        <w:tc>
          <w:tcPr>
            <w:tcW w:w="1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 inclusive of fiduciary cash</w:t>
            </w:r>
          </w:p>
        </w:tc>
        <w:tc>
          <w:tcPr>
            <w:tcW w:w="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r>
      <w:tr>
        <w:trPr>
          <w:trHeight w:val="182"/>
        </w:trPr>
        <w:tc>
          <w:tcPr>
            <w:tcW w:w="7740" w:type="dxa"/>
            <w:vAlign w:val="bottom"/>
          </w:tcPr>
          <w:p>
            <w:pPr>
              <w:ind w:left="280"/>
              <w:spacing w:after="0" w:line="182" w:lineRule="exact"/>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 inclusive of fiduciary cash</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1,222</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398</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inclusive of fiduciary cash at beginning of period</w:t>
            </w:r>
          </w:p>
        </w:tc>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2,502</w:t>
            </w:r>
          </w:p>
        </w:tc>
        <w:tc>
          <w:tcPr>
            <w:tcW w:w="1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2,303</w:t>
            </w:r>
          </w:p>
        </w:tc>
      </w:tr>
      <w:tr>
        <w:trPr>
          <w:trHeight w:val="202"/>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inclusive of fiduciary cash at end of period</w:t>
            </w: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3,724</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2,701</w:t>
            </w: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webcast and slide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to discuss the results of the third quarter of 2025 will be held on Tuesday, October 28, 2025, at 8:00 AM (EDT). The Company may refer to a slide presentation during its conference call. You can access the webcast and the slides from the "Investor Relations" section of the Company’s website at bbrown.com.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Brown &amp; Brown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Brown &amp; Brown, Inc. (NYSE: BRO) is a leading insurance brokerage firm delivering comprehensive and customized insurance solutions and specialization since 1939. With a global presence spanning 700+ locations and a team of more than 23,000 professionals, we are dedicated to delivering scalable, innovative strategies for our customers at every step of their growth journey. Learn more at bbrown.com.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may contain certain statements relating to future results which are “forward-looking statements” within the meaning of Section 27A of the Securities Act of 1933 and Section 21E of the Securities Exchange Act of 1934, which are intended to be covered by the safe harbors created by those laws.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press release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press release include but are not limited to the following items: the Company's determination as it finalizes its financial results for the third quarter of 2025 that its financial results differ from the current preliminary unaudited numbers set forth herein; risks with respect to the acquisition of Accession (the “Transaction”); the possibility that the anticipated benefits, including any anticipated costs saving and strategies, of the Transaction are not realized when expected or at all; risks related to the financing of the Transaction, including that financing the Transaction resulted in an increase in the Company’s indebtedness; risks relating to the financial information related to Accession; risks related to Accession’s business, including underwriting risk in connection with certain captive insurance companies; the risk that certain assumptions the Company has made relating to the Transaction prove to be materially inaccurate; the inability to hire, retain and develop qualified employees, as well as the loss of any of our executive officers or other key employees; a cybersecurity attack or any other interruption in information technology and/or data security that may impact our operations or the operations of third parties that support us; 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risks related to our international operations, which may result in additional risks or require more management time and expense than our domestic operations to achieve or maintain profitability; the requirement for additional resources and time to adequately respond to dynamics resulting from rapid technological change, including the increasing use of artificial intelligence and robotic processing automation; the loss of or significant change to any of our insurance company or intermediary relationships, which could result in loss of capacity to write business, additional expense, loss of market share or material decrease in our commissions; the effect of natural disasters on our profit-sharing contingent commissions, insurer capacity or claims expenses within our capitalized captive insurance facilities; adverse economic conditions, political conditions (including the current U.S. federal government shutdown), outbreaks of war, disasters, or regulatory changes in states or countries where we have a concentration of our business; the inability to maintain our culture or a significant change in management, management philosophy or our business strategy; fluctuations in our commission revenue as a result of factors outside of our control; the effects of significant or sustained inflation or higher interest rates; claims expense resulting from the limited underwriting risk associated with our participation in capitalized captive insurance facilities; risks associated with our automobile and recreational finance and incentives vehicle dealer services (“F&amp;I”) businesses; changes in, or the termination of, certain programs administered by the U.S. federal government from which we derive revenues; the limitations of our system of disclosure and internal controls and procedures in preventing errors or fraud, or in informing management of all material information in a timely manner; our reliance on vendors and other third parties to perform key functions of our business operations and provide services to our customers; the significant control certain shareholders have; changes in data privacy and protection laws and regulations or any failure to comply with such laws and regulations; improper disclosure of confidential information; our ability to comply with non-U.S. laws, regulations and policies; the potential adverse effect of certain actual or potential claims, regulatory actions or proceedings on our businesses, results of operations, financial condition or liquidity; uncertainty in our business practices and compensation arrangements with insurance carriers due to</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8"/>
          <w:szCs w:val="18"/>
          <w:color w:val="auto"/>
        </w:rPr>
        <w:t>potential changes in regulations; 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third-parties; increasing scrutiny and changing laws and expectations from regulators, investors and customers with respect to our environmental, social and governance practices and disclosure; a decrease in demand for liability insurance as a result of tort reform legislation; our failure to comply with any covenants contained in our debt agreements; the possibility that covenants in our debt agreements could prevent us from engaging in certain potentially beneficial activities; fluctuations in foreign currency exchange rates; a downgrade to our corporate credit rating, the credit ratings of our outstanding debt or other market speculation; changes in the U.S.-based credit markets that might adversely affect our business, results of operations and financial condition; changes in current U.S. or global economic conditions, including an extended slowdown in the markets in which we operate; disintermediation within the insurance industry, including increased competition from insurance companies, technology companies and the financial services industry, as well as the shift away from traditional insurance markets; conditions that result in reduced insurer capacity; quarterly and annual variations in our commissions that result from the timing of policy renewals and the net effect of new and lost business production; intangible asset risk, including the possibility that our goodwill may become impaired in the future; changes in our accounting estimates and assumptions; future pandemics, epidemics or outbreaks of infectious diseases, and the resulting governmental and societal responses; other risks and uncertainties as may be detailed from time to time in our public announcements and Securities and Exchange Commission (“SEC”) filings; and other factors that the Company may not have currently identified or quantified. 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press release, and the Company does not undertake any obligation to publicly update or correct any forward-looking statements to reflect events or circumstances that subsequently occur or of which the Company hereafter becomes aware.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supplemental financial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references to "non-GAAP financial measures" as defined in SEC Regulation G, consisting of Organic Revenue, EBITDAC, EBITDAC Margin, EBITDAC - Adjusted, EBITDAC Margin - Adjusted and Diluted Net Income Per Share - Adjusted. We present these measures because we believe such information is of interest to the investment community and because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GAAP information as of the relevant date. Consistent with Regulation G, a description of such information is provided below and a reconciliation of such items to GAAP information can be found within this press release as well as in our periodic filings with the SEC.</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view Organic Revenue and Organic Revenue growth as important indicators when assessing and evaluating our performance on a consolidated basis and for each of our two segments, because they allow us to determine a comparable, but non-GAAP, measurement of revenue growth that is associated with the revenue sources that were a part of our business in both the current and prior year and that are expected to continue in the future. In addition, we believe Diluted Net Income Per Share - Adjusted provides a meaningful representation of our operating performance and improves the comparability of our results between periods by excluding the impact of the change in estimated acquisition earn-out payables, the impact of amortization of intangible assets and certain other non-recurring or infrequently occurring items.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Diluted Net Income Per Share - Adjusted and EBITDAC Margin - Adjusted as key performance metrics for our short-term and long-term incentive compensation plans for executive officers and other key employees.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Revenue Measures</w:t>
      </w:r>
    </w:p>
    <w:p>
      <w:pPr>
        <w:spacing w:after="0" w:line="117" w:lineRule="exact"/>
        <w:rPr>
          <w:sz w:val="20"/>
          <w:szCs w:val="20"/>
          <w:color w:val="auto"/>
        </w:rPr>
      </w:pPr>
    </w:p>
    <w:p>
      <w:pPr>
        <w:jc w:val="both"/>
        <w:ind w:left="1020" w:hanging="503"/>
        <w:spacing w:after="0" w:line="26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t>
      </w:r>
      <w:r>
        <w:rPr>
          <w:rFonts w:ascii="Times New Roman" w:cs="Times New Roman" w:eastAsia="Times New Roman" w:hAnsi="Times New Roman"/>
          <w:sz w:val="18"/>
          <w:szCs w:val="18"/>
          <w:color w:val="auto"/>
        </w:rPr>
        <w:t>is our core commissions and fees less: (i) the core commissions and fees earned for the first 12 months by newly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1020"/>
        <w:spacing w:after="0" w:line="282" w:lineRule="auto"/>
        <w:rPr>
          <w:sz w:val="20"/>
          <w:szCs w:val="20"/>
          <w:color w:val="auto"/>
        </w:rPr>
      </w:pPr>
      <w:r>
        <w:rPr>
          <w:rFonts w:ascii="Times New Roman" w:cs="Times New Roman" w:eastAsia="Times New Roman" w:hAnsi="Times New Roman"/>
          <w:sz w:val="18"/>
          <w:szCs w:val="18"/>
          <w:color w:val="auto"/>
        </w:rPr>
        <w:t>therefore represents the revenues earned directly from specific insurance policies sold and specific fee-based services rendered. Organic Revenue can be expressed as a dollar amount or a percentage rate when describing Organic Revenue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Earnings Measures</w:t>
      </w:r>
    </w:p>
    <w:p>
      <w:pPr>
        <w:spacing w:after="0" w:line="117" w:lineRule="exact"/>
        <w:rPr>
          <w:sz w:val="20"/>
          <w:szCs w:val="20"/>
          <w:color w:val="auto"/>
        </w:rPr>
      </w:pPr>
    </w:p>
    <w:p>
      <w:pPr>
        <w:ind w:left="10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w:t>
      </w:r>
      <w:r>
        <w:rPr>
          <w:rFonts w:ascii="Times New Roman" w:cs="Times New Roman" w:eastAsia="Times New Roman" w:hAnsi="Times New Roman"/>
          <w:sz w:val="18"/>
          <w:szCs w:val="18"/>
          <w:color w:val="auto"/>
        </w:rPr>
        <w:t>is defined as income before interest, income taxes, depreciation, amortization and the change in estimated acquisition earn-out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w:t>
      </w:r>
      <w:r>
        <w:rPr>
          <w:rFonts w:ascii="Times New Roman" w:cs="Times New Roman" w:eastAsia="Times New Roman" w:hAnsi="Times New Roman"/>
          <w:sz w:val="18"/>
          <w:szCs w:val="18"/>
          <w:color w:val="auto"/>
        </w:rPr>
        <w:t>is defined as EBITDAC divided by total revenues.</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 Adjusted </w:t>
      </w:r>
      <w:r>
        <w:rPr>
          <w:rFonts w:ascii="Times New Roman" w:cs="Times New Roman" w:eastAsia="Times New Roman" w:hAnsi="Times New Roman"/>
          <w:sz w:val="18"/>
          <w:szCs w:val="18"/>
          <w:color w:val="auto"/>
        </w:rPr>
        <w:t>is defined as EBITDAC, excluding (i) (gain)/loss on disposal (as defined below), (ii) Acquisition/Integration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below) and (iii) mark-to-market of escrow liability (as defined below).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 Adjusted </w:t>
      </w:r>
      <w:r>
        <w:rPr>
          <w:rFonts w:ascii="Times New Roman" w:cs="Times New Roman" w:eastAsia="Times New Roman" w:hAnsi="Times New Roman"/>
          <w:sz w:val="18"/>
          <w:szCs w:val="18"/>
          <w:color w:val="auto"/>
        </w:rPr>
        <w:t>is defined as EBITDAC - Adjusted divided by total revenues.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Diluted Net Income Per Share - Adjusted </w:t>
      </w:r>
      <w:r>
        <w:rPr>
          <w:rFonts w:ascii="Times New Roman" w:cs="Times New Roman" w:eastAsia="Times New Roman" w:hAnsi="Times New Roman"/>
          <w:sz w:val="18"/>
          <w:szCs w:val="18"/>
          <w:color w:val="auto"/>
        </w:rPr>
        <w:t>is defined as diluted net income per share, excluding the after-tax impact of (i)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acquisition earn-out payables, (ii) (gain)/loss on disposal, (as defined below), (iii) Acquisition/Integration Costs (as defined below), (iv) mark-to-market of escrow liability (as defined below) and (v) amortization.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Related to Certain Components of Non-GAAP Measures</w:t>
      </w:r>
    </w:p>
    <w:p>
      <w:pPr>
        <w:spacing w:after="0" w:line="117" w:lineRule="exact"/>
        <w:rPr>
          <w:sz w:val="20"/>
          <w:szCs w:val="20"/>
          <w:color w:val="auto"/>
        </w:rPr>
      </w:pPr>
    </w:p>
    <w:p>
      <w:pPr>
        <w:ind w:left="1020" w:right="60" w:hanging="503"/>
        <w:spacing w:after="0" w:line="273"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“Acquisition/Integration Costs” </w:t>
      </w:r>
      <w:r>
        <w:rPr>
          <w:rFonts w:ascii="Times New Roman" w:cs="Times New Roman" w:eastAsia="Times New Roman" w:hAnsi="Times New Roman"/>
          <w:sz w:val="17"/>
          <w:szCs w:val="17"/>
          <w:color w:val="auto"/>
        </w:rPr>
        <w:t>means the acquisition and integration costs (e.g., costs associated with regulatory filings; costs for third-party professional services, including legal, accounting, consulting, financial advisory and due diligence; costs and fees associated with entry into the bridge financing commitment; costs of integrating or streamlining processes and information technology systems, including data migration and system integration; costs associated with optimizing vendor agreements and leased office space, including exit costs related to location combinations; and employment-related costs, including severance payments, costs associated with the transition of certain legacy compensation programs, retention-related compensation expenses, and incentive payments) arising out of our acquisition of Accession and acquisitions previously completed by Accession, which are not considered to be normal, recurring or part of ongoing operations.</w:t>
      </w:r>
    </w:p>
    <w:p>
      <w:pPr>
        <w:spacing w:after="0" w:line="63" w:lineRule="exact"/>
        <w:rPr>
          <w:rFonts w:ascii="Times New Roman" w:cs="Times New Roman" w:eastAsia="Times New Roman" w:hAnsi="Times New Roman"/>
          <w:sz w:val="17"/>
          <w:szCs w:val="17"/>
          <w:color w:val="auto"/>
        </w:rPr>
      </w:pPr>
    </w:p>
    <w:p>
      <w:pPr>
        <w:jc w:val="both"/>
        <w:ind w:left="10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means the period-over-period impact of foreign currency translation, which is calculated by applying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current-year foreign exchange rates to the various functional currencies in our business to our reporting currency of US dollars for the same period in the prior year.</w:t>
      </w:r>
    </w:p>
    <w:p>
      <w:pPr>
        <w:spacing w:after="0" w:line="62" w:lineRule="exact"/>
        <w:rPr>
          <w:rFonts w:ascii="Times New Roman" w:cs="Times New Roman" w:eastAsia="Times New Roman" w:hAnsi="Times New Roman"/>
          <w:sz w:val="18"/>
          <w:szCs w:val="18"/>
          <w:color w:val="auto"/>
        </w:rPr>
      </w:pPr>
    </w:p>
    <w:p>
      <w:pPr>
        <w:ind w:left="1020" w:right="8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“(Gain)/loss on disposal” </w:t>
      </w:r>
      <w:r>
        <w:rPr>
          <w:rFonts w:ascii="Times New Roman" w:cs="Times New Roman" w:eastAsia="Times New Roman" w:hAnsi="Times New Roman"/>
          <w:sz w:val="18"/>
          <w:szCs w:val="18"/>
          <w:color w:val="auto"/>
        </w:rPr>
        <w:t>is a caption on our consolidated statements of income which reflects net proceeds received as compared to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 value related to sales of books of business and other divestiture transactions.</w:t>
      </w:r>
    </w:p>
    <w:p>
      <w:pPr>
        <w:spacing w:after="0" w:line="46" w:lineRule="exact"/>
        <w:rPr>
          <w:rFonts w:ascii="Times New Roman" w:cs="Times New Roman" w:eastAsia="Times New Roman" w:hAnsi="Times New Roman"/>
          <w:sz w:val="18"/>
          <w:szCs w:val="18"/>
          <w:color w:val="auto"/>
        </w:rPr>
      </w:pPr>
    </w:p>
    <w:p>
      <w:pPr>
        <w:ind w:left="1020" w:right="6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Mark-to-market of escrow liability</w:t>
      </w:r>
      <w:r>
        <w:rPr>
          <w:rFonts w:ascii="Times New Roman" w:cs="Times New Roman" w:eastAsia="Times New Roman" w:hAnsi="Times New Roman"/>
          <w:sz w:val="18"/>
          <w:szCs w:val="18"/>
          <w:color w:val="auto"/>
        </w:rPr>
        <w:t>” is a caption on our consolidated statements of income which reflects the non-cash change in the fair value associated with certain shares of the Company’s common stock held in escrow. The change is driven by fluctuations in our stock price between the beginning of the quarter and the end of the quarter. These escrowed shares represent a portion of the merger consideration payable in connection with our acquisition of Accession. The escrowed shares secure certain indemnification obligations of the Accession equity holders related to businesses that are in run-off or discontinued.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condensed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Andrew Watts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(386) 239-5770</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2025-10-27T16:19:56Z</dcterms:created>
  <dcterms:modified xsi:type="dcterms:W3CDTF">2025-10-27T16:19:56Z</dcterms:modified>
</cp:coreProperties>
</file>