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1"/>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FORM 10-Q</w:t>
      </w:r>
    </w:p>
    <w:p>
      <w:pPr>
        <w:spacing w:after="0" w:line="191" w:lineRule="exact"/>
        <w:rPr>
          <w:sz w:val="24"/>
          <w:szCs w:val="24"/>
          <w:color w:val="auto"/>
        </w:rPr>
      </w:pPr>
    </w:p>
    <w:p>
      <w:pPr>
        <w:ind w:left="2041"/>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ind w:left="2621"/>
        <w:spacing w:after="0"/>
        <w:tabs>
          <w:tab w:leader="none" w:pos="4340" w:val="left"/>
        </w:tabs>
        <w:rPr>
          <w:sz w:val="20"/>
          <w:szCs w:val="20"/>
          <w:color w:val="auto"/>
        </w:rPr>
      </w:pPr>
      <w:r>
        <w:rPr>
          <w:rFonts w:ascii="Courier New" w:cs="Courier New" w:eastAsia="Courier New" w:hAnsi="Courier New"/>
          <w:sz w:val="16"/>
          <w:szCs w:val="16"/>
          <w:color w:val="auto"/>
        </w:rPr>
        <w:t>Washington, D.C.</w:t>
        <w:tab/>
        <w:t>20549</w:t>
      </w:r>
    </w:p>
    <w:p>
      <w:pPr>
        <w:spacing w:after="0" w:line="191" w:lineRule="exact"/>
        <w:rPr>
          <w:sz w:val="24"/>
          <w:szCs w:val="24"/>
          <w:color w:val="auto"/>
        </w:rPr>
      </w:pPr>
    </w:p>
    <w:p>
      <w:pPr>
        <w:ind w:left="881" w:right="2959" w:hanging="881"/>
        <w:spacing w:after="0" w:line="246" w:lineRule="auto"/>
        <w:tabs>
          <w:tab w:leader="none" w:pos="20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]QUARTERLY REPORT PURSUANT TO SECTION 13 OR 15(d) OF THE SECURITIES EXCHANGE ACT OF 1934</w:t>
      </w:r>
    </w:p>
    <w:p>
      <w:pPr>
        <w:spacing w:after="0" w:line="1"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For the quarter period ended September 30, 1995.</w:t>
      </w:r>
    </w:p>
    <w:p>
      <w:pPr>
        <w:spacing w:after="0" w:line="5" w:lineRule="exact"/>
        <w:rPr>
          <w:sz w:val="24"/>
          <w:szCs w:val="24"/>
          <w:color w:val="auto"/>
        </w:rPr>
      </w:pPr>
    </w:p>
    <w:p>
      <w:pPr>
        <w:ind w:left="3581"/>
        <w:spacing w:after="0"/>
        <w:rPr>
          <w:sz w:val="20"/>
          <w:szCs w:val="20"/>
          <w:color w:val="auto"/>
        </w:rPr>
      </w:pPr>
      <w:r>
        <w:rPr>
          <w:rFonts w:ascii="Courier New" w:cs="Courier New" w:eastAsia="Courier New" w:hAnsi="Courier New"/>
          <w:sz w:val="16"/>
          <w:szCs w:val="16"/>
          <w:color w:val="auto"/>
        </w:rPr>
        <w:t>or</w:t>
      </w:r>
    </w:p>
    <w:p>
      <w:pPr>
        <w:spacing w:after="0" w:line="191" w:lineRule="exact"/>
        <w:rPr>
          <w:sz w:val="24"/>
          <w:szCs w:val="24"/>
          <w:color w:val="auto"/>
        </w:rPr>
      </w:pPr>
    </w:p>
    <w:p>
      <w:pPr>
        <w:ind w:left="381" w:hanging="381"/>
        <w:spacing w:after="0"/>
        <w:tabs>
          <w:tab w:leader="none" w:pos="38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w:t>
      </w:r>
    </w:p>
    <w:p>
      <w:pPr>
        <w:spacing w:after="0" w:line="5" w:lineRule="exact"/>
        <w:rPr>
          <w:sz w:val="24"/>
          <w:szCs w:val="24"/>
          <w:color w:val="auto"/>
        </w:rPr>
      </w:pPr>
    </w:p>
    <w:p>
      <w:pPr>
        <w:ind w:left="881"/>
        <w:spacing w:after="0"/>
        <w:rPr>
          <w:sz w:val="20"/>
          <w:szCs w:val="20"/>
          <w:color w:val="auto"/>
        </w:rPr>
      </w:pPr>
      <w:r>
        <w:rPr>
          <w:rFonts w:ascii="Courier New" w:cs="Courier New" w:eastAsia="Courier New" w:hAnsi="Courier New"/>
          <w:sz w:val="16"/>
          <w:szCs w:val="16"/>
          <w:color w:val="auto"/>
        </w:rPr>
        <w:t>EXCHANGE ACT OF 1934</w:t>
      </w:r>
    </w:p>
    <w:p>
      <w:pPr>
        <w:spacing w:after="0" w:line="5" w:lineRule="exact"/>
        <w:rPr>
          <w:sz w:val="24"/>
          <w:szCs w:val="24"/>
          <w:color w:val="auto"/>
        </w:rPr>
      </w:pPr>
    </w:p>
    <w:p>
      <w:pPr>
        <w:ind w:left="1"/>
        <w:spacing w:after="0"/>
        <w:tabs>
          <w:tab w:leader="none" w:pos="3760" w:val="left"/>
          <w:tab w:leader="none" w:pos="4820" w:val="left"/>
        </w:tabs>
        <w:rPr>
          <w:sz w:val="20"/>
          <w:szCs w:val="20"/>
          <w:color w:val="auto"/>
        </w:rPr>
      </w:pPr>
      <w:r>
        <w:rPr>
          <w:rFonts w:ascii="Courier New" w:cs="Courier New" w:eastAsia="Courier New" w:hAnsi="Courier New"/>
          <w:sz w:val="16"/>
          <w:szCs w:val="16"/>
          <w:color w:val="auto"/>
        </w:rPr>
        <w:t>For the transition period from</w:t>
      </w:r>
      <w:r>
        <w:rPr>
          <w:sz w:val="20"/>
          <w:szCs w:val="20"/>
          <w:color w:val="auto"/>
        </w:rPr>
        <w:tab/>
      </w:r>
      <w:r>
        <w:rPr>
          <w:rFonts w:ascii="Courier New" w:cs="Courier New" w:eastAsia="Courier New" w:hAnsi="Courier New"/>
          <w:sz w:val="16"/>
          <w:szCs w:val="16"/>
          <w:color w:val="auto"/>
        </w:rPr>
        <w:t>to</w:t>
      </w:r>
      <w:r>
        <w:rPr>
          <w:sz w:val="20"/>
          <w:szCs w:val="20"/>
          <w:color w:val="auto"/>
        </w:rPr>
        <w:tab/>
      </w:r>
      <w:r>
        <w:rPr>
          <w:rFonts w:ascii="Courier New" w:cs="Courier New" w:eastAsia="Courier New" w:hAnsi="Courier New"/>
          <w:sz w:val="16"/>
          <w:szCs w:val="16"/>
          <w:color w:val="auto"/>
        </w:rPr>
        <w:t>Commission file number 0-7201.</w:t>
      </w:r>
    </w:p>
    <w:p>
      <w:pPr>
        <w:sectPr>
          <w:pgSz w:w="11900" w:h="16838" w:orient="portrait"/>
          <w:cols w:equalWidth="0" w:num="1">
            <w:col w:w="10220"/>
          </w:cols>
          <w:pgMar w:left="239" w:top="241" w:right="1440" w:bottom="1440" w:gutter="0" w:footer="0" w:header="0"/>
        </w:sectPr>
      </w:pPr>
    </w:p>
    <w:p>
      <w:pPr>
        <w:spacing w:after="0" w:line="5" w:lineRule="exact"/>
        <w:rPr>
          <w:sz w:val="24"/>
          <w:szCs w:val="24"/>
          <w:color w:val="auto"/>
        </w:rPr>
      </w:pPr>
    </w:p>
    <w:p>
      <w:pPr>
        <w:ind w:left="3001"/>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3781" w:space="280"/>
            <w:col w:w="6159"/>
          </w:cols>
          <w:pgMar w:left="239" w:top="241" w:right="1440" w:bottom="1440" w:gutter="0" w:footer="0" w:header="0"/>
          <w:type w:val="continuous"/>
        </w:sectPr>
      </w:pPr>
    </w:p>
    <w:p>
      <w:pPr>
        <w:spacing w:after="0" w:line="364" w:lineRule="exact"/>
        <w:rPr>
          <w:sz w:val="24"/>
          <w:szCs w:val="24"/>
          <w:color w:val="auto"/>
        </w:rPr>
      </w:pPr>
    </w:p>
    <w:p>
      <w:pPr>
        <w:jc w:val="center"/>
        <w:ind w:right="2759"/>
        <w:spacing w:after="0"/>
        <w:rPr>
          <w:sz w:val="20"/>
          <w:szCs w:val="20"/>
          <w:color w:val="auto"/>
        </w:rPr>
      </w:pPr>
      <w:r>
        <w:rPr>
          <w:rFonts w:ascii="Courier New" w:cs="Courier New" w:eastAsia="Courier New" w:hAnsi="Courier New"/>
          <w:sz w:val="16"/>
          <w:szCs w:val="16"/>
          <w:color w:val="auto"/>
        </w:rPr>
        <w:t>POE &amp; BROWN, INC.</w:t>
      </w:r>
    </w:p>
    <w:p>
      <w:pPr>
        <w:spacing w:after="0" w:line="5"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061"/>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378" w:lineRule="exact"/>
        <w:rPr>
          <w:sz w:val="24"/>
          <w:szCs w:val="24"/>
          <w:color w:val="auto"/>
        </w:rPr>
      </w:pPr>
    </w:p>
    <w:tbl>
      <w:tblPr>
        <w:tblLayout w:type="fixed"/>
        <w:tblInd w:w="381" w:type="dxa"/>
        <w:tblCellMar>
          <w:top w:w="0" w:type="dxa"/>
          <w:left w:w="0" w:type="dxa"/>
          <w:bottom w:w="0" w:type="dxa"/>
          <w:right w:w="0" w:type="dxa"/>
        </w:tblCellMar>
      </w:tblPr>
      <w:tr>
        <w:trPr>
          <w:trHeight w:val="183"/>
        </w:trPr>
        <w:tc>
          <w:tcPr>
            <w:tcW w:w="4120" w:type="dxa"/>
            <w:vAlign w:val="bottom"/>
          </w:tcPr>
          <w:p>
            <w:pPr>
              <w:ind w:left="980"/>
              <w:spacing w:after="0"/>
              <w:rPr>
                <w:sz w:val="20"/>
                <w:szCs w:val="20"/>
                <w:color w:val="auto"/>
              </w:rPr>
            </w:pPr>
            <w:r>
              <w:rPr>
                <w:rFonts w:ascii="Courier New" w:cs="Courier New" w:eastAsia="Courier New" w:hAnsi="Courier New"/>
                <w:sz w:val="16"/>
                <w:szCs w:val="16"/>
                <w:color w:val="auto"/>
              </w:rPr>
              <w:t>FLORIDA</w:t>
            </w:r>
          </w:p>
        </w:tc>
        <w:tc>
          <w:tcPr>
            <w:tcW w:w="3260" w:type="dxa"/>
            <w:vAlign w:val="bottom"/>
          </w:tcPr>
          <w:p>
            <w:pPr>
              <w:ind w:left="1500"/>
              <w:spacing w:after="0"/>
              <w:rPr>
                <w:sz w:val="20"/>
                <w:szCs w:val="20"/>
                <w:color w:val="auto"/>
              </w:rPr>
            </w:pPr>
            <w:r>
              <w:rPr>
                <w:rFonts w:ascii="Courier New" w:cs="Courier New" w:eastAsia="Courier New" w:hAnsi="Courier New"/>
                <w:sz w:val="16"/>
                <w:szCs w:val="16"/>
                <w:color w:val="auto"/>
              </w:rPr>
              <w:t>59-0864469</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3260" w:type="dxa"/>
            <w:vAlign w:val="bottom"/>
          </w:tcPr>
          <w:p>
            <w:pPr>
              <w:ind w:left="240"/>
              <w:spacing w:after="0"/>
              <w:rPr>
                <w:sz w:val="20"/>
                <w:szCs w:val="20"/>
                <w:color w:val="auto"/>
              </w:rPr>
            </w:pPr>
            <w:r>
              <w:rPr>
                <w:rFonts w:ascii="Courier New" w:cs="Courier New" w:eastAsia="Courier New" w:hAnsi="Courier New"/>
                <w:sz w:val="16"/>
                <w:szCs w:val="16"/>
                <w:color w:val="auto"/>
              </w:rPr>
              <w:t>(I.R.S. Employer Identification</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3260" w:type="dxa"/>
            <w:vAlign w:val="bottom"/>
          </w:tcPr>
          <w:p>
            <w:pPr>
              <w:ind w:left="1500"/>
              <w:spacing w:after="0"/>
              <w:rPr>
                <w:sz w:val="20"/>
                <w:szCs w:val="20"/>
                <w:color w:val="auto"/>
              </w:rPr>
            </w:pPr>
            <w:r>
              <w:rPr>
                <w:rFonts w:ascii="Courier New" w:cs="Courier New" w:eastAsia="Courier New" w:hAnsi="Courier New"/>
                <w:sz w:val="16"/>
                <w:szCs w:val="16"/>
                <w:color w:val="auto"/>
              </w:rPr>
              <w:t>Number)</w:t>
            </w:r>
          </w:p>
        </w:tc>
      </w:tr>
      <w:tr>
        <w:trPr>
          <w:trHeight w:val="373"/>
        </w:trPr>
        <w:tc>
          <w:tcPr>
            <w:tcW w:w="4120" w:type="dxa"/>
            <w:vAlign w:val="bottom"/>
          </w:tcPr>
          <w:p>
            <w:pPr>
              <w:spacing w:after="0"/>
              <w:rPr>
                <w:sz w:val="20"/>
                <w:szCs w:val="20"/>
                <w:color w:val="auto"/>
              </w:rPr>
            </w:pPr>
            <w:r>
              <w:rPr>
                <w:rFonts w:ascii="Courier New" w:cs="Courier New" w:eastAsia="Courier New" w:hAnsi="Courier New"/>
                <w:sz w:val="16"/>
                <w:szCs w:val="16"/>
                <w:color w:val="auto"/>
              </w:rPr>
              <w:t>220 S. RIDGEWOOD AVE., DAYTONA BEACH, FL</w:t>
            </w:r>
          </w:p>
        </w:tc>
        <w:tc>
          <w:tcPr>
            <w:tcW w:w="326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32114</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260" w:type="dxa"/>
            <w:vAlign w:val="bottom"/>
          </w:tcPr>
          <w:p>
            <w:pPr>
              <w:jc w:val="center"/>
              <w:ind w:left="159"/>
              <w:spacing w:after="0"/>
              <w:rPr>
                <w:sz w:val="20"/>
                <w:szCs w:val="20"/>
                <w:color w:val="auto"/>
              </w:rPr>
            </w:pPr>
            <w:r>
              <w:rPr>
                <w:rFonts w:ascii="Courier New" w:cs="Courier New" w:eastAsia="Courier New" w:hAnsi="Courier New"/>
                <w:sz w:val="16"/>
                <w:szCs w:val="16"/>
                <w:color w:val="auto"/>
              </w:rPr>
              <w:t>-------------------------------</w:t>
            </w:r>
          </w:p>
        </w:tc>
      </w:tr>
      <w:tr>
        <w:trPr>
          <w:trHeight w:val="186"/>
        </w:trPr>
        <w:tc>
          <w:tcPr>
            <w:tcW w:w="4120" w:type="dxa"/>
            <w:vAlign w:val="bottom"/>
          </w:tcPr>
          <w:p>
            <w:pPr>
              <w:spacing w:after="0"/>
              <w:rPr>
                <w:sz w:val="20"/>
                <w:szCs w:val="20"/>
                <w:color w:val="auto"/>
              </w:rPr>
            </w:pPr>
            <w:r>
              <w:rPr>
                <w:rFonts w:ascii="Courier New" w:cs="Courier New" w:eastAsia="Courier New" w:hAnsi="Courier New"/>
                <w:sz w:val="16"/>
                <w:szCs w:val="16"/>
                <w:color w:val="auto"/>
              </w:rPr>
              <w:t>(Address of principal executive offices)</w:t>
            </w:r>
          </w:p>
        </w:tc>
        <w:tc>
          <w:tcPr>
            <w:tcW w:w="3260" w:type="dxa"/>
            <w:vAlign w:val="bottom"/>
          </w:tcPr>
          <w:p>
            <w:pPr>
              <w:ind w:left="1320"/>
              <w:spacing w:after="0"/>
              <w:rPr>
                <w:sz w:val="20"/>
                <w:szCs w:val="20"/>
                <w:color w:val="auto"/>
              </w:rPr>
            </w:pPr>
            <w:r>
              <w:rPr>
                <w:rFonts w:ascii="Courier New" w:cs="Courier New" w:eastAsia="Courier New" w:hAnsi="Courier New"/>
                <w:sz w:val="16"/>
                <w:szCs w:val="16"/>
                <w:color w:val="auto"/>
              </w:rPr>
              <w:t>(Zip Code)</w:t>
            </w:r>
          </w:p>
        </w:tc>
      </w:tr>
    </w:tbl>
    <w:p>
      <w:pPr>
        <w:spacing w:after="0" w:line="200" w:lineRule="exact"/>
        <w:rPr>
          <w:sz w:val="24"/>
          <w:szCs w:val="24"/>
          <w:color w:val="auto"/>
        </w:rPr>
      </w:pPr>
    </w:p>
    <w:p>
      <w:pPr>
        <w:spacing w:after="0" w:line="363" w:lineRule="exact"/>
        <w:rPr>
          <w:sz w:val="24"/>
          <w:szCs w:val="24"/>
          <w:color w:val="auto"/>
        </w:rPr>
      </w:pPr>
    </w:p>
    <w:p>
      <w:pPr>
        <w:ind w:left="481"/>
        <w:spacing w:after="0"/>
        <w:tabs>
          <w:tab w:leader="none" w:pos="5600" w:val="left"/>
        </w:tabs>
        <w:rPr>
          <w:sz w:val="20"/>
          <w:szCs w:val="20"/>
          <w:color w:val="auto"/>
        </w:rPr>
      </w:pPr>
      <w:r>
        <w:rPr>
          <w:rFonts w:ascii="Courier New" w:cs="Courier New" w:eastAsia="Courier New" w:hAnsi="Courier New"/>
          <w:sz w:val="16"/>
          <w:szCs w:val="16"/>
          <w:color w:val="auto"/>
        </w:rPr>
        <w:t>Registrant's telephone number, including area code:</w:t>
        <w:tab/>
        <w:t>(904) 252-9601</w:t>
      </w:r>
    </w:p>
    <w:p>
      <w:pPr>
        <w:spacing w:after="0" w:line="200" w:lineRule="exact"/>
        <w:rPr>
          <w:sz w:val="24"/>
          <w:szCs w:val="24"/>
          <w:color w:val="auto"/>
        </w:rPr>
      </w:pPr>
    </w:p>
    <w:p>
      <w:pPr>
        <w:spacing w:after="0" w:line="36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required to be filed by Section 13 or 15(d) of the Securities Exchange Act of</w:t>
      </w:r>
    </w:p>
    <w:p>
      <w:pPr>
        <w:spacing w:after="0" w:line="5"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1934 during the preceding 12 months, and (2) has been subject to such filing</w:t>
      </w:r>
    </w:p>
    <w:p>
      <w:pPr>
        <w:spacing w:after="0" w:line="5" w:lineRule="exact"/>
        <w:rPr>
          <w:sz w:val="24"/>
          <w:szCs w:val="24"/>
          <w:color w:val="auto"/>
        </w:rPr>
      </w:pPr>
    </w:p>
    <w:p>
      <w:pPr>
        <w:ind w:left="1"/>
        <w:spacing w:after="0"/>
        <w:tabs>
          <w:tab w:leader="none" w:pos="4540" w:val="left"/>
          <w:tab w:leader="none" w:pos="5020" w:val="left"/>
          <w:tab w:leader="none" w:pos="5500" w:val="left"/>
        </w:tabs>
        <w:rPr>
          <w:sz w:val="20"/>
          <w:szCs w:val="20"/>
          <w:color w:val="auto"/>
        </w:rPr>
      </w:pPr>
      <w:r>
        <w:rPr>
          <w:rFonts w:ascii="Courier New" w:cs="Courier New" w:eastAsia="Courier New" w:hAnsi="Courier New"/>
          <w:sz w:val="16"/>
          <w:szCs w:val="16"/>
          <w:color w:val="auto"/>
        </w:rPr>
        <w:t>requirements for the past ninety (90) days.</w:t>
      </w:r>
      <w:r>
        <w:rPr>
          <w:sz w:val="20"/>
          <w:szCs w:val="20"/>
          <w:color w:val="auto"/>
        </w:rPr>
        <w:tab/>
      </w:r>
      <w:r>
        <w:rPr>
          <w:rFonts w:ascii="Courier New" w:cs="Courier New" w:eastAsia="Courier New" w:hAnsi="Courier New"/>
          <w:sz w:val="16"/>
          <w:szCs w:val="16"/>
          <w:color w:val="auto"/>
        </w:rPr>
        <w:t>Yes</w:t>
        <w:tab/>
        <w:t>X</w:t>
      </w:r>
      <w:r>
        <w:rPr>
          <w:sz w:val="20"/>
          <w:szCs w:val="20"/>
          <w:color w:val="auto"/>
        </w:rPr>
        <w:tab/>
      </w:r>
      <w:r>
        <w:rPr>
          <w:rFonts w:ascii="Courier New" w:cs="Courier New" w:eastAsia="Courier New" w:hAnsi="Courier New"/>
          <w:sz w:val="16"/>
          <w:szCs w:val="16"/>
          <w:color w:val="auto"/>
        </w:rPr>
        <w:t>No</w:t>
      </w:r>
    </w:p>
    <w:p>
      <w:pPr>
        <w:spacing w:after="0" w:line="5" w:lineRule="exact"/>
        <w:rPr>
          <w:sz w:val="24"/>
          <w:szCs w:val="24"/>
          <w:color w:val="auto"/>
        </w:rPr>
      </w:pPr>
    </w:p>
    <w:p>
      <w:pPr>
        <w:ind w:left="4941"/>
        <w:spacing w:after="0"/>
        <w:tabs>
          <w:tab w:leader="none" w:pos="58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91" w:lineRule="exact"/>
        <w:rPr>
          <w:sz w:val="24"/>
          <w:szCs w:val="24"/>
          <w:color w:val="auto"/>
        </w:rPr>
      </w:pPr>
    </w:p>
    <w:p>
      <w:pPr>
        <w:ind w:left="1" w:right="3439"/>
        <w:spacing w:after="0" w:line="248" w:lineRule="auto"/>
        <w:rPr>
          <w:sz w:val="20"/>
          <w:szCs w:val="20"/>
          <w:color w:val="auto"/>
        </w:rPr>
      </w:pPr>
      <w:r>
        <w:rPr>
          <w:rFonts w:ascii="Courier New" w:cs="Courier New" w:eastAsia="Courier New" w:hAnsi="Courier New"/>
          <w:sz w:val="16"/>
          <w:szCs w:val="16"/>
          <w:color w:val="auto"/>
        </w:rPr>
        <w:t>The number of shares of the Registrant's common stock, $.10 par value, outstanding as of November 1, 1995, was 8,681,509,000.</w:t>
      </w:r>
    </w:p>
    <w:p>
      <w:pPr>
        <w:spacing w:after="0" w:line="184" w:lineRule="exact"/>
        <w:rPr>
          <w:sz w:val="24"/>
          <w:szCs w:val="24"/>
          <w:color w:val="auto"/>
        </w:rPr>
      </w:pPr>
    </w:p>
    <w:p>
      <w:pPr>
        <w:ind w:left="2901"/>
        <w:spacing w:after="0"/>
        <w:rPr>
          <w:sz w:val="20"/>
          <w:szCs w:val="20"/>
          <w:color w:val="auto"/>
        </w:rPr>
      </w:pPr>
      <w:r>
        <w:rPr>
          <w:rFonts w:ascii="Courier New" w:cs="Courier New" w:eastAsia="Courier New" w:hAnsi="Courier New"/>
          <w:sz w:val="16"/>
          <w:szCs w:val="16"/>
          <w:color w:val="auto"/>
        </w:rPr>
        <w:t>POE &amp; BROWN, INC.</w:t>
      </w:r>
    </w:p>
    <w:p>
      <w:pPr>
        <w:sectPr>
          <w:pgSz w:w="11900" w:h="16838" w:orient="portrait"/>
          <w:cols w:equalWidth="0" w:num="1">
            <w:col w:w="10220"/>
          </w:cols>
          <w:pgMar w:left="239" w:top="241" w:right="1440"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2</w:t>
      </w:r>
    </w:p>
    <w:p>
      <w:pPr>
        <w:spacing w:after="0" w:line="191" w:lineRule="exact"/>
        <w:rPr>
          <w:sz w:val="20"/>
          <w:szCs w:val="20"/>
          <w:color w:val="auto"/>
        </w:rPr>
      </w:pPr>
    </w:p>
    <w:tbl>
      <w:tblPr>
        <w:tblLayout w:type="fixed"/>
        <w:tblInd w:w="180" w:type="dxa"/>
        <w:tblCellMar>
          <w:top w:w="0" w:type="dxa"/>
          <w:left w:w="0" w:type="dxa"/>
          <w:bottom w:w="0" w:type="dxa"/>
          <w:right w:w="0" w:type="dxa"/>
        </w:tblCellMar>
      </w:tblPr>
      <w:tr>
        <w:trPr>
          <w:trHeight w:val="183"/>
        </w:trPr>
        <w:tc>
          <w:tcPr>
            <w:tcW w:w="980" w:type="dxa"/>
            <w:vAlign w:val="bottom"/>
          </w:tcPr>
          <w:p>
            <w:pPr>
              <w:spacing w:after="0"/>
              <w:rPr>
                <w:sz w:val="15"/>
                <w:szCs w:val="15"/>
                <w:color w:val="auto"/>
              </w:rPr>
            </w:pPr>
          </w:p>
        </w:tc>
        <w:tc>
          <w:tcPr>
            <w:tcW w:w="7020" w:type="dxa"/>
            <w:vAlign w:val="bottom"/>
          </w:tcPr>
          <w:p>
            <w:pPr>
              <w:ind w:left="1440"/>
              <w:spacing w:after="0"/>
              <w:rPr>
                <w:sz w:val="20"/>
                <w:szCs w:val="20"/>
                <w:color w:val="auto"/>
              </w:rPr>
            </w:pPr>
            <w:r>
              <w:rPr>
                <w:rFonts w:ascii="Courier New" w:cs="Courier New" w:eastAsia="Courier New" w:hAnsi="Courier New"/>
                <w:sz w:val="16"/>
                <w:szCs w:val="16"/>
                <w:color w:val="auto"/>
              </w:rPr>
              <w:t>INDEX TO FORM 10-Q</w:t>
            </w:r>
          </w:p>
        </w:tc>
        <w:tc>
          <w:tcPr>
            <w:tcW w:w="1700" w:type="dxa"/>
            <w:vAlign w:val="bottom"/>
          </w:tcPr>
          <w:p>
            <w:pPr>
              <w:spacing w:after="0"/>
              <w:rPr>
                <w:sz w:val="15"/>
                <w:szCs w:val="15"/>
                <w:color w:val="auto"/>
              </w:rPr>
            </w:pPr>
          </w:p>
        </w:tc>
      </w:tr>
      <w:tr>
        <w:trPr>
          <w:trHeight w:val="186"/>
        </w:trPr>
        <w:tc>
          <w:tcPr>
            <w:tcW w:w="980" w:type="dxa"/>
            <w:vAlign w:val="bottom"/>
          </w:tcPr>
          <w:p>
            <w:pPr>
              <w:spacing w:after="0"/>
              <w:rPr>
                <w:sz w:val="16"/>
                <w:szCs w:val="16"/>
                <w:color w:val="auto"/>
              </w:rPr>
            </w:pPr>
          </w:p>
        </w:tc>
        <w:tc>
          <w:tcPr>
            <w:tcW w:w="7020" w:type="dxa"/>
            <w:vAlign w:val="bottom"/>
          </w:tcPr>
          <w:p>
            <w:pPr>
              <w:ind w:left="380"/>
              <w:spacing w:after="0"/>
              <w:rPr>
                <w:sz w:val="20"/>
                <w:szCs w:val="20"/>
                <w:color w:val="auto"/>
              </w:rPr>
            </w:pPr>
            <w:r>
              <w:rPr>
                <w:rFonts w:ascii="Courier New" w:cs="Courier New" w:eastAsia="Courier New" w:hAnsi="Courier New"/>
                <w:sz w:val="16"/>
                <w:szCs w:val="16"/>
                <w:color w:val="auto"/>
              </w:rPr>
              <w:t>FOR THE QUARTER ENDED SEPTEMBER 30, 1995</w:t>
            </w:r>
          </w:p>
        </w:tc>
        <w:tc>
          <w:tcPr>
            <w:tcW w:w="1700" w:type="dxa"/>
            <w:vAlign w:val="bottom"/>
          </w:tcPr>
          <w:p>
            <w:pPr>
              <w:spacing w:after="0"/>
              <w:rPr>
                <w:sz w:val="16"/>
                <w:szCs w:val="16"/>
                <w:color w:val="auto"/>
              </w:rPr>
            </w:pPr>
          </w:p>
        </w:tc>
      </w:tr>
      <w:tr>
        <w:trPr>
          <w:trHeight w:val="745"/>
        </w:trPr>
        <w:tc>
          <w:tcPr>
            <w:tcW w:w="98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1700" w:type="dxa"/>
            <w:vAlign w:val="bottom"/>
          </w:tcPr>
          <w:p>
            <w:pPr>
              <w:ind w:left="1300"/>
              <w:spacing w:after="0"/>
              <w:rPr>
                <w:sz w:val="20"/>
                <w:szCs w:val="20"/>
                <w:color w:val="auto"/>
              </w:rPr>
            </w:pPr>
            <w:r>
              <w:rPr>
                <w:rFonts w:ascii="Courier New" w:cs="Courier New" w:eastAsia="Courier New" w:hAnsi="Courier New"/>
                <w:sz w:val="16"/>
                <w:szCs w:val="16"/>
                <w:color w:val="auto"/>
                <w:w w:val="98"/>
              </w:rPr>
              <w:t>PAGE</w:t>
            </w:r>
          </w:p>
        </w:tc>
      </w:tr>
      <w:tr>
        <w:trPr>
          <w:trHeight w:val="186"/>
        </w:trPr>
        <w:tc>
          <w:tcPr>
            <w:tcW w:w="98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700" w:type="dxa"/>
            <w:vAlign w:val="bottom"/>
          </w:tcPr>
          <w:p>
            <w:pPr>
              <w:ind w:left="1300"/>
              <w:spacing w:after="0"/>
              <w:rPr>
                <w:sz w:val="20"/>
                <w:szCs w:val="20"/>
                <w:color w:val="auto"/>
              </w:rPr>
            </w:pPr>
            <w:r>
              <w:rPr>
                <w:rFonts w:ascii="Courier New" w:cs="Courier New" w:eastAsia="Courier New" w:hAnsi="Courier New"/>
                <w:sz w:val="16"/>
                <w:szCs w:val="16"/>
                <w:color w:val="auto"/>
                <w:w w:val="98"/>
              </w:rPr>
              <w:t>----</w:t>
            </w:r>
          </w:p>
        </w:tc>
      </w:tr>
      <w:tr>
        <w:trPr>
          <w:trHeight w:val="373"/>
        </w:trPr>
        <w:tc>
          <w:tcPr>
            <w:tcW w:w="980" w:type="dxa"/>
            <w:vAlign w:val="bottom"/>
          </w:tcPr>
          <w:p>
            <w:pPr>
              <w:spacing w:after="0"/>
              <w:rPr>
                <w:sz w:val="20"/>
                <w:szCs w:val="20"/>
                <w:color w:val="auto"/>
              </w:rPr>
            </w:pPr>
            <w:r>
              <w:rPr>
                <w:rFonts w:ascii="Courier New" w:cs="Courier New" w:eastAsia="Courier New" w:hAnsi="Courier New"/>
                <w:sz w:val="16"/>
                <w:szCs w:val="16"/>
                <w:color w:val="auto"/>
              </w:rPr>
              <w:t>PART I.</w:t>
            </w:r>
          </w:p>
        </w:tc>
        <w:tc>
          <w:tcPr>
            <w:tcW w:w="7020" w:type="dxa"/>
            <w:vAlign w:val="bottom"/>
          </w:tcPr>
          <w:p>
            <w:pPr>
              <w:spacing w:after="0"/>
              <w:rPr>
                <w:sz w:val="20"/>
                <w:szCs w:val="20"/>
                <w:color w:val="auto"/>
              </w:rPr>
            </w:pPr>
            <w:r>
              <w:rPr>
                <w:rFonts w:ascii="Courier New" w:cs="Courier New" w:eastAsia="Courier New" w:hAnsi="Courier New"/>
                <w:sz w:val="16"/>
                <w:szCs w:val="16"/>
                <w:color w:val="auto"/>
              </w:rPr>
              <w:t>FINANCIAL INFORMATION</w:t>
            </w:r>
          </w:p>
        </w:tc>
        <w:tc>
          <w:tcPr>
            <w:tcW w:w="1700" w:type="dxa"/>
            <w:vAlign w:val="bottom"/>
          </w:tcPr>
          <w:p>
            <w:pPr>
              <w:spacing w:after="0"/>
              <w:rPr>
                <w:sz w:val="24"/>
                <w:szCs w:val="24"/>
                <w:color w:val="auto"/>
              </w:rPr>
            </w:pPr>
          </w:p>
        </w:tc>
      </w:tr>
      <w:tr>
        <w:trPr>
          <w:trHeight w:val="373"/>
        </w:trPr>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Item 1.</w:t>
            </w:r>
          </w:p>
        </w:tc>
        <w:tc>
          <w:tcPr>
            <w:tcW w:w="7020" w:type="dxa"/>
            <w:vAlign w:val="bottom"/>
          </w:tcPr>
          <w:p>
            <w:pPr>
              <w:ind w:left="80"/>
              <w:spacing w:after="0"/>
              <w:rPr>
                <w:sz w:val="20"/>
                <w:szCs w:val="20"/>
                <w:color w:val="auto"/>
              </w:rPr>
            </w:pPr>
            <w:r>
              <w:rPr>
                <w:rFonts w:ascii="Courier New" w:cs="Courier New" w:eastAsia="Courier New" w:hAnsi="Courier New"/>
                <w:sz w:val="16"/>
                <w:szCs w:val="16"/>
                <w:color w:val="auto"/>
              </w:rPr>
              <w:t>Condensed Consolidated Financial Statements (Unaudited)</w:t>
            </w:r>
          </w:p>
        </w:tc>
        <w:tc>
          <w:tcPr>
            <w:tcW w:w="1700" w:type="dxa"/>
            <w:vAlign w:val="bottom"/>
          </w:tcPr>
          <w:p>
            <w:pPr>
              <w:spacing w:after="0"/>
              <w:rPr>
                <w:sz w:val="24"/>
                <w:szCs w:val="24"/>
                <w:color w:val="auto"/>
              </w:rPr>
            </w:pPr>
          </w:p>
        </w:tc>
      </w:tr>
      <w:tr>
        <w:trPr>
          <w:trHeight w:val="373"/>
        </w:trPr>
        <w:tc>
          <w:tcPr>
            <w:tcW w:w="980" w:type="dxa"/>
            <w:vAlign w:val="bottom"/>
          </w:tcPr>
          <w:p>
            <w:pPr>
              <w:spacing w:after="0"/>
              <w:rPr>
                <w:sz w:val="24"/>
                <w:szCs w:val="24"/>
                <w:color w:val="auto"/>
              </w:rPr>
            </w:pPr>
          </w:p>
        </w:tc>
        <w:tc>
          <w:tcPr>
            <w:tcW w:w="7020" w:type="dxa"/>
            <w:vAlign w:val="bottom"/>
          </w:tcPr>
          <w:p>
            <w:pPr>
              <w:ind w:left="180"/>
              <w:spacing w:after="0"/>
              <w:rPr>
                <w:sz w:val="20"/>
                <w:szCs w:val="20"/>
                <w:color w:val="auto"/>
              </w:rPr>
            </w:pPr>
            <w:r>
              <w:rPr>
                <w:rFonts w:ascii="Courier New" w:cs="Courier New" w:eastAsia="Courier New" w:hAnsi="Courier New"/>
                <w:sz w:val="16"/>
                <w:szCs w:val="16"/>
                <w:color w:val="auto"/>
              </w:rPr>
              <w:t>Condensed Consolidated Statements of Income for the three</w:t>
            </w:r>
          </w:p>
        </w:tc>
        <w:tc>
          <w:tcPr>
            <w:tcW w:w="1700" w:type="dxa"/>
            <w:vAlign w:val="bottom"/>
          </w:tcPr>
          <w:p>
            <w:pPr>
              <w:spacing w:after="0"/>
              <w:rPr>
                <w:sz w:val="24"/>
                <w:szCs w:val="24"/>
                <w:color w:val="auto"/>
              </w:rPr>
            </w:pPr>
          </w:p>
        </w:tc>
      </w:tr>
      <w:tr>
        <w:trPr>
          <w:trHeight w:val="186"/>
        </w:trPr>
        <w:tc>
          <w:tcPr>
            <w:tcW w:w="980" w:type="dxa"/>
            <w:vAlign w:val="bottom"/>
          </w:tcPr>
          <w:p>
            <w:pPr>
              <w:spacing w:after="0"/>
              <w:rPr>
                <w:sz w:val="16"/>
                <w:szCs w:val="16"/>
                <w:color w:val="auto"/>
              </w:rPr>
            </w:pPr>
          </w:p>
        </w:tc>
        <w:tc>
          <w:tcPr>
            <w:tcW w:w="7020" w:type="dxa"/>
            <w:vAlign w:val="bottom"/>
          </w:tcPr>
          <w:p>
            <w:pPr>
              <w:ind w:left="180"/>
              <w:spacing w:after="0"/>
              <w:rPr>
                <w:sz w:val="20"/>
                <w:szCs w:val="20"/>
                <w:color w:val="auto"/>
              </w:rPr>
            </w:pPr>
            <w:r>
              <w:rPr>
                <w:rFonts w:ascii="Courier New" w:cs="Courier New" w:eastAsia="Courier New" w:hAnsi="Courier New"/>
                <w:sz w:val="16"/>
                <w:szCs w:val="16"/>
                <w:color w:val="auto"/>
              </w:rPr>
              <w:t>and nine months ended September 30, 1995 and 1994</w:t>
            </w:r>
          </w:p>
        </w:tc>
        <w:tc>
          <w:tcPr>
            <w:tcW w:w="1700" w:type="dxa"/>
            <w:vAlign w:val="bottom"/>
          </w:tcPr>
          <w:p>
            <w:pPr>
              <w:ind w:left="1400"/>
              <w:spacing w:after="0"/>
              <w:rPr>
                <w:sz w:val="20"/>
                <w:szCs w:val="20"/>
                <w:color w:val="auto"/>
              </w:rPr>
            </w:pPr>
            <w:r>
              <w:rPr>
                <w:rFonts w:ascii="Courier New" w:cs="Courier New" w:eastAsia="Courier New" w:hAnsi="Courier New"/>
                <w:sz w:val="16"/>
                <w:szCs w:val="16"/>
                <w:color w:val="auto"/>
              </w:rPr>
              <w:t>3</w:t>
            </w:r>
          </w:p>
        </w:tc>
      </w:tr>
      <w:tr>
        <w:trPr>
          <w:trHeight w:val="373"/>
        </w:trPr>
        <w:tc>
          <w:tcPr>
            <w:tcW w:w="980" w:type="dxa"/>
            <w:vAlign w:val="bottom"/>
          </w:tcPr>
          <w:p>
            <w:pPr>
              <w:spacing w:after="0"/>
              <w:rPr>
                <w:sz w:val="24"/>
                <w:szCs w:val="24"/>
                <w:color w:val="auto"/>
              </w:rPr>
            </w:pPr>
          </w:p>
        </w:tc>
        <w:tc>
          <w:tcPr>
            <w:tcW w:w="7020" w:type="dxa"/>
            <w:vAlign w:val="bottom"/>
          </w:tcPr>
          <w:p>
            <w:pPr>
              <w:ind w:left="180"/>
              <w:spacing w:after="0"/>
              <w:rPr>
                <w:sz w:val="20"/>
                <w:szCs w:val="20"/>
                <w:color w:val="auto"/>
              </w:rPr>
            </w:pPr>
            <w:r>
              <w:rPr>
                <w:rFonts w:ascii="Courier New" w:cs="Courier New" w:eastAsia="Courier New" w:hAnsi="Courier New"/>
                <w:sz w:val="16"/>
                <w:szCs w:val="16"/>
                <w:color w:val="auto"/>
              </w:rPr>
              <w:t>Condensed Consolidated Balance Sheets as of September 30,</w:t>
            </w:r>
          </w:p>
        </w:tc>
        <w:tc>
          <w:tcPr>
            <w:tcW w:w="1700" w:type="dxa"/>
            <w:vAlign w:val="bottom"/>
          </w:tcPr>
          <w:p>
            <w:pPr>
              <w:spacing w:after="0"/>
              <w:rPr>
                <w:sz w:val="24"/>
                <w:szCs w:val="24"/>
                <w:color w:val="auto"/>
              </w:rPr>
            </w:pPr>
          </w:p>
        </w:tc>
      </w:tr>
      <w:tr>
        <w:trPr>
          <w:trHeight w:val="186"/>
        </w:trPr>
        <w:tc>
          <w:tcPr>
            <w:tcW w:w="980" w:type="dxa"/>
            <w:vAlign w:val="bottom"/>
          </w:tcPr>
          <w:p>
            <w:pPr>
              <w:spacing w:after="0"/>
              <w:rPr>
                <w:sz w:val="16"/>
                <w:szCs w:val="16"/>
                <w:color w:val="auto"/>
              </w:rPr>
            </w:pPr>
          </w:p>
        </w:tc>
        <w:tc>
          <w:tcPr>
            <w:tcW w:w="7020" w:type="dxa"/>
            <w:vAlign w:val="bottom"/>
          </w:tcPr>
          <w:p>
            <w:pPr>
              <w:ind w:left="180"/>
              <w:spacing w:after="0"/>
              <w:rPr>
                <w:sz w:val="20"/>
                <w:szCs w:val="20"/>
                <w:color w:val="auto"/>
              </w:rPr>
            </w:pPr>
            <w:r>
              <w:rPr>
                <w:rFonts w:ascii="Courier New" w:cs="Courier New" w:eastAsia="Courier New" w:hAnsi="Courier New"/>
                <w:sz w:val="16"/>
                <w:szCs w:val="16"/>
                <w:color w:val="auto"/>
              </w:rPr>
              <w:t>1995 and December 31, 1994</w:t>
            </w:r>
          </w:p>
        </w:tc>
        <w:tc>
          <w:tcPr>
            <w:tcW w:w="1700" w:type="dxa"/>
            <w:vAlign w:val="bottom"/>
          </w:tcPr>
          <w:p>
            <w:pPr>
              <w:ind w:left="1400"/>
              <w:spacing w:after="0"/>
              <w:rPr>
                <w:sz w:val="20"/>
                <w:szCs w:val="20"/>
                <w:color w:val="auto"/>
              </w:rPr>
            </w:pPr>
            <w:r>
              <w:rPr>
                <w:rFonts w:ascii="Courier New" w:cs="Courier New" w:eastAsia="Courier New" w:hAnsi="Courier New"/>
                <w:sz w:val="16"/>
                <w:szCs w:val="16"/>
                <w:color w:val="auto"/>
              </w:rPr>
              <w:t>4</w:t>
            </w:r>
          </w:p>
        </w:tc>
      </w:tr>
      <w:tr>
        <w:trPr>
          <w:trHeight w:val="373"/>
        </w:trPr>
        <w:tc>
          <w:tcPr>
            <w:tcW w:w="980" w:type="dxa"/>
            <w:vAlign w:val="bottom"/>
          </w:tcPr>
          <w:p>
            <w:pPr>
              <w:spacing w:after="0"/>
              <w:rPr>
                <w:sz w:val="24"/>
                <w:szCs w:val="24"/>
                <w:color w:val="auto"/>
              </w:rPr>
            </w:pPr>
          </w:p>
        </w:tc>
        <w:tc>
          <w:tcPr>
            <w:tcW w:w="7020" w:type="dxa"/>
            <w:vAlign w:val="bottom"/>
          </w:tcPr>
          <w:p>
            <w:pPr>
              <w:ind w:left="180"/>
              <w:spacing w:after="0"/>
              <w:rPr>
                <w:sz w:val="20"/>
                <w:szCs w:val="20"/>
                <w:color w:val="auto"/>
              </w:rPr>
            </w:pPr>
            <w:r>
              <w:rPr>
                <w:rFonts w:ascii="Courier New" w:cs="Courier New" w:eastAsia="Courier New" w:hAnsi="Courier New"/>
                <w:sz w:val="16"/>
                <w:szCs w:val="16"/>
                <w:color w:val="auto"/>
              </w:rPr>
              <w:t>Condensed Consolidated Statements of Cash Flows for</w:t>
            </w:r>
          </w:p>
        </w:tc>
        <w:tc>
          <w:tcPr>
            <w:tcW w:w="1700" w:type="dxa"/>
            <w:vAlign w:val="bottom"/>
          </w:tcPr>
          <w:p>
            <w:pPr>
              <w:spacing w:after="0"/>
              <w:rPr>
                <w:sz w:val="24"/>
                <w:szCs w:val="24"/>
                <w:color w:val="auto"/>
              </w:rPr>
            </w:pPr>
          </w:p>
        </w:tc>
      </w:tr>
      <w:tr>
        <w:trPr>
          <w:trHeight w:val="186"/>
        </w:trPr>
        <w:tc>
          <w:tcPr>
            <w:tcW w:w="980" w:type="dxa"/>
            <w:vAlign w:val="bottom"/>
          </w:tcPr>
          <w:p>
            <w:pPr>
              <w:spacing w:after="0"/>
              <w:rPr>
                <w:sz w:val="16"/>
                <w:szCs w:val="16"/>
                <w:color w:val="auto"/>
              </w:rPr>
            </w:pPr>
          </w:p>
        </w:tc>
        <w:tc>
          <w:tcPr>
            <w:tcW w:w="7020" w:type="dxa"/>
            <w:vAlign w:val="bottom"/>
          </w:tcPr>
          <w:p>
            <w:pPr>
              <w:ind w:left="180"/>
              <w:spacing w:after="0"/>
              <w:rPr>
                <w:sz w:val="20"/>
                <w:szCs w:val="20"/>
                <w:color w:val="auto"/>
              </w:rPr>
            </w:pPr>
            <w:r>
              <w:rPr>
                <w:rFonts w:ascii="Courier New" w:cs="Courier New" w:eastAsia="Courier New" w:hAnsi="Courier New"/>
                <w:sz w:val="16"/>
                <w:szCs w:val="16"/>
                <w:color w:val="auto"/>
              </w:rPr>
              <w:t>the nine months ended September 30, 1995 and 1994</w:t>
            </w:r>
          </w:p>
        </w:tc>
        <w:tc>
          <w:tcPr>
            <w:tcW w:w="1700" w:type="dxa"/>
            <w:vAlign w:val="bottom"/>
          </w:tcPr>
          <w:p>
            <w:pPr>
              <w:ind w:left="1400"/>
              <w:spacing w:after="0"/>
              <w:rPr>
                <w:sz w:val="20"/>
                <w:szCs w:val="20"/>
                <w:color w:val="auto"/>
              </w:rPr>
            </w:pPr>
            <w:r>
              <w:rPr>
                <w:rFonts w:ascii="Courier New" w:cs="Courier New" w:eastAsia="Courier New" w:hAnsi="Courier New"/>
                <w:sz w:val="16"/>
                <w:szCs w:val="16"/>
                <w:color w:val="auto"/>
              </w:rPr>
              <w:t>5</w:t>
            </w:r>
          </w:p>
        </w:tc>
      </w:tr>
      <w:tr>
        <w:trPr>
          <w:trHeight w:val="373"/>
        </w:trPr>
        <w:tc>
          <w:tcPr>
            <w:tcW w:w="980" w:type="dxa"/>
            <w:vAlign w:val="bottom"/>
          </w:tcPr>
          <w:p>
            <w:pPr>
              <w:spacing w:after="0"/>
              <w:rPr>
                <w:sz w:val="24"/>
                <w:szCs w:val="24"/>
                <w:color w:val="auto"/>
              </w:rPr>
            </w:pPr>
          </w:p>
        </w:tc>
        <w:tc>
          <w:tcPr>
            <w:tcW w:w="7020" w:type="dxa"/>
            <w:vAlign w:val="bottom"/>
          </w:tcPr>
          <w:p>
            <w:pPr>
              <w:ind w:left="180"/>
              <w:spacing w:after="0"/>
              <w:rPr>
                <w:sz w:val="20"/>
                <w:szCs w:val="20"/>
                <w:color w:val="auto"/>
              </w:rPr>
            </w:pPr>
            <w:r>
              <w:rPr>
                <w:rFonts w:ascii="Courier New" w:cs="Courier New" w:eastAsia="Courier New" w:hAnsi="Courier New"/>
                <w:sz w:val="16"/>
                <w:szCs w:val="16"/>
                <w:color w:val="auto"/>
              </w:rPr>
              <w:t>Notes to Condensed Consolidated Financial Statements</w:t>
            </w:r>
          </w:p>
        </w:tc>
        <w:tc>
          <w:tcPr>
            <w:tcW w:w="1700" w:type="dxa"/>
            <w:vAlign w:val="bottom"/>
          </w:tcPr>
          <w:p>
            <w:pPr>
              <w:ind w:left="1400"/>
              <w:spacing w:after="0"/>
              <w:rPr>
                <w:sz w:val="20"/>
                <w:szCs w:val="20"/>
                <w:color w:val="auto"/>
              </w:rPr>
            </w:pPr>
            <w:r>
              <w:rPr>
                <w:rFonts w:ascii="Courier New" w:cs="Courier New" w:eastAsia="Courier New" w:hAnsi="Courier New"/>
                <w:sz w:val="16"/>
                <w:szCs w:val="16"/>
                <w:color w:val="auto"/>
              </w:rPr>
              <w:t>6</w:t>
            </w:r>
          </w:p>
        </w:tc>
      </w:tr>
      <w:tr>
        <w:trPr>
          <w:trHeight w:val="373"/>
        </w:trPr>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Item 2.</w:t>
            </w:r>
          </w:p>
        </w:tc>
        <w:tc>
          <w:tcPr>
            <w:tcW w:w="7020" w:type="dxa"/>
            <w:vAlign w:val="bottom"/>
          </w:tcPr>
          <w:p>
            <w:pPr>
              <w:ind w:left="80"/>
              <w:spacing w:after="0"/>
              <w:rPr>
                <w:sz w:val="20"/>
                <w:szCs w:val="20"/>
                <w:color w:val="auto"/>
              </w:rPr>
            </w:pPr>
            <w:r>
              <w:rPr>
                <w:rFonts w:ascii="Courier New" w:cs="Courier New" w:eastAsia="Courier New" w:hAnsi="Courier New"/>
                <w:sz w:val="16"/>
                <w:szCs w:val="16"/>
                <w:color w:val="auto"/>
              </w:rPr>
              <w:t>Management's Discussion and Analysis of Financial</w:t>
            </w:r>
          </w:p>
        </w:tc>
        <w:tc>
          <w:tcPr>
            <w:tcW w:w="1700" w:type="dxa"/>
            <w:vAlign w:val="bottom"/>
          </w:tcPr>
          <w:p>
            <w:pPr>
              <w:spacing w:after="0"/>
              <w:rPr>
                <w:sz w:val="24"/>
                <w:szCs w:val="24"/>
                <w:color w:val="auto"/>
              </w:rPr>
            </w:pPr>
          </w:p>
        </w:tc>
      </w:tr>
      <w:tr>
        <w:trPr>
          <w:trHeight w:val="186"/>
        </w:trPr>
        <w:tc>
          <w:tcPr>
            <w:tcW w:w="980" w:type="dxa"/>
            <w:vAlign w:val="bottom"/>
          </w:tcPr>
          <w:p>
            <w:pPr>
              <w:spacing w:after="0"/>
              <w:rPr>
                <w:sz w:val="16"/>
                <w:szCs w:val="16"/>
                <w:color w:val="auto"/>
              </w:rPr>
            </w:pPr>
          </w:p>
        </w:tc>
        <w:tc>
          <w:tcPr>
            <w:tcW w:w="7020" w:type="dxa"/>
            <w:vAlign w:val="bottom"/>
          </w:tcPr>
          <w:p>
            <w:pPr>
              <w:ind w:left="80"/>
              <w:spacing w:after="0"/>
              <w:rPr>
                <w:sz w:val="20"/>
                <w:szCs w:val="20"/>
                <w:color w:val="auto"/>
              </w:rPr>
            </w:pPr>
            <w:r>
              <w:rPr>
                <w:rFonts w:ascii="Courier New" w:cs="Courier New" w:eastAsia="Courier New" w:hAnsi="Courier New"/>
                <w:sz w:val="16"/>
                <w:szCs w:val="16"/>
                <w:color w:val="auto"/>
              </w:rPr>
              <w:t>Condition and Results of Operations</w:t>
            </w:r>
          </w:p>
        </w:tc>
        <w:tc>
          <w:tcPr>
            <w:tcW w:w="1700" w:type="dxa"/>
            <w:vAlign w:val="bottom"/>
          </w:tcPr>
          <w:p>
            <w:pPr>
              <w:ind w:left="1400"/>
              <w:spacing w:after="0"/>
              <w:rPr>
                <w:sz w:val="20"/>
                <w:szCs w:val="20"/>
                <w:color w:val="auto"/>
              </w:rPr>
            </w:pPr>
            <w:r>
              <w:rPr>
                <w:rFonts w:ascii="Courier New" w:cs="Courier New" w:eastAsia="Courier New" w:hAnsi="Courier New"/>
                <w:sz w:val="16"/>
                <w:szCs w:val="16"/>
                <w:color w:val="auto"/>
              </w:rPr>
              <w:t>8</w:t>
            </w:r>
          </w:p>
        </w:tc>
      </w:tr>
      <w:tr>
        <w:trPr>
          <w:trHeight w:val="559"/>
        </w:trPr>
        <w:tc>
          <w:tcPr>
            <w:tcW w:w="980" w:type="dxa"/>
            <w:vAlign w:val="bottom"/>
          </w:tcPr>
          <w:p>
            <w:pPr>
              <w:spacing w:after="0"/>
              <w:rPr>
                <w:sz w:val="20"/>
                <w:szCs w:val="20"/>
                <w:color w:val="auto"/>
              </w:rPr>
            </w:pPr>
            <w:r>
              <w:rPr>
                <w:rFonts w:ascii="Courier New" w:cs="Courier New" w:eastAsia="Courier New" w:hAnsi="Courier New"/>
                <w:sz w:val="16"/>
                <w:szCs w:val="16"/>
                <w:color w:val="auto"/>
              </w:rPr>
              <w:t>PART II.</w:t>
            </w:r>
          </w:p>
        </w:tc>
        <w:tc>
          <w:tcPr>
            <w:tcW w:w="7020" w:type="dxa"/>
            <w:vAlign w:val="bottom"/>
          </w:tcPr>
          <w:p>
            <w:pPr>
              <w:spacing w:after="0"/>
              <w:rPr>
                <w:sz w:val="20"/>
                <w:szCs w:val="20"/>
                <w:color w:val="auto"/>
              </w:rPr>
            </w:pPr>
            <w:r>
              <w:rPr>
                <w:rFonts w:ascii="Courier New" w:cs="Courier New" w:eastAsia="Courier New" w:hAnsi="Courier New"/>
                <w:sz w:val="16"/>
                <w:szCs w:val="16"/>
                <w:color w:val="auto"/>
              </w:rPr>
              <w:t>OTHER INFORMATION</w:t>
            </w:r>
          </w:p>
        </w:tc>
        <w:tc>
          <w:tcPr>
            <w:tcW w:w="1700" w:type="dxa"/>
            <w:vAlign w:val="bottom"/>
          </w:tcPr>
          <w:p>
            <w:pPr>
              <w:spacing w:after="0"/>
              <w:rPr>
                <w:sz w:val="24"/>
                <w:szCs w:val="24"/>
                <w:color w:val="auto"/>
              </w:rPr>
            </w:pPr>
          </w:p>
        </w:tc>
      </w:tr>
      <w:tr>
        <w:trPr>
          <w:trHeight w:val="373"/>
        </w:trPr>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Item 1.</w:t>
            </w:r>
          </w:p>
        </w:tc>
        <w:tc>
          <w:tcPr>
            <w:tcW w:w="7020" w:type="dxa"/>
            <w:vAlign w:val="bottom"/>
          </w:tcPr>
          <w:p>
            <w:pPr>
              <w:ind w:left="80"/>
              <w:spacing w:after="0"/>
              <w:rPr>
                <w:sz w:val="20"/>
                <w:szCs w:val="20"/>
                <w:color w:val="auto"/>
              </w:rPr>
            </w:pPr>
            <w:r>
              <w:rPr>
                <w:rFonts w:ascii="Courier New" w:cs="Courier New" w:eastAsia="Courier New" w:hAnsi="Courier New"/>
                <w:sz w:val="16"/>
                <w:szCs w:val="16"/>
                <w:color w:val="auto"/>
              </w:rPr>
              <w:t>Legal Proceedings</w:t>
            </w:r>
          </w:p>
        </w:tc>
        <w:tc>
          <w:tcPr>
            <w:tcW w:w="1700" w:type="dxa"/>
            <w:vAlign w:val="bottom"/>
          </w:tcPr>
          <w:p>
            <w:pPr>
              <w:ind w:left="1400"/>
              <w:spacing w:after="0"/>
              <w:rPr>
                <w:sz w:val="20"/>
                <w:szCs w:val="20"/>
                <w:color w:val="auto"/>
              </w:rPr>
            </w:pPr>
            <w:r>
              <w:rPr>
                <w:rFonts w:ascii="Courier New" w:cs="Courier New" w:eastAsia="Courier New" w:hAnsi="Courier New"/>
                <w:sz w:val="16"/>
                <w:szCs w:val="16"/>
                <w:color w:val="auto"/>
              </w:rPr>
              <w:t>10</w:t>
            </w:r>
          </w:p>
        </w:tc>
      </w:tr>
      <w:tr>
        <w:trPr>
          <w:trHeight w:val="373"/>
        </w:trPr>
        <w:tc>
          <w:tcPr>
            <w:tcW w:w="980" w:type="dxa"/>
            <w:vAlign w:val="bottom"/>
          </w:tcPr>
          <w:p>
            <w:pPr>
              <w:ind w:left="200"/>
              <w:spacing w:after="0"/>
              <w:rPr>
                <w:sz w:val="20"/>
                <w:szCs w:val="20"/>
                <w:color w:val="auto"/>
              </w:rPr>
            </w:pPr>
            <w:r>
              <w:rPr>
                <w:rFonts w:ascii="Courier New" w:cs="Courier New" w:eastAsia="Courier New" w:hAnsi="Courier New"/>
                <w:sz w:val="16"/>
                <w:szCs w:val="16"/>
                <w:color w:val="auto"/>
              </w:rPr>
              <w:t>Item 6.</w:t>
            </w:r>
          </w:p>
        </w:tc>
        <w:tc>
          <w:tcPr>
            <w:tcW w:w="7020" w:type="dxa"/>
            <w:vAlign w:val="bottom"/>
          </w:tcPr>
          <w:p>
            <w:pPr>
              <w:ind w:left="80"/>
              <w:spacing w:after="0"/>
              <w:rPr>
                <w:sz w:val="20"/>
                <w:szCs w:val="20"/>
                <w:color w:val="auto"/>
              </w:rPr>
            </w:pPr>
            <w:r>
              <w:rPr>
                <w:rFonts w:ascii="Courier New" w:cs="Courier New" w:eastAsia="Courier New" w:hAnsi="Courier New"/>
                <w:sz w:val="16"/>
                <w:szCs w:val="16"/>
                <w:color w:val="auto"/>
              </w:rPr>
              <w:t>Exhibits and Reports on Form 8-K</w:t>
            </w:r>
          </w:p>
        </w:tc>
        <w:tc>
          <w:tcPr>
            <w:tcW w:w="1700" w:type="dxa"/>
            <w:vAlign w:val="bottom"/>
          </w:tcPr>
          <w:p>
            <w:pPr>
              <w:ind w:left="1400"/>
              <w:spacing w:after="0"/>
              <w:rPr>
                <w:sz w:val="20"/>
                <w:szCs w:val="20"/>
                <w:color w:val="auto"/>
              </w:rPr>
            </w:pPr>
            <w:r>
              <w:rPr>
                <w:rFonts w:ascii="Courier New" w:cs="Courier New" w:eastAsia="Courier New" w:hAnsi="Courier New"/>
                <w:sz w:val="16"/>
                <w:szCs w:val="16"/>
                <w:color w:val="auto"/>
              </w:rPr>
              <w:t>10</w:t>
            </w:r>
          </w:p>
        </w:tc>
      </w:tr>
      <w:tr>
        <w:trPr>
          <w:trHeight w:val="559"/>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SIGNATURES</w:t>
            </w:r>
          </w:p>
        </w:tc>
        <w:tc>
          <w:tcPr>
            <w:tcW w:w="7020" w:type="dxa"/>
            <w:vAlign w:val="bottom"/>
          </w:tcPr>
          <w:p>
            <w:pPr>
              <w:spacing w:after="0"/>
              <w:rPr>
                <w:sz w:val="24"/>
                <w:szCs w:val="24"/>
                <w:color w:val="auto"/>
              </w:rPr>
            </w:pPr>
          </w:p>
        </w:tc>
        <w:tc>
          <w:tcPr>
            <w:tcW w:w="1700" w:type="dxa"/>
            <w:vAlign w:val="bottom"/>
          </w:tcPr>
          <w:p>
            <w:pPr>
              <w:ind w:left="1400"/>
              <w:spacing w:after="0"/>
              <w:rPr>
                <w:sz w:val="20"/>
                <w:szCs w:val="20"/>
                <w:color w:val="auto"/>
              </w:rPr>
            </w:pPr>
            <w:r>
              <w:rPr>
                <w:rFonts w:ascii="Courier New" w:cs="Courier New" w:eastAsia="Courier New" w:hAnsi="Courier New"/>
                <w:sz w:val="16"/>
                <w:szCs w:val="16"/>
                <w:color w:val="auto"/>
              </w:rPr>
              <w:t>10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POE &amp; BROWN, INC.</w:t>
      </w:r>
    </w:p>
    <w:p>
      <w:pPr>
        <w:spacing w:after="0" w:line="5"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9919"/>
          </w:cols>
          <w:pgMar w:left="540" w:top="303" w:right="1440" w:bottom="1440" w:gutter="0" w:footer="0" w:header="0"/>
        </w:sectPr>
      </w:pPr>
    </w:p>
    <w:bookmarkStart w:id="2" w:name="page3"/>
    <w:bookmarkEnd w:id="2"/>
    <w:p>
      <w:pPr>
        <w:ind w:left="300"/>
        <w:spacing w:after="0"/>
        <w:rPr>
          <w:sz w:val="20"/>
          <w:szCs w:val="20"/>
          <w:color w:val="auto"/>
        </w:rPr>
      </w:pPr>
      <w:r>
        <w:rPr>
          <w:rFonts w:ascii="Courier New" w:cs="Courier New" w:eastAsia="Courier New" w:hAnsi="Courier New"/>
          <w:sz w:val="16"/>
          <w:szCs w:val="16"/>
          <w:color w:val="auto"/>
        </w:rPr>
        <w:t>3</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CONDENSED CONSOLIDATED STATEMENTS OF INCOME (UNAUDITED)</w:t>
      </w:r>
    </w:p>
    <w:p>
      <w:pPr>
        <w:spacing w:after="0" w:line="5" w:lineRule="exact"/>
        <w:rPr>
          <w:sz w:val="20"/>
          <w:szCs w:val="20"/>
          <w:color w:val="auto"/>
        </w:rPr>
      </w:pPr>
    </w:p>
    <w:p>
      <w:pPr>
        <w:ind w:left="1840"/>
        <w:spacing w:after="0"/>
        <w:rPr>
          <w:sz w:val="20"/>
          <w:szCs w:val="20"/>
          <w:color w:val="auto"/>
        </w:rPr>
      </w:pPr>
      <w:r>
        <w:rPr>
          <w:rFonts w:ascii="Courier New" w:cs="Courier New" w:eastAsia="Courier New" w:hAnsi="Courier New"/>
          <w:sz w:val="16"/>
          <w:szCs w:val="16"/>
          <w:color w:val="auto"/>
        </w:rPr>
        <w:t>(IN THOUSANDS, EXCEPT PER SHARE AMOUNTS)</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000" w:type="dxa"/>
            <w:vAlign w:val="bottom"/>
          </w:tcPr>
          <w:p>
            <w:pPr>
              <w:spacing w:after="0"/>
              <w:rPr>
                <w:sz w:val="15"/>
                <w:szCs w:val="15"/>
                <w:color w:val="auto"/>
              </w:rPr>
            </w:pPr>
          </w:p>
        </w:tc>
        <w:tc>
          <w:tcPr>
            <w:tcW w:w="3020" w:type="dxa"/>
            <w:vAlign w:val="bottom"/>
            <w:gridSpan w:val="4"/>
          </w:tcPr>
          <w:p>
            <w:pPr>
              <w:jc w:val="right"/>
              <w:ind w:right="519"/>
              <w:spacing w:after="0"/>
              <w:rPr>
                <w:sz w:val="20"/>
                <w:szCs w:val="20"/>
                <w:color w:val="auto"/>
              </w:rPr>
            </w:pPr>
            <w:r>
              <w:rPr>
                <w:rFonts w:ascii="Courier New" w:cs="Courier New" w:eastAsia="Courier New" w:hAnsi="Courier New"/>
                <w:sz w:val="16"/>
                <w:szCs w:val="16"/>
                <w:color w:val="auto"/>
              </w:rPr>
              <w:t>FOR THE THREE MONTHS</w:t>
            </w:r>
          </w:p>
        </w:tc>
        <w:tc>
          <w:tcPr>
            <w:tcW w:w="23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FOR THE NINE MONTHS</w:t>
            </w:r>
          </w:p>
        </w:tc>
      </w:tr>
      <w:tr>
        <w:trPr>
          <w:trHeight w:val="186"/>
        </w:trPr>
        <w:tc>
          <w:tcPr>
            <w:tcW w:w="6000" w:type="dxa"/>
            <w:vAlign w:val="bottom"/>
          </w:tcPr>
          <w:p>
            <w:pPr>
              <w:spacing w:after="0"/>
              <w:rPr>
                <w:sz w:val="16"/>
                <w:szCs w:val="16"/>
                <w:color w:val="auto"/>
              </w:rPr>
            </w:pPr>
          </w:p>
        </w:tc>
        <w:tc>
          <w:tcPr>
            <w:tcW w:w="3020" w:type="dxa"/>
            <w:vAlign w:val="bottom"/>
            <w:gridSpan w:val="4"/>
          </w:tcPr>
          <w:p>
            <w:pPr>
              <w:jc w:val="right"/>
              <w:ind w:right="519"/>
              <w:spacing w:after="0"/>
              <w:rPr>
                <w:sz w:val="20"/>
                <w:szCs w:val="20"/>
                <w:color w:val="auto"/>
              </w:rPr>
            </w:pPr>
            <w:r>
              <w:rPr>
                <w:rFonts w:ascii="Courier New" w:cs="Courier New" w:eastAsia="Courier New" w:hAnsi="Courier New"/>
                <w:sz w:val="16"/>
                <w:szCs w:val="16"/>
                <w:color w:val="auto"/>
              </w:rPr>
              <w:t>ENDED SEPTEMBER 30,</w:t>
            </w:r>
          </w:p>
        </w:tc>
        <w:tc>
          <w:tcPr>
            <w:tcW w:w="2320" w:type="dxa"/>
            <w:vAlign w:val="bottom"/>
            <w:gridSpan w:val="4"/>
          </w:tcPr>
          <w:p>
            <w:pPr>
              <w:jc w:val="right"/>
              <w:ind w:right="19"/>
              <w:spacing w:after="0"/>
              <w:rPr>
                <w:sz w:val="20"/>
                <w:szCs w:val="20"/>
                <w:color w:val="auto"/>
              </w:rPr>
            </w:pPr>
            <w:r>
              <w:rPr>
                <w:rFonts w:ascii="Courier New" w:cs="Courier New" w:eastAsia="Courier New" w:hAnsi="Courier New"/>
                <w:sz w:val="16"/>
                <w:szCs w:val="16"/>
                <w:color w:val="auto"/>
              </w:rPr>
              <w:t>ENDED SEPTEMBER 30,</w:t>
            </w:r>
          </w:p>
        </w:tc>
      </w:tr>
      <w:tr>
        <w:trPr>
          <w:trHeight w:val="186"/>
        </w:trPr>
        <w:tc>
          <w:tcPr>
            <w:tcW w:w="6000" w:type="dxa"/>
            <w:vAlign w:val="bottom"/>
          </w:tcPr>
          <w:p>
            <w:pPr>
              <w:spacing w:after="0"/>
              <w:rPr>
                <w:sz w:val="16"/>
                <w:szCs w:val="16"/>
                <w:color w:val="auto"/>
              </w:rPr>
            </w:pPr>
          </w:p>
        </w:tc>
        <w:tc>
          <w:tcPr>
            <w:tcW w:w="1600" w:type="dxa"/>
            <w:vAlign w:val="bottom"/>
            <w:gridSpan w:val="2"/>
          </w:tcPr>
          <w:p>
            <w:pPr>
              <w:ind w:left="580"/>
              <w:spacing w:after="0"/>
              <w:rPr>
                <w:sz w:val="20"/>
                <w:szCs w:val="20"/>
                <w:color w:val="auto"/>
              </w:rPr>
            </w:pPr>
            <w:r>
              <w:rPr>
                <w:rFonts w:ascii="Courier New" w:cs="Courier New" w:eastAsia="Courier New" w:hAnsi="Courier New"/>
                <w:sz w:val="12"/>
                <w:szCs w:val="12"/>
                <w:color w:val="auto"/>
                <w:w w:val="73"/>
              </w:rPr>
              <w:t>-------------------</w:t>
            </w: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320" w:type="dxa"/>
            <w:vAlign w:val="bottom"/>
            <w:gridSpan w:val="4"/>
          </w:tcPr>
          <w:p>
            <w:pPr>
              <w:ind w:left="380"/>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Courier New" w:cs="Courier New" w:eastAsia="Courier New" w:hAnsi="Courier New"/>
                <w:sz w:val="16"/>
                <w:szCs w:val="16"/>
                <w:color w:val="auto"/>
                <w:w w:val="98"/>
              </w:rPr>
              <w:t>1995</w:t>
            </w:r>
          </w:p>
        </w:tc>
        <w:tc>
          <w:tcPr>
            <w:tcW w:w="440" w:type="dxa"/>
            <w:vAlign w:val="bottom"/>
          </w:tcPr>
          <w:p>
            <w:pPr>
              <w:spacing w:after="0"/>
              <w:rPr>
                <w:sz w:val="16"/>
                <w:szCs w:val="16"/>
                <w:color w:val="auto"/>
              </w:rPr>
            </w:pP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93"/>
              </w:rPr>
              <w:t>1994</w:t>
            </w:r>
          </w:p>
        </w:tc>
        <w:tc>
          <w:tcPr>
            <w:tcW w:w="480" w:type="dxa"/>
            <w:vAlign w:val="bottom"/>
          </w:tcPr>
          <w:p>
            <w:pPr>
              <w:spacing w:after="0"/>
              <w:rPr>
                <w:sz w:val="16"/>
                <w:szCs w:val="16"/>
                <w:color w:val="auto"/>
              </w:rPr>
            </w:pPr>
          </w:p>
        </w:tc>
        <w:tc>
          <w:tcPr>
            <w:tcW w:w="8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3"/>
              </w:rPr>
              <w:t>1995</w:t>
            </w:r>
          </w:p>
        </w:tc>
        <w:tc>
          <w:tcPr>
            <w:tcW w:w="40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1994</w:t>
            </w:r>
          </w:p>
        </w:tc>
      </w:tr>
      <w:tr>
        <w:trPr>
          <w:trHeight w:val="186"/>
        </w:trPr>
        <w:tc>
          <w:tcPr>
            <w:tcW w:w="60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Courier New" w:cs="Courier New" w:eastAsia="Courier New" w:hAnsi="Courier New"/>
                <w:sz w:val="16"/>
                <w:szCs w:val="16"/>
                <w:color w:val="auto"/>
                <w:w w:val="98"/>
              </w:rPr>
              <w:t>----</w:t>
            </w:r>
          </w:p>
        </w:tc>
        <w:tc>
          <w:tcPr>
            <w:tcW w:w="440" w:type="dxa"/>
            <w:vAlign w:val="bottom"/>
          </w:tcPr>
          <w:p>
            <w:pPr>
              <w:spacing w:after="0"/>
              <w:rPr>
                <w:sz w:val="16"/>
                <w:szCs w:val="16"/>
                <w:color w:val="auto"/>
              </w:rPr>
            </w:pPr>
          </w:p>
        </w:tc>
        <w:tc>
          <w:tcPr>
            <w:tcW w:w="980" w:type="dxa"/>
            <w:vAlign w:val="bottom"/>
          </w:tcPr>
          <w:p>
            <w:pPr>
              <w:jc w:val="right"/>
              <w:ind w:right="519"/>
              <w:spacing w:after="0"/>
              <w:rPr>
                <w:sz w:val="20"/>
                <w:szCs w:val="20"/>
                <w:color w:val="auto"/>
              </w:rPr>
            </w:pPr>
            <w:r>
              <w:rPr>
                <w:rFonts w:ascii="Courier New" w:cs="Courier New" w:eastAsia="Courier New" w:hAnsi="Courier New"/>
                <w:sz w:val="16"/>
                <w:szCs w:val="16"/>
                <w:color w:val="auto"/>
                <w:w w:val="93"/>
              </w:rPr>
              <w:t>----</w:t>
            </w:r>
          </w:p>
        </w:tc>
        <w:tc>
          <w:tcPr>
            <w:tcW w:w="480" w:type="dxa"/>
            <w:vAlign w:val="bottom"/>
          </w:tcPr>
          <w:p>
            <w:pPr>
              <w:spacing w:after="0"/>
              <w:rPr>
                <w:sz w:val="16"/>
                <w:szCs w:val="16"/>
                <w:color w:val="auto"/>
              </w:rPr>
            </w:pPr>
          </w:p>
        </w:tc>
        <w:tc>
          <w:tcPr>
            <w:tcW w:w="8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3"/>
              </w:rPr>
              <w:t>----</w:t>
            </w:r>
          </w:p>
        </w:tc>
        <w:tc>
          <w:tcPr>
            <w:tcW w:w="400" w:type="dxa"/>
            <w:vAlign w:val="bottom"/>
          </w:tcPr>
          <w:p>
            <w:pPr>
              <w:spacing w:after="0"/>
              <w:rPr>
                <w:sz w:val="16"/>
                <w:szCs w:val="16"/>
                <w:color w:val="auto"/>
              </w:rPr>
            </w:pPr>
          </w:p>
        </w:tc>
        <w:tc>
          <w:tcPr>
            <w:tcW w:w="58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3"/>
              </w:rPr>
              <w:t>----</w:t>
            </w:r>
          </w:p>
        </w:tc>
      </w:tr>
      <w:tr>
        <w:trPr>
          <w:trHeight w:val="373"/>
        </w:trPr>
        <w:tc>
          <w:tcPr>
            <w:tcW w:w="6000" w:type="dxa"/>
            <w:vAlign w:val="bottom"/>
          </w:tcPr>
          <w:p>
            <w:pPr>
              <w:jc w:val="right"/>
              <w:ind w:right="5139"/>
              <w:spacing w:after="0"/>
              <w:rPr>
                <w:sz w:val="20"/>
                <w:szCs w:val="20"/>
                <w:color w:val="auto"/>
              </w:rPr>
            </w:pPr>
            <w:r>
              <w:rPr>
                <w:rFonts w:ascii="Courier New" w:cs="Courier New" w:eastAsia="Courier New" w:hAnsi="Courier New"/>
                <w:sz w:val="16"/>
                <w:szCs w:val="16"/>
                <w:color w:val="auto"/>
                <w:w w:val="98"/>
              </w:rPr>
              <w:t>REVENUES</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Commissions and fees  . . . . . . . . . . . . . . . . .</w:t>
            </w: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$25,134</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$24,430</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$75,937</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$72,567</w:t>
            </w:r>
          </w:p>
        </w:tc>
      </w:tr>
      <w:tr>
        <w:trPr>
          <w:trHeight w:val="186"/>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Investment income . . . . . . . . . . . . . . . . . . .</w:t>
            </w:r>
          </w:p>
        </w:tc>
        <w:tc>
          <w:tcPr>
            <w:tcW w:w="6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978</w:t>
            </w:r>
          </w:p>
        </w:tc>
        <w:tc>
          <w:tcPr>
            <w:tcW w:w="4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808</w:t>
            </w:r>
          </w:p>
        </w:tc>
        <w:tc>
          <w:tcPr>
            <w:tcW w:w="48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2,834</w:t>
            </w: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4,296</w:t>
            </w:r>
          </w:p>
        </w:tc>
      </w:tr>
      <w:tr>
        <w:trPr>
          <w:trHeight w:val="186"/>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Other income  . . . . . . . . . . . . . . . . . . . . .</w:t>
            </w:r>
          </w:p>
        </w:tc>
        <w:tc>
          <w:tcPr>
            <w:tcW w:w="6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238</w:t>
            </w:r>
          </w:p>
        </w:tc>
        <w:tc>
          <w:tcPr>
            <w:tcW w:w="4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w:t>
            </w:r>
          </w:p>
        </w:tc>
        <w:tc>
          <w:tcPr>
            <w:tcW w:w="48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568</w:t>
            </w: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r>
      <w:tr>
        <w:trPr>
          <w:trHeight w:val="186"/>
        </w:trPr>
        <w:tc>
          <w:tcPr>
            <w:tcW w:w="6000" w:type="dxa"/>
            <w:vAlign w:val="bottom"/>
          </w:tcPr>
          <w:p>
            <w:pPr>
              <w:spacing w:after="0"/>
              <w:rPr>
                <w:sz w:val="16"/>
                <w:szCs w:val="16"/>
                <w:color w:val="auto"/>
              </w:rPr>
            </w:pP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Total revenues  . . . . . . . . . . . . . . . . . . .</w:t>
            </w:r>
          </w:p>
        </w:tc>
        <w:tc>
          <w:tcPr>
            <w:tcW w:w="6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26,350</w:t>
            </w:r>
          </w:p>
        </w:tc>
        <w:tc>
          <w:tcPr>
            <w:tcW w:w="4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25,039</w:t>
            </w:r>
          </w:p>
        </w:tc>
        <w:tc>
          <w:tcPr>
            <w:tcW w:w="48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79,339</w:t>
            </w: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76,902</w:t>
            </w:r>
          </w:p>
        </w:tc>
      </w:tr>
      <w:tr>
        <w:trPr>
          <w:trHeight w:val="186"/>
        </w:trPr>
        <w:tc>
          <w:tcPr>
            <w:tcW w:w="6000" w:type="dxa"/>
            <w:vAlign w:val="bottom"/>
          </w:tcPr>
          <w:p>
            <w:pPr>
              <w:spacing w:after="0"/>
              <w:rPr>
                <w:sz w:val="16"/>
                <w:szCs w:val="16"/>
                <w:color w:val="auto"/>
              </w:rPr>
            </w:pP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jc w:val="right"/>
              <w:ind w:right="5139"/>
              <w:spacing w:after="0"/>
              <w:rPr>
                <w:sz w:val="20"/>
                <w:szCs w:val="20"/>
                <w:color w:val="auto"/>
              </w:rPr>
            </w:pPr>
            <w:r>
              <w:rPr>
                <w:rFonts w:ascii="Courier New" w:cs="Courier New" w:eastAsia="Courier New" w:hAnsi="Courier New"/>
                <w:sz w:val="16"/>
                <w:szCs w:val="16"/>
                <w:color w:val="auto"/>
                <w:w w:val="98"/>
              </w:rPr>
              <w:t>EXPENSES</w:t>
            </w: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86"/>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Compensation and employee benefits  . . . . . . . . . .</w:t>
            </w:r>
          </w:p>
        </w:tc>
        <w:tc>
          <w:tcPr>
            <w:tcW w:w="6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13,491</w:t>
            </w:r>
          </w:p>
        </w:tc>
        <w:tc>
          <w:tcPr>
            <w:tcW w:w="4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13,038</w:t>
            </w:r>
          </w:p>
        </w:tc>
        <w:tc>
          <w:tcPr>
            <w:tcW w:w="48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41,542</w:t>
            </w: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39,353</w:t>
            </w:r>
          </w:p>
        </w:tc>
      </w:tr>
      <w:tr>
        <w:trPr>
          <w:trHeight w:val="186"/>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Other operating expenses  . . . . . . . . . . . . . . .</w:t>
            </w:r>
          </w:p>
        </w:tc>
        <w:tc>
          <w:tcPr>
            <w:tcW w:w="6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5,285</w:t>
            </w:r>
          </w:p>
        </w:tc>
        <w:tc>
          <w:tcPr>
            <w:tcW w:w="4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5,758</w:t>
            </w:r>
          </w:p>
        </w:tc>
        <w:tc>
          <w:tcPr>
            <w:tcW w:w="48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16,977</w:t>
            </w: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17,656</w:t>
            </w:r>
          </w:p>
        </w:tc>
      </w:tr>
      <w:tr>
        <w:trPr>
          <w:trHeight w:val="186"/>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Interest and amortization . . . . . . . . . . . . . . .</w:t>
            </w:r>
          </w:p>
        </w:tc>
        <w:tc>
          <w:tcPr>
            <w:tcW w:w="6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1,342</w:t>
            </w:r>
          </w:p>
        </w:tc>
        <w:tc>
          <w:tcPr>
            <w:tcW w:w="4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1,418</w:t>
            </w:r>
          </w:p>
        </w:tc>
        <w:tc>
          <w:tcPr>
            <w:tcW w:w="48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3,760</w:t>
            </w: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4,272</w:t>
            </w:r>
          </w:p>
        </w:tc>
      </w:tr>
      <w:tr>
        <w:trPr>
          <w:trHeight w:val="186"/>
        </w:trPr>
        <w:tc>
          <w:tcPr>
            <w:tcW w:w="6000" w:type="dxa"/>
            <w:vAlign w:val="bottom"/>
          </w:tcPr>
          <w:p>
            <w:pPr>
              <w:spacing w:after="0"/>
              <w:rPr>
                <w:sz w:val="16"/>
                <w:szCs w:val="16"/>
                <w:color w:val="auto"/>
              </w:rPr>
            </w:pP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Total expenses  . . . . . . . . . . . . . . . . . . .</w:t>
            </w:r>
          </w:p>
        </w:tc>
        <w:tc>
          <w:tcPr>
            <w:tcW w:w="680" w:type="dxa"/>
            <w:vAlign w:val="bottom"/>
          </w:tcPr>
          <w:p>
            <w:pPr>
              <w:spacing w:after="0"/>
              <w:rPr>
                <w:sz w:val="16"/>
                <w:szCs w:val="16"/>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w w:val="97"/>
              </w:rPr>
              <w:t>20,118</w:t>
            </w:r>
          </w:p>
        </w:tc>
        <w:tc>
          <w:tcPr>
            <w:tcW w:w="440" w:type="dxa"/>
            <w:vAlign w:val="bottom"/>
          </w:tcPr>
          <w:p>
            <w:pPr>
              <w:spacing w:after="0"/>
              <w:rPr>
                <w:sz w:val="16"/>
                <w:szCs w:val="16"/>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w w:val="97"/>
              </w:rPr>
              <w:t>20,214</w:t>
            </w:r>
          </w:p>
        </w:tc>
        <w:tc>
          <w:tcPr>
            <w:tcW w:w="480" w:type="dxa"/>
            <w:vAlign w:val="bottom"/>
          </w:tcPr>
          <w:p>
            <w:pPr>
              <w:spacing w:after="0"/>
              <w:rPr>
                <w:sz w:val="16"/>
                <w:szCs w:val="16"/>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62,279</w:t>
            </w:r>
          </w:p>
        </w:tc>
        <w:tc>
          <w:tcPr>
            <w:tcW w:w="4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61,281</w:t>
            </w:r>
          </w:p>
        </w:tc>
      </w:tr>
      <w:tr>
        <w:trPr>
          <w:trHeight w:val="186"/>
        </w:trPr>
        <w:tc>
          <w:tcPr>
            <w:tcW w:w="6000" w:type="dxa"/>
            <w:vAlign w:val="bottom"/>
          </w:tcPr>
          <w:p>
            <w:pPr>
              <w:spacing w:after="0"/>
              <w:rPr>
                <w:sz w:val="16"/>
                <w:szCs w:val="16"/>
                <w:color w:val="auto"/>
              </w:rPr>
            </w:pP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Income before income taxes  . . . . . . . . . . . . . . .</w:t>
            </w:r>
          </w:p>
        </w:tc>
        <w:tc>
          <w:tcPr>
            <w:tcW w:w="680" w:type="dxa"/>
            <w:vAlign w:val="bottom"/>
          </w:tcPr>
          <w:p>
            <w:pPr>
              <w:spacing w:after="0"/>
              <w:rPr>
                <w:sz w:val="24"/>
                <w:szCs w:val="24"/>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6,232</w:t>
            </w:r>
          </w:p>
        </w:tc>
        <w:tc>
          <w:tcPr>
            <w:tcW w:w="440" w:type="dxa"/>
            <w:vAlign w:val="bottom"/>
          </w:tcPr>
          <w:p>
            <w:pPr>
              <w:spacing w:after="0"/>
              <w:rPr>
                <w:sz w:val="24"/>
                <w:szCs w:val="24"/>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4,825</w:t>
            </w:r>
          </w:p>
        </w:tc>
        <w:tc>
          <w:tcPr>
            <w:tcW w:w="480" w:type="dxa"/>
            <w:vAlign w:val="bottom"/>
          </w:tcPr>
          <w:p>
            <w:pPr>
              <w:spacing w:after="0"/>
              <w:rPr>
                <w:sz w:val="24"/>
                <w:szCs w:val="24"/>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w w:val="97"/>
              </w:rPr>
              <w:t>17,060</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w w:val="97"/>
              </w:rPr>
              <w:t>15,621</w:t>
            </w:r>
          </w:p>
        </w:tc>
      </w:tr>
      <w:tr>
        <w:trPr>
          <w:trHeight w:val="373"/>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Income taxes  . . . . . . . . . . . . . . . . . . . . . .</w:t>
            </w:r>
          </w:p>
        </w:tc>
        <w:tc>
          <w:tcPr>
            <w:tcW w:w="680" w:type="dxa"/>
            <w:vAlign w:val="bottom"/>
          </w:tcPr>
          <w:p>
            <w:pPr>
              <w:spacing w:after="0"/>
              <w:rPr>
                <w:sz w:val="24"/>
                <w:szCs w:val="24"/>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2,400</w:t>
            </w:r>
          </w:p>
        </w:tc>
        <w:tc>
          <w:tcPr>
            <w:tcW w:w="440" w:type="dxa"/>
            <w:vAlign w:val="bottom"/>
          </w:tcPr>
          <w:p>
            <w:pPr>
              <w:spacing w:after="0"/>
              <w:rPr>
                <w:sz w:val="24"/>
                <w:szCs w:val="24"/>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1,269</w:t>
            </w:r>
          </w:p>
        </w:tc>
        <w:tc>
          <w:tcPr>
            <w:tcW w:w="480" w:type="dxa"/>
            <w:vAlign w:val="bottom"/>
          </w:tcPr>
          <w:p>
            <w:pPr>
              <w:spacing w:after="0"/>
              <w:rPr>
                <w:sz w:val="24"/>
                <w:szCs w:val="24"/>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6,117</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5,401</w:t>
            </w:r>
          </w:p>
        </w:tc>
      </w:tr>
      <w:tr>
        <w:trPr>
          <w:trHeight w:val="186"/>
        </w:trPr>
        <w:tc>
          <w:tcPr>
            <w:tcW w:w="6000" w:type="dxa"/>
            <w:vAlign w:val="bottom"/>
          </w:tcPr>
          <w:p>
            <w:pPr>
              <w:spacing w:after="0"/>
              <w:rPr>
                <w:sz w:val="16"/>
                <w:szCs w:val="16"/>
                <w:color w:val="auto"/>
              </w:rPr>
            </w:pP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NET INCOME  . . . . . . . . . . . . . . . . . . . . . . .</w:t>
            </w: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$ 3,832</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$ 3,556</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$10,943</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$10,220</w:t>
            </w:r>
          </w:p>
        </w:tc>
      </w:tr>
      <w:tr>
        <w:trPr>
          <w:trHeight w:val="186"/>
        </w:trPr>
        <w:tc>
          <w:tcPr>
            <w:tcW w:w="6000" w:type="dxa"/>
            <w:vAlign w:val="bottom"/>
          </w:tcPr>
          <w:p>
            <w:pPr>
              <w:spacing w:after="0"/>
              <w:rPr>
                <w:sz w:val="16"/>
                <w:szCs w:val="16"/>
                <w:color w:val="auto"/>
              </w:rPr>
            </w:pP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Net income per common and common equivalent share . . . .</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.44</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.41</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1.26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1.18</w:t>
            </w:r>
          </w:p>
        </w:tc>
      </w:tr>
      <w:tr>
        <w:trPr>
          <w:trHeight w:val="186"/>
        </w:trPr>
        <w:tc>
          <w:tcPr>
            <w:tcW w:w="6000" w:type="dxa"/>
            <w:vAlign w:val="bottom"/>
          </w:tcPr>
          <w:p>
            <w:pPr>
              <w:spacing w:after="0"/>
              <w:rPr>
                <w:sz w:val="16"/>
                <w:szCs w:val="16"/>
                <w:color w:val="auto"/>
              </w:rPr>
            </w:pP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Dividends declared per share  . . . . . . . . . . . . . .</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w:t>
            </w:r>
          </w:p>
        </w:tc>
        <w:tc>
          <w:tcPr>
            <w:tcW w:w="480" w:type="dxa"/>
            <w:vAlign w:val="bottom"/>
          </w:tcPr>
          <w:p>
            <w:pPr>
              <w:ind w:left="380"/>
              <w:spacing w:after="0"/>
              <w:rPr>
                <w:sz w:val="20"/>
                <w:szCs w:val="20"/>
                <w:color w:val="auto"/>
              </w:rPr>
            </w:pPr>
            <w:r>
              <w:rPr>
                <w:rFonts w:ascii="Courier New" w:cs="Courier New" w:eastAsia="Courier New" w:hAnsi="Courier New"/>
                <w:sz w:val="16"/>
                <w:szCs w:val="16"/>
                <w:color w:val="auto"/>
                <w:w w:val="82"/>
              </w:rPr>
              <w:t>$</w:t>
            </w: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.36</w:t>
            </w:r>
          </w:p>
        </w:tc>
        <w:tc>
          <w:tcPr>
            <w:tcW w:w="4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r>
      <w:tr>
        <w:trPr>
          <w:trHeight w:val="186"/>
        </w:trPr>
        <w:tc>
          <w:tcPr>
            <w:tcW w:w="6000" w:type="dxa"/>
            <w:vAlign w:val="bottom"/>
          </w:tcPr>
          <w:p>
            <w:pPr>
              <w:spacing w:after="0"/>
              <w:rPr>
                <w:sz w:val="16"/>
                <w:szCs w:val="16"/>
                <w:color w:val="auto"/>
              </w:rPr>
            </w:pPr>
          </w:p>
        </w:tc>
        <w:tc>
          <w:tcPr>
            <w:tcW w:w="16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340" w:type="dxa"/>
            <w:vAlign w:val="bottom"/>
            <w:gridSpan w:val="2"/>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6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Weighted average number of shares outstanding . . . . . .</w:t>
            </w:r>
          </w:p>
        </w:tc>
        <w:tc>
          <w:tcPr>
            <w:tcW w:w="680" w:type="dxa"/>
            <w:vAlign w:val="bottom"/>
          </w:tcPr>
          <w:p>
            <w:pPr>
              <w:spacing w:after="0"/>
              <w:rPr>
                <w:sz w:val="24"/>
                <w:szCs w:val="24"/>
                <w:color w:val="auto"/>
              </w:rPr>
            </w:pPr>
          </w:p>
        </w:tc>
        <w:tc>
          <w:tcPr>
            <w:tcW w:w="92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8,710</w:t>
            </w:r>
          </w:p>
        </w:tc>
        <w:tc>
          <w:tcPr>
            <w:tcW w:w="440" w:type="dxa"/>
            <w:vAlign w:val="bottom"/>
          </w:tcPr>
          <w:p>
            <w:pPr>
              <w:spacing w:after="0"/>
              <w:rPr>
                <w:sz w:val="24"/>
                <w:szCs w:val="24"/>
                <w:color w:val="auto"/>
              </w:rPr>
            </w:pPr>
          </w:p>
        </w:tc>
        <w:tc>
          <w:tcPr>
            <w:tcW w:w="98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8,661</w:t>
            </w:r>
          </w:p>
        </w:tc>
        <w:tc>
          <w:tcPr>
            <w:tcW w:w="480" w:type="dxa"/>
            <w:vAlign w:val="bottom"/>
          </w:tcPr>
          <w:p>
            <w:pPr>
              <w:spacing w:after="0"/>
              <w:rPr>
                <w:sz w:val="24"/>
                <w:szCs w:val="24"/>
                <w:color w:val="auto"/>
              </w:rPr>
            </w:pPr>
          </w:p>
        </w:tc>
        <w:tc>
          <w:tcPr>
            <w:tcW w:w="8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8,695</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8,630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6"/>
          <w:szCs w:val="16"/>
          <w:color w:val="auto"/>
        </w:rPr>
        <w:t>POE &amp; BROWN, INC.</w:t>
      </w:r>
    </w:p>
    <w:p>
      <w:pPr>
        <w:spacing w:after="0" w:line="5"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1340"/>
          </w:cols>
          <w:pgMar w:left="240" w:top="303" w:right="319"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6"/>
          <w:szCs w:val="16"/>
          <w:color w:val="auto"/>
        </w:rPr>
        <w:t>4</w:t>
      </w:r>
    </w:p>
    <w:p>
      <w:pPr>
        <w:spacing w:after="0" w:line="191" w:lineRule="exact"/>
        <w:rPr>
          <w:sz w:val="20"/>
          <w:szCs w:val="20"/>
          <w:color w:val="auto"/>
        </w:rPr>
      </w:pPr>
    </w:p>
    <w:p>
      <w:pPr>
        <w:ind w:left="1360"/>
        <w:spacing w:after="0"/>
        <w:rPr>
          <w:sz w:val="20"/>
          <w:szCs w:val="20"/>
          <w:color w:val="auto"/>
        </w:rPr>
      </w:pPr>
      <w:r>
        <w:rPr>
          <w:rFonts w:ascii="Courier New" w:cs="Courier New" w:eastAsia="Courier New" w:hAnsi="Courier New"/>
          <w:sz w:val="16"/>
          <w:szCs w:val="16"/>
          <w:color w:val="auto"/>
        </w:rPr>
        <w:t>CONDENSED CONSOLIDATED BALANCE SHEETS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00" w:type="dxa"/>
            <w:vAlign w:val="bottom"/>
          </w:tcPr>
          <w:p>
            <w:pPr>
              <w:ind w:left="1840"/>
              <w:spacing w:after="0"/>
              <w:rPr>
                <w:sz w:val="20"/>
                <w:szCs w:val="20"/>
                <w:color w:val="auto"/>
              </w:rPr>
            </w:pPr>
            <w:r>
              <w:rPr>
                <w:rFonts w:ascii="Courier New" w:cs="Courier New" w:eastAsia="Courier New" w:hAnsi="Courier New"/>
                <w:sz w:val="16"/>
                <w:szCs w:val="16"/>
                <w:color w:val="auto"/>
              </w:rPr>
              <w:t>(IN THOUSANDS, EXCEPT PER SHARE AMOUNTS)</w:t>
            </w:r>
          </w:p>
        </w:tc>
        <w:tc>
          <w:tcPr>
            <w:tcW w:w="19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745"/>
        </w:trPr>
        <w:tc>
          <w:tcPr>
            <w:tcW w:w="7700" w:type="dxa"/>
            <w:vAlign w:val="bottom"/>
          </w:tcPr>
          <w:p>
            <w:pPr>
              <w:spacing w:after="0"/>
              <w:rPr>
                <w:sz w:val="24"/>
                <w:szCs w:val="24"/>
                <w:color w:val="auto"/>
              </w:rPr>
            </w:pPr>
          </w:p>
        </w:tc>
        <w:tc>
          <w:tcPr>
            <w:tcW w:w="194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SEPTEMBER 30</w:t>
            </w:r>
          </w:p>
        </w:tc>
        <w:tc>
          <w:tcPr>
            <w:tcW w:w="1400" w:type="dxa"/>
            <w:vAlign w:val="bottom"/>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1995</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299"/>
              <w:spacing w:after="0"/>
              <w:rPr>
                <w:sz w:val="20"/>
                <w:szCs w:val="20"/>
                <w:color w:val="auto"/>
              </w:rPr>
            </w:pPr>
            <w:r>
              <w:rPr>
                <w:rFonts w:ascii="Courier New" w:cs="Courier New" w:eastAsia="Courier New" w:hAnsi="Courier New"/>
                <w:sz w:val="16"/>
                <w:szCs w:val="16"/>
                <w:color w:val="auto"/>
              </w:rPr>
              <w:t>----</w:t>
            </w:r>
          </w:p>
        </w:tc>
      </w:tr>
      <w:tr>
        <w:trPr>
          <w:trHeight w:val="373"/>
        </w:trPr>
        <w:tc>
          <w:tcPr>
            <w:tcW w:w="770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Cash and cash equivalents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$ 31,287</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$ 23,185</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Short-term investments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685</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787</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Premiums receivable from customers, less allowance for</w:t>
            </w:r>
          </w:p>
        </w:tc>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7700" w:type="dxa"/>
            <w:vAlign w:val="bottom"/>
          </w:tcPr>
          <w:p>
            <w:pPr>
              <w:ind w:left="300"/>
              <w:spacing w:after="0"/>
              <w:rPr>
                <w:sz w:val="20"/>
                <w:szCs w:val="20"/>
                <w:color w:val="auto"/>
              </w:rPr>
            </w:pPr>
            <w:r>
              <w:rPr>
                <w:rFonts w:ascii="Courier New" w:cs="Courier New" w:eastAsia="Courier New" w:hAnsi="Courier New"/>
                <w:sz w:val="16"/>
                <w:szCs w:val="16"/>
                <w:color w:val="auto"/>
              </w:rPr>
              <w:t>doubtful accounts of $100 in 1995 and $69 in 1994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49,268</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56,784</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Other current assets  .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6,622</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6,779</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Total current assets  .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87,862</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87,535</w:t>
            </w:r>
          </w:p>
        </w:tc>
      </w:tr>
      <w:tr>
        <w:trPr>
          <w:trHeight w:val="373"/>
        </w:trPr>
        <w:tc>
          <w:tcPr>
            <w:tcW w:w="7700" w:type="dxa"/>
            <w:vAlign w:val="bottom"/>
          </w:tcPr>
          <w:p>
            <w:pPr>
              <w:spacing w:after="0"/>
              <w:rPr>
                <w:sz w:val="20"/>
                <w:szCs w:val="20"/>
                <w:color w:val="auto"/>
              </w:rPr>
            </w:pPr>
            <w:r>
              <w:rPr>
                <w:rFonts w:ascii="Courier New" w:cs="Courier New" w:eastAsia="Courier New" w:hAnsi="Courier New"/>
                <w:sz w:val="16"/>
                <w:szCs w:val="16"/>
                <w:color w:val="auto"/>
              </w:rPr>
              <w:t>Property and equipment, net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9,552</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8,330</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Intangible assets, net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35,607</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32,973</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Other assets  . . . . .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12,239</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12,142</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Total assets  . . . . .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$145,260</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$140,980</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7700" w:type="dxa"/>
            <w:vAlign w:val="bottom"/>
          </w:tcPr>
          <w:p>
            <w:pPr>
              <w:spacing w:after="0"/>
              <w:rPr>
                <w:sz w:val="20"/>
                <w:szCs w:val="20"/>
                <w:color w:val="auto"/>
              </w:rPr>
            </w:pPr>
            <w:r>
              <w:rPr>
                <w:rFonts w:ascii="Courier New" w:cs="Courier New" w:eastAsia="Courier New" w:hAnsi="Courier New"/>
                <w:sz w:val="16"/>
                <w:szCs w:val="16"/>
                <w:color w:val="auto"/>
              </w:rPr>
              <w:t>LIABILITIES</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Premiums payable to insurance companies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$ 63,274</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$ 63,195</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Premium deposits and credits due customers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4,972</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6,970</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7,328</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8,302</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Current portion of long-term debt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1,420</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1,434</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Total current liabilities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76,994</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79,901</w:t>
            </w:r>
          </w:p>
        </w:tc>
      </w:tr>
      <w:tr>
        <w:trPr>
          <w:trHeight w:val="373"/>
        </w:trPr>
        <w:tc>
          <w:tcPr>
            <w:tcW w:w="7700" w:type="dxa"/>
            <w:vAlign w:val="bottom"/>
          </w:tcPr>
          <w:p>
            <w:pPr>
              <w:spacing w:after="0"/>
              <w:rPr>
                <w:sz w:val="20"/>
                <w:szCs w:val="20"/>
                <w:color w:val="auto"/>
              </w:rPr>
            </w:pPr>
            <w:r>
              <w:rPr>
                <w:rFonts w:ascii="Courier New" w:cs="Courier New" w:eastAsia="Courier New" w:hAnsi="Courier New"/>
                <w:sz w:val="16"/>
                <w:szCs w:val="16"/>
                <w:color w:val="auto"/>
              </w:rPr>
              <w:t>Long-term debt  . . . .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7,484</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7,430</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Deferred income taxes .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2,299</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3,778</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Other liabilities . . .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6,553</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5,765</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Total liabilities . . .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93,330</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96,874</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770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Common stock, $.10 par value:</w:t>
            </w:r>
          </w:p>
        </w:tc>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7700" w:type="dxa"/>
            <w:vAlign w:val="bottom"/>
          </w:tcPr>
          <w:p>
            <w:pPr>
              <w:ind w:left="300"/>
              <w:spacing w:after="0"/>
              <w:rPr>
                <w:sz w:val="20"/>
                <w:szCs w:val="20"/>
                <w:color w:val="auto"/>
              </w:rPr>
            </w:pPr>
            <w:r>
              <w:rPr>
                <w:rFonts w:ascii="Courier New" w:cs="Courier New" w:eastAsia="Courier New" w:hAnsi="Courier New"/>
                <w:sz w:val="16"/>
                <w:szCs w:val="16"/>
                <w:color w:val="auto"/>
              </w:rPr>
              <w:t>Authorized 18,000 shares; issued 8,681 shares</w:t>
            </w:r>
          </w:p>
        </w:tc>
        <w:tc>
          <w:tcPr>
            <w:tcW w:w="19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6"/>
        </w:trPr>
        <w:tc>
          <w:tcPr>
            <w:tcW w:w="7700" w:type="dxa"/>
            <w:vAlign w:val="bottom"/>
          </w:tcPr>
          <w:p>
            <w:pPr>
              <w:ind w:left="300"/>
              <w:spacing w:after="0"/>
              <w:rPr>
                <w:sz w:val="20"/>
                <w:szCs w:val="20"/>
                <w:color w:val="auto"/>
              </w:rPr>
            </w:pPr>
            <w:r>
              <w:rPr>
                <w:rFonts w:ascii="Courier New" w:cs="Courier New" w:eastAsia="Courier New" w:hAnsi="Courier New"/>
                <w:sz w:val="16"/>
                <w:szCs w:val="16"/>
                <w:color w:val="auto"/>
              </w:rPr>
              <w:t>in 1995 and 8,635 in 1994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868</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864</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Additional paid-in capital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2,338</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2,241</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Retained earnings . . . . .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43,497</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35,660</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Unrealized appreciation of available-for-sale securities, net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5,227</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5,341</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186"/>
        </w:trPr>
        <w:tc>
          <w:tcPr>
            <w:tcW w:w="7700" w:type="dxa"/>
            <w:vAlign w:val="bottom"/>
          </w:tcPr>
          <w:p>
            <w:pPr>
              <w:spacing w:after="0"/>
              <w:rPr>
                <w:sz w:val="20"/>
                <w:szCs w:val="20"/>
                <w:color w:val="auto"/>
              </w:rPr>
            </w:pPr>
            <w:r>
              <w:rPr>
                <w:rFonts w:ascii="Courier New" w:cs="Courier New" w:eastAsia="Courier New" w:hAnsi="Courier New"/>
                <w:sz w:val="16"/>
                <w:szCs w:val="16"/>
                <w:color w:val="auto"/>
              </w:rPr>
              <w:t>Total shareholders' equity  . . . . . . . .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51,930</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44,106</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r>
        <w:trPr>
          <w:trHeight w:val="373"/>
        </w:trPr>
        <w:tc>
          <w:tcPr>
            <w:tcW w:w="7700" w:type="dxa"/>
            <w:vAlign w:val="bottom"/>
          </w:tcPr>
          <w:p>
            <w:pPr>
              <w:spacing w:after="0"/>
              <w:rPr>
                <w:sz w:val="20"/>
                <w:szCs w:val="20"/>
                <w:color w:val="auto"/>
              </w:rPr>
            </w:pPr>
            <w:r>
              <w:rPr>
                <w:rFonts w:ascii="Courier New" w:cs="Courier New" w:eastAsia="Courier New" w:hAnsi="Courier New"/>
                <w:sz w:val="16"/>
                <w:szCs w:val="16"/>
                <w:color w:val="auto"/>
              </w:rPr>
              <w:t>Total liabilities and shareholders' equity  . . . . . . . . . . . . . . . .</w:t>
            </w: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$145,260</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$140,980</w:t>
            </w:r>
          </w:p>
        </w:tc>
      </w:tr>
      <w:tr>
        <w:trPr>
          <w:trHeight w:val="186"/>
        </w:trPr>
        <w:tc>
          <w:tcPr>
            <w:tcW w:w="7700" w:type="dxa"/>
            <w:vAlign w:val="bottom"/>
          </w:tcPr>
          <w:p>
            <w:pPr>
              <w:spacing w:after="0"/>
              <w:rPr>
                <w:sz w:val="16"/>
                <w:szCs w:val="16"/>
                <w:color w:val="auto"/>
              </w:rPr>
            </w:pPr>
          </w:p>
        </w:tc>
        <w:tc>
          <w:tcPr>
            <w:tcW w:w="194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POE &amp; BROWN, INC.</w:t>
      </w:r>
    </w:p>
    <w:p>
      <w:pPr>
        <w:spacing w:after="0" w:line="5" w:lineRule="exact"/>
        <w:rPr>
          <w:sz w:val="20"/>
          <w:szCs w:val="20"/>
          <w:color w:val="auto"/>
        </w:rPr>
      </w:pPr>
    </w:p>
    <w:p>
      <w:pPr>
        <w:jc w:val="center"/>
        <w:ind w:right="358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040"/>
          </w:cols>
          <w:pgMar w:left="240" w:top="303" w:right="619" w:bottom="1440" w:gutter="0" w:footer="0" w:header="0"/>
        </w:sectPr>
      </w:pPr>
    </w:p>
    <w:bookmarkStart w:id="4" w:name="page5"/>
    <w:bookmarkEnd w:id="4"/>
    <w:p>
      <w:pPr>
        <w:ind w:left="300"/>
        <w:spacing w:after="0"/>
        <w:rPr>
          <w:sz w:val="20"/>
          <w:szCs w:val="20"/>
          <w:color w:val="auto"/>
        </w:rPr>
      </w:pPr>
      <w:r>
        <w:rPr>
          <w:rFonts w:ascii="Courier New" w:cs="Courier New" w:eastAsia="Courier New" w:hAnsi="Courier New"/>
          <w:sz w:val="16"/>
          <w:szCs w:val="16"/>
          <w:color w:val="auto"/>
        </w:rPr>
        <w:t>5</w:t>
      </w:r>
    </w:p>
    <w:p>
      <w:pPr>
        <w:spacing w:after="0" w:line="191" w:lineRule="exact"/>
        <w:rPr>
          <w:sz w:val="20"/>
          <w:szCs w:val="20"/>
          <w:color w:val="auto"/>
        </w:rPr>
      </w:pPr>
    </w:p>
    <w:p>
      <w:pPr>
        <w:ind w:left="880"/>
        <w:spacing w:after="0"/>
        <w:rPr>
          <w:sz w:val="20"/>
          <w:szCs w:val="20"/>
          <w:color w:val="auto"/>
        </w:rPr>
      </w:pPr>
      <w:r>
        <w:rPr>
          <w:rFonts w:ascii="Courier New" w:cs="Courier New" w:eastAsia="Courier New" w:hAnsi="Courier New"/>
          <w:sz w:val="16"/>
          <w:szCs w:val="16"/>
          <w:color w:val="auto"/>
        </w:rPr>
        <w:t>CONDENSED CONSOLIDATED STATEMENTS OF CASH FLOWS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500" w:type="dxa"/>
            <w:vAlign w:val="bottom"/>
          </w:tcPr>
          <w:p>
            <w:pPr>
              <w:ind w:left="3100"/>
              <w:spacing w:after="0"/>
              <w:rPr>
                <w:sz w:val="20"/>
                <w:szCs w:val="20"/>
                <w:color w:val="auto"/>
              </w:rPr>
            </w:pPr>
            <w:r>
              <w:rPr>
                <w:rFonts w:ascii="Courier New" w:cs="Courier New" w:eastAsia="Courier New" w:hAnsi="Courier New"/>
                <w:sz w:val="16"/>
                <w:szCs w:val="16"/>
                <w:color w:val="auto"/>
              </w:rPr>
              <w:t>(IN THOUSANDS)</w:t>
            </w:r>
          </w:p>
        </w:tc>
        <w:tc>
          <w:tcPr>
            <w:tcW w:w="2100" w:type="dxa"/>
            <w:vAlign w:val="bottom"/>
          </w:tcPr>
          <w:p>
            <w:pPr>
              <w:spacing w:after="0"/>
              <w:rPr>
                <w:sz w:val="15"/>
                <w:szCs w:val="15"/>
                <w:color w:val="auto"/>
              </w:rPr>
            </w:pPr>
          </w:p>
        </w:tc>
        <w:tc>
          <w:tcPr>
            <w:tcW w:w="1920" w:type="dxa"/>
            <w:vAlign w:val="bottom"/>
          </w:tcPr>
          <w:p>
            <w:pPr>
              <w:spacing w:after="0"/>
              <w:rPr>
                <w:sz w:val="15"/>
                <w:szCs w:val="15"/>
                <w:color w:val="auto"/>
              </w:rPr>
            </w:pPr>
          </w:p>
        </w:tc>
      </w:tr>
      <w:tr>
        <w:trPr>
          <w:trHeight w:val="932"/>
        </w:trPr>
        <w:tc>
          <w:tcPr>
            <w:tcW w:w="7500" w:type="dxa"/>
            <w:vAlign w:val="bottom"/>
          </w:tcPr>
          <w:p>
            <w:pPr>
              <w:spacing w:after="0"/>
              <w:rPr>
                <w:sz w:val="24"/>
                <w:szCs w:val="24"/>
                <w:color w:val="auto"/>
              </w:rPr>
            </w:pPr>
          </w:p>
        </w:tc>
        <w:tc>
          <w:tcPr>
            <w:tcW w:w="4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FOR THE NINE MONTHS ENDED SEPTEMBER 30,</w:t>
            </w:r>
          </w:p>
        </w:tc>
      </w:tr>
      <w:tr>
        <w:trPr>
          <w:trHeight w:val="186"/>
        </w:trPr>
        <w:tc>
          <w:tcPr>
            <w:tcW w:w="7500" w:type="dxa"/>
            <w:vAlign w:val="bottom"/>
          </w:tcPr>
          <w:p>
            <w:pPr>
              <w:spacing w:after="0"/>
              <w:rPr>
                <w:sz w:val="16"/>
                <w:szCs w:val="16"/>
                <w:color w:val="auto"/>
              </w:rPr>
            </w:pPr>
          </w:p>
        </w:tc>
        <w:tc>
          <w:tcPr>
            <w:tcW w:w="4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1995</w:t>
            </w:r>
          </w:p>
        </w:tc>
        <w:tc>
          <w:tcPr>
            <w:tcW w:w="19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779"/>
              <w:spacing w:after="0"/>
              <w:rPr>
                <w:sz w:val="20"/>
                <w:szCs w:val="20"/>
                <w:color w:val="auto"/>
              </w:rPr>
            </w:pPr>
            <w:r>
              <w:rPr>
                <w:rFonts w:ascii="Courier New" w:cs="Courier New" w:eastAsia="Courier New" w:hAnsi="Courier New"/>
                <w:sz w:val="16"/>
                <w:szCs w:val="16"/>
                <w:color w:val="auto"/>
              </w:rPr>
              <w:t>----</w:t>
            </w:r>
          </w:p>
        </w:tc>
      </w:tr>
      <w:tr>
        <w:trPr>
          <w:trHeight w:val="373"/>
        </w:trPr>
        <w:tc>
          <w:tcPr>
            <w:tcW w:w="75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2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Net income  . . . . . . . . . . . . . . . . .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$10,943</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$10,220</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Adjustments to reconcile net income to net cash</w:t>
            </w:r>
          </w:p>
        </w:tc>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6"/>
        </w:trPr>
        <w:tc>
          <w:tcPr>
            <w:tcW w:w="7500" w:type="dxa"/>
            <w:vAlign w:val="bottom"/>
          </w:tcPr>
          <w:p>
            <w:pPr>
              <w:ind w:left="200"/>
              <w:spacing w:after="0"/>
              <w:rPr>
                <w:sz w:val="20"/>
                <w:szCs w:val="20"/>
                <w:color w:val="auto"/>
              </w:rPr>
            </w:pPr>
            <w:r>
              <w:rPr>
                <w:rFonts w:ascii="Courier New" w:cs="Courier New" w:eastAsia="Courier New" w:hAnsi="Courier New"/>
                <w:sz w:val="16"/>
                <w:szCs w:val="16"/>
                <w:color w:val="auto"/>
              </w:rPr>
              <w:t>provided by operating activities:</w:t>
            </w:r>
          </w:p>
        </w:tc>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 . . . . . . . .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4,916</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4,452</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Provision for doubtful accounts . . . . . . .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31</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Deferred income taxes . . . . . . . . . . . . . . .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(1,639)</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(1,047)</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Net gains on sales of investments, fixed assets</w:t>
            </w:r>
          </w:p>
        </w:tc>
        <w:tc>
          <w:tcPr>
            <w:tcW w:w="2100" w:type="dxa"/>
            <w:vAlign w:val="bottom"/>
          </w:tcPr>
          <w:p>
            <w:pPr>
              <w:spacing w:after="0"/>
              <w:rPr>
                <w:sz w:val="16"/>
                <w:szCs w:val="16"/>
                <w:color w:val="auto"/>
              </w:rPr>
            </w:pPr>
          </w:p>
        </w:tc>
        <w:tc>
          <w:tcPr>
            <w:tcW w:w="1920" w:type="dxa"/>
            <w:vAlign w:val="bottom"/>
          </w:tcPr>
          <w:p>
            <w:pPr>
              <w:spacing w:after="0"/>
              <w:rPr>
                <w:sz w:val="16"/>
                <w:szCs w:val="16"/>
                <w:color w:val="auto"/>
              </w:rPr>
            </w:pPr>
          </w:p>
        </w:tc>
      </w:tr>
      <w:tr>
        <w:trPr>
          <w:trHeight w:val="186"/>
        </w:trPr>
        <w:tc>
          <w:tcPr>
            <w:tcW w:w="7500" w:type="dxa"/>
            <w:vAlign w:val="bottom"/>
          </w:tcPr>
          <w:p>
            <w:pPr>
              <w:ind w:left="200"/>
              <w:spacing w:after="0"/>
              <w:rPr>
                <w:sz w:val="20"/>
                <w:szCs w:val="20"/>
                <w:color w:val="auto"/>
              </w:rPr>
            </w:pPr>
            <w:r>
              <w:rPr>
                <w:rFonts w:ascii="Courier New" w:cs="Courier New" w:eastAsia="Courier New" w:hAnsi="Courier New"/>
                <w:sz w:val="16"/>
                <w:szCs w:val="16"/>
                <w:color w:val="auto"/>
              </w:rPr>
              <w:t>and customer accounts . . . . . . . . . . . . . .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(498)</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(2,161)</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Premiums and commissions receivable, decrease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7,485</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8,155</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Other assets, (increase) decrease . . . . . . . . .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(135)</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103</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Premiums payable to insurance companies, increase (decrease)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79</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(10,558)</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Premium deposit and credits due customers, (decrease)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(1,998)</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(625)</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Accounts payable and accrued expenses, (decrease) .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(974)</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(1,389)</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Other liabilities, increase . . . . . . . . .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788</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1,060</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NET CASH PROVIDED BY OPERATING ACTIVITIES . .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18,998</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8,210</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373"/>
        </w:trPr>
        <w:tc>
          <w:tcPr>
            <w:tcW w:w="75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2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Additions to property and equipment . . . . . . . .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(3,092)</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(2,105)</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Payments for businesses acquired, net of cash acquired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(3,935)</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Proceeds from sales of fixed assets and customer accounts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520</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345</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Purchases of investments  . . . . . . . . . . . . .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(303)</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Proceeds from sales of investments  . . . . .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413</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2,366</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Other investing activities, net . . . . . . .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(12)</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NET CASH (USED IN) PROVIDED BY INVESTING ACTIVITIES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(6,397)</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594</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373"/>
        </w:trPr>
        <w:tc>
          <w:tcPr>
            <w:tcW w:w="75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21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Payments on long term debt and notes payable  . . .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(1,995)</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(10,127)</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Proceeds from long term debt and notes payable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500</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3,300</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Exercise of stock options, issuance of stock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102</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1,536</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Cash dividends paid . . . . . . . . . . . . . . . .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(3,106)</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(2,712)</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NET CASH (USED IN) FINANCING ACTIVITIES . . . . . . . . . . . . . . . . . .</w:t>
            </w:r>
          </w:p>
        </w:tc>
        <w:tc>
          <w:tcPr>
            <w:tcW w:w="210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(4,499)</w:t>
            </w:r>
          </w:p>
        </w:tc>
        <w:tc>
          <w:tcPr>
            <w:tcW w:w="1920" w:type="dxa"/>
            <w:vAlign w:val="bottom"/>
          </w:tcPr>
          <w:p>
            <w:pPr>
              <w:jc w:val="right"/>
              <w:ind w:right="579"/>
              <w:spacing w:after="0"/>
              <w:rPr>
                <w:sz w:val="20"/>
                <w:szCs w:val="20"/>
                <w:color w:val="auto"/>
              </w:rPr>
            </w:pPr>
            <w:r>
              <w:rPr>
                <w:rFonts w:ascii="Courier New" w:cs="Courier New" w:eastAsia="Courier New" w:hAnsi="Courier New"/>
                <w:sz w:val="16"/>
                <w:szCs w:val="16"/>
                <w:color w:val="auto"/>
              </w:rPr>
              <w:t>(8,003)</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373"/>
        </w:trPr>
        <w:tc>
          <w:tcPr>
            <w:tcW w:w="7500" w:type="dxa"/>
            <w:vAlign w:val="bottom"/>
          </w:tcPr>
          <w:p>
            <w:pPr>
              <w:spacing w:after="0"/>
              <w:rPr>
                <w:sz w:val="20"/>
                <w:szCs w:val="20"/>
                <w:color w:val="auto"/>
              </w:rPr>
            </w:pPr>
            <w:r>
              <w:rPr>
                <w:rFonts w:ascii="Courier New" w:cs="Courier New" w:eastAsia="Courier New" w:hAnsi="Courier New"/>
                <w:sz w:val="16"/>
                <w:szCs w:val="16"/>
                <w:color w:val="auto"/>
              </w:rPr>
              <w:t>Net increase in cash and cash equivalents . .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8,102</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801</w:t>
            </w:r>
          </w:p>
        </w:tc>
      </w:tr>
      <w:tr>
        <w:trPr>
          <w:trHeight w:val="186"/>
        </w:trPr>
        <w:tc>
          <w:tcPr>
            <w:tcW w:w="75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23,185</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27,132</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r>
        <w:trPr>
          <w:trHeight w:val="373"/>
        </w:trPr>
        <w:tc>
          <w:tcPr>
            <w:tcW w:w="750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  . . . . . . . . . . . . . . . .</w:t>
            </w: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$31,287</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$ 27,933</w:t>
            </w:r>
          </w:p>
        </w:tc>
      </w:tr>
      <w:tr>
        <w:trPr>
          <w:trHeight w:val="186"/>
        </w:trPr>
        <w:tc>
          <w:tcPr>
            <w:tcW w:w="7500" w:type="dxa"/>
            <w:vAlign w:val="bottom"/>
          </w:tcPr>
          <w:p>
            <w:pPr>
              <w:spacing w:after="0"/>
              <w:rPr>
                <w:sz w:val="16"/>
                <w:szCs w:val="16"/>
                <w:color w:val="auto"/>
              </w:rPr>
            </w:pPr>
          </w:p>
        </w:tc>
        <w:tc>
          <w:tcPr>
            <w:tcW w:w="210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1920" w:type="dxa"/>
            <w:vAlign w:val="bottom"/>
          </w:tcPr>
          <w:p>
            <w:pPr>
              <w:jc w:val="right"/>
              <w:ind w:right="67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3"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POE &amp; BROWN, INC.</w:t>
      </w:r>
    </w:p>
    <w:p>
      <w:pPr>
        <w:spacing w:after="0" w:line="5"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303" w:right="139"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6"/>
          <w:szCs w:val="16"/>
          <w:color w:val="auto"/>
        </w:rPr>
        <w:t>6</w:t>
      </w:r>
    </w:p>
    <w:p>
      <w:pPr>
        <w:spacing w:after="0" w:line="191"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NOTES TO CONDENSED CONSOLIDATED FINANCIAL STATEMENTS (UNAUDITED)</w:t>
      </w:r>
    </w:p>
    <w:p>
      <w:pPr>
        <w:spacing w:after="0" w:line="191"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SEPTEMBER 30, 1995</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 1 - BASIS OF FINANCIAL REPORTING</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The accompanying unaudited condensed consolidated financial statements have been prepared in accordance with generally accepted accounting principles for interim financial information and with the instructions for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For further information, refer to the consolidated financial statements and the notes thereto included in the Company's Annual Report on Form 10-K for the year ended December 31, 1994. Certain reclassifications have been made to the accompanying unaudited condensed consolidated financial statements for the period ended September 30, 1994 to make them conform to the 1995 presentation.</w:t>
      </w:r>
    </w:p>
    <w:p>
      <w:pPr>
        <w:spacing w:after="0" w:line="193" w:lineRule="exact"/>
        <w:rPr>
          <w:sz w:val="20"/>
          <w:szCs w:val="20"/>
          <w:color w:val="auto"/>
        </w:rPr>
      </w:pPr>
    </w:p>
    <w:p>
      <w:pPr>
        <w:ind w:right="2859" w:firstLine="581"/>
        <w:spacing w:after="0" w:line="247" w:lineRule="auto"/>
        <w:rPr>
          <w:sz w:val="20"/>
          <w:szCs w:val="20"/>
          <w:color w:val="auto"/>
        </w:rPr>
      </w:pPr>
      <w:r>
        <w:rPr>
          <w:rFonts w:ascii="Courier New" w:cs="Courier New" w:eastAsia="Courier New" w:hAnsi="Courier New"/>
          <w:sz w:val="16"/>
          <w:szCs w:val="16"/>
          <w:color w:val="auto"/>
        </w:rPr>
        <w:t>Results of operations for the three- and nine-month periods ended September 30, 1995 are not necessarily indicative of the results that may be expected for the year ending December 31, 1995.</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 2 - NET INCOME PER SHARE</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Net income per share is based upon the weighted average number of shares outstanding, adjusted for the dilutive effect of stock options, which is the same on both a primary and a fully-diluted basis.</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 3 - MERGER AND ACQUISITIONS</w:t>
      </w:r>
    </w:p>
    <w:p>
      <w:pPr>
        <w:spacing w:after="0" w:line="191" w:lineRule="exact"/>
        <w:rPr>
          <w:sz w:val="20"/>
          <w:szCs w:val="20"/>
          <w:color w:val="auto"/>
        </w:rPr>
      </w:pPr>
    </w:p>
    <w:p>
      <w:pPr>
        <w:ind w:right="2659" w:firstLine="581"/>
        <w:spacing w:after="0" w:line="246" w:lineRule="auto"/>
        <w:rPr>
          <w:sz w:val="20"/>
          <w:szCs w:val="20"/>
          <w:color w:val="auto"/>
        </w:rPr>
      </w:pPr>
      <w:r>
        <w:rPr>
          <w:rFonts w:ascii="Courier New" w:cs="Courier New" w:eastAsia="Courier New" w:hAnsi="Courier New"/>
          <w:sz w:val="16"/>
          <w:szCs w:val="16"/>
          <w:color w:val="auto"/>
        </w:rPr>
        <w:t>On March 1, 1995, the Company issued 146,300 shares of its common stock for all of the partnership interest in Insurance West, a Phoenix, Arizona general insurance company. The merger has been accounted for as a pooling-of-interests and, accordingly, the Company's consolidated financial statements have been restated for all periods prior to the merger to include the results of operations, financial position, and cash flows of Insurance West. The separate company operating results of Insurance West for periods prior to the merger are not material to the Company's consolidated operating results.</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During the first quarter of 1995 the Company acquired substantially all</w:t>
      </w:r>
    </w:p>
    <w:p>
      <w:pPr>
        <w:spacing w:after="0" w:line="5" w:lineRule="exact"/>
        <w:rPr>
          <w:sz w:val="20"/>
          <w:szCs w:val="20"/>
          <w:color w:val="auto"/>
        </w:rPr>
      </w:pPr>
    </w:p>
    <w:p>
      <w:pPr>
        <w:spacing w:after="0"/>
        <w:tabs>
          <w:tab w:leader="none" w:pos="6380" w:val="left"/>
        </w:tabs>
        <w:rPr>
          <w:sz w:val="20"/>
          <w:szCs w:val="20"/>
          <w:color w:val="auto"/>
        </w:rPr>
      </w:pPr>
      <w:r>
        <w:rPr>
          <w:rFonts w:ascii="Courier New" w:cs="Courier New" w:eastAsia="Courier New" w:hAnsi="Courier New"/>
          <w:sz w:val="16"/>
          <w:szCs w:val="16"/>
          <w:color w:val="auto"/>
        </w:rPr>
        <w:t>of the assets of King Insurance Agency, Inc. of Naples, Florida.</w:t>
      </w:r>
      <w:r>
        <w:rPr>
          <w:sz w:val="20"/>
          <w:szCs w:val="20"/>
          <w:color w:val="auto"/>
        </w:rPr>
        <w:tab/>
      </w:r>
      <w:r>
        <w:rPr>
          <w:rFonts w:ascii="Courier New" w:cs="Courier New" w:eastAsia="Courier New" w:hAnsi="Courier New"/>
          <w:sz w:val="15"/>
          <w:szCs w:val="15"/>
          <w:color w:val="auto"/>
        </w:rPr>
        <w:t>During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second quarter of 1995, the Company acquired substantially all of the assets of</w:t>
      </w:r>
    </w:p>
    <w:p>
      <w:pPr>
        <w:spacing w:after="0" w:line="5" w:lineRule="exact"/>
        <w:rPr>
          <w:sz w:val="20"/>
          <w:szCs w:val="20"/>
          <w:color w:val="auto"/>
        </w:rPr>
      </w:pPr>
    </w:p>
    <w:p>
      <w:pPr>
        <w:spacing w:after="0"/>
        <w:tabs>
          <w:tab w:leader="none" w:pos="5500" w:val="left"/>
        </w:tabs>
        <w:rPr>
          <w:sz w:val="20"/>
          <w:szCs w:val="20"/>
          <w:color w:val="auto"/>
        </w:rPr>
      </w:pPr>
      <w:r>
        <w:rPr>
          <w:rFonts w:ascii="Courier New" w:cs="Courier New" w:eastAsia="Courier New" w:hAnsi="Courier New"/>
          <w:sz w:val="16"/>
          <w:szCs w:val="16"/>
          <w:color w:val="auto"/>
        </w:rPr>
        <w:t>S. Lloyd Underwriters, Inc. of Ft. Lauderdale, Florida.</w:t>
        <w:tab/>
        <w:t>During the third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quarter of 1995, the Company acquired substantially all of the assets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Roehrig/Flood &amp; Associates, Inc. of St. Petersburg, Florida and the Robert</w:t>
      </w:r>
    </w:p>
    <w:p>
      <w:pPr>
        <w:spacing w:after="0" w:line="5" w:lineRule="exact"/>
        <w:rPr>
          <w:sz w:val="20"/>
          <w:szCs w:val="20"/>
          <w:color w:val="auto"/>
        </w:rPr>
      </w:pPr>
    </w:p>
    <w:p>
      <w:pPr>
        <w:spacing w:after="0"/>
        <w:tabs>
          <w:tab w:leader="none" w:pos="6180" w:val="left"/>
        </w:tabs>
        <w:rPr>
          <w:sz w:val="20"/>
          <w:szCs w:val="20"/>
          <w:color w:val="auto"/>
        </w:rPr>
      </w:pPr>
      <w:r>
        <w:rPr>
          <w:rFonts w:ascii="Courier New" w:cs="Courier New" w:eastAsia="Courier New" w:hAnsi="Courier New"/>
          <w:sz w:val="16"/>
          <w:szCs w:val="16"/>
          <w:color w:val="auto"/>
        </w:rPr>
        <w:t>Scott Gordon Insurance Agency of Newtown Square, Pennsylvania.</w:t>
        <w:tab/>
        <w:t>In addition,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during the first and second quarters of 1995 the Company purchased four small</w:t>
      </w:r>
    </w:p>
    <w:p>
      <w:pPr>
        <w:spacing w:after="0" w:line="5" w:lineRule="exact"/>
        <w:rPr>
          <w:sz w:val="20"/>
          <w:szCs w:val="20"/>
          <w:color w:val="auto"/>
        </w:rPr>
      </w:pPr>
    </w:p>
    <w:p>
      <w:pPr>
        <w:spacing w:after="0"/>
        <w:tabs>
          <w:tab w:leader="none" w:pos="3860" w:val="left"/>
        </w:tabs>
        <w:rPr>
          <w:sz w:val="20"/>
          <w:szCs w:val="20"/>
          <w:color w:val="auto"/>
        </w:rPr>
      </w:pPr>
      <w:r>
        <w:rPr>
          <w:rFonts w:ascii="Courier New" w:cs="Courier New" w:eastAsia="Courier New" w:hAnsi="Courier New"/>
          <w:sz w:val="16"/>
          <w:szCs w:val="16"/>
          <w:color w:val="auto"/>
        </w:rPr>
        <w:t>books of business (customer accounts).</w:t>
        <w:tab/>
        <w:t>In connection with these acquisitions,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Company acquired assets valued at $5,560,000 in exchange for cash of</w:t>
      </w:r>
    </w:p>
    <w:p>
      <w:pPr>
        <w:spacing w:after="0" w:line="5"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6"/>
          <w:szCs w:val="16"/>
          <w:color w:val="auto"/>
        </w:rPr>
        <w:t>$4,025,000 and debt of $1,535,000.</w:t>
        <w:tab/>
        <w:t>These acquisitions have been accounted for</w:t>
      </w:r>
    </w:p>
    <w:p>
      <w:pPr>
        <w:spacing w:after="0" w:line="5" w:lineRule="exact"/>
        <w:rPr>
          <w:sz w:val="20"/>
          <w:szCs w:val="20"/>
          <w:color w:val="auto"/>
        </w:rPr>
      </w:pPr>
    </w:p>
    <w:p>
      <w:pPr>
        <w:spacing w:after="0"/>
        <w:tabs>
          <w:tab w:leader="none" w:pos="4040" w:val="left"/>
        </w:tabs>
        <w:rPr>
          <w:sz w:val="20"/>
          <w:szCs w:val="20"/>
          <w:color w:val="auto"/>
        </w:rPr>
      </w:pPr>
      <w:r>
        <w:rPr>
          <w:rFonts w:ascii="Courier New" w:cs="Courier New" w:eastAsia="Courier New" w:hAnsi="Courier New"/>
          <w:sz w:val="16"/>
          <w:szCs w:val="16"/>
          <w:color w:val="auto"/>
        </w:rPr>
        <w:t>using the purchase method of accounting.</w:t>
        <w:tab/>
        <w:t>Pro forma results of operations for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three- and nine-month periods ended September, 1995 and 1994 resulting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these acquisitions were not materially different from the results of</w:t>
      </w:r>
    </w:p>
    <w:p>
      <w:pPr>
        <w:spacing w:after="0" w:line="5"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6"/>
          <w:szCs w:val="16"/>
          <w:color w:val="auto"/>
        </w:rPr>
        <w:t>operations as reported.</w:t>
        <w:tab/>
        <w:t>Their results of operations have been combined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those of the Company since their respective acquisition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303" w:right="1440"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6"/>
          <w:szCs w:val="16"/>
          <w:color w:val="auto"/>
        </w:rPr>
        <w:t>7</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 4 - LONG-TERM DEBT</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The Company continues to maintain its credit agreement with a major insurance company under which up to $6 million presently may be borrowed at an interest rate equal to the prime lending rate plus one percent. The available amount will decrease by $1 million each August, as described in Note 7 to the consolidated financial statements contained in the Company's Annual Report on Form 10-K for the year ended December 31, 1994. As of September 30, 1995, $6 million was outstanding under the agreement.</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The Company currently maintains a revolving credit facility with a national banking institution which provides for available borrowings of up to $10 million. As of September 30, 1995 there were no borrowings against this line of credit.</w:t>
      </w:r>
    </w:p>
    <w:p>
      <w:pPr>
        <w:spacing w:after="0" w:line="186"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 5 - INCOME TAXES</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 1992, the Internal Revenue Service (Service) completed examinations of the Company's federal income tax returns for the tax years 1988, 1989, and</w:t>
      </w:r>
    </w:p>
    <w:p>
      <w:pPr>
        <w:spacing w:after="0" w:line="1"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1990. As a result of its examinations, the Service issued Reports of Proposed Adjustments asserting income tax deficiencies which, by including interest and state income taxes for the periods examined and the Company's estimates of similar adjustments for subsequent periods through December 31, 1993, would total $6,100,000. The disputed items related primarily to the deductibility of amortization of purchased customer accounts of approximately $5,107,000 and non-compete agreements of approximately $993,000. In addition, the Service's report included a dispute regarding the time at which the Company's payments made pursuant to certain indemnity agreements would be deductible for tax reporting purposes. During August 1994, the Company reached a settlement agreement with the Service with respect to certain of the disputed amortization items and the indemnity agreement payment issue. In March 1995, the Company reached a settlement agreement with the Service with respect to the remaining disputed items. Based upon these settlements and after taking into consideration a $250,000 reduction in the Company's general tax reserves resulting from current and expected payments under the settlement agreements, the Company recorded a $450,000 and $700,000 adjustment to decrease reserves in the first quarter of 1995 and the third quarter of 1994, respectively, with a corresponding reduction to its income tax provision.</w:t>
      </w:r>
    </w:p>
    <w:p>
      <w:pPr>
        <w:spacing w:after="0" w:line="197"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NOTE 6 - CONTINGENCIES</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The Company is not a party to any legal proceedings other than various claims and lawsuits arising in the normal course of business. Management of the Company does not believe that any such claims or lawsuits will have a material effect on the Company's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303" w:right="1440"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6"/>
          <w:szCs w:val="16"/>
          <w:color w:val="auto"/>
        </w:rPr>
        <w:t>8</w:t>
      </w:r>
    </w:p>
    <w:p>
      <w:pPr>
        <w:spacing w:after="0" w:line="191" w:lineRule="exact"/>
        <w:rPr>
          <w:sz w:val="20"/>
          <w:szCs w:val="20"/>
          <w:color w:val="auto"/>
        </w:rPr>
      </w:pPr>
    </w:p>
    <w:p>
      <w:pPr>
        <w:ind w:right="3139"/>
        <w:spacing w:after="0" w:line="248"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4"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Effective March 1, 1995, the Company issued 146,300 shares of its common stock to the former partners of Insurance West. The merger has been accounted for as a pooling-of-interests and accordingly, the Company's consolidated operating results for the three- and nine-month periods ended September, 1994 have been restated to include the results of operations of Insurance West.</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RESULTS OF OPERATIONS</w:t>
      </w:r>
    </w:p>
    <w:p>
      <w:pPr>
        <w:spacing w:after="0" w:line="191" w:lineRule="exact"/>
        <w:rPr>
          <w:sz w:val="20"/>
          <w:szCs w:val="20"/>
          <w:color w:val="auto"/>
        </w:rPr>
      </w:pPr>
    </w:p>
    <w:p>
      <w:pPr>
        <w:ind w:left="580"/>
        <w:spacing w:after="0"/>
        <w:tabs>
          <w:tab w:leader="none" w:pos="1820" w:val="left"/>
        </w:tabs>
        <w:rPr>
          <w:sz w:val="20"/>
          <w:szCs w:val="20"/>
          <w:color w:val="auto"/>
        </w:rPr>
      </w:pPr>
      <w:r>
        <w:rPr>
          <w:rFonts w:ascii="Courier New" w:cs="Courier New" w:eastAsia="Courier New" w:hAnsi="Courier New"/>
          <w:sz w:val="16"/>
          <w:szCs w:val="16"/>
          <w:color w:val="auto"/>
        </w:rPr>
        <w:t>Net Income.</w:t>
        <w:tab/>
        <w:t>Net income for the third quarter of 1995 was $3,832,000,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$.44 per share, compared with net income in the third quarter of 1994 of</w:t>
      </w:r>
    </w:p>
    <w:p>
      <w:pPr>
        <w:spacing w:after="0" w:line="5" w:lineRule="exact"/>
        <w:rPr>
          <w:sz w:val="20"/>
          <w:szCs w:val="20"/>
          <w:color w:val="auto"/>
        </w:rPr>
      </w:pPr>
    </w:p>
    <w:p>
      <w:pPr>
        <w:spacing w:after="0"/>
        <w:tabs>
          <w:tab w:leader="none" w:pos="6660" w:val="left"/>
        </w:tabs>
        <w:rPr>
          <w:sz w:val="20"/>
          <w:szCs w:val="20"/>
          <w:color w:val="auto"/>
        </w:rPr>
      </w:pPr>
      <w:r>
        <w:rPr>
          <w:rFonts w:ascii="Courier New" w:cs="Courier New" w:eastAsia="Courier New" w:hAnsi="Courier New"/>
          <w:sz w:val="16"/>
          <w:szCs w:val="16"/>
          <w:color w:val="auto"/>
        </w:rPr>
        <w:t>$3,556,000, or $.41 per share, a 7% increase in per share earnings.</w:t>
        <w:tab/>
        <w:t>The 1994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third quarter earnings per share includes a favorable tax reserve adjustment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$.08 per share resulting from the reduction in general tax reserves stemming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from the August 1994 favorable settlement of a portion of the outstanding IRS</w:t>
      </w:r>
    </w:p>
    <w:p>
      <w:pPr>
        <w:spacing w:after="0" w:line="5" w:lineRule="exact"/>
        <w:rPr>
          <w:sz w:val="20"/>
          <w:szCs w:val="20"/>
          <w:color w:val="auto"/>
        </w:rPr>
      </w:pPr>
    </w:p>
    <w:p>
      <w:pPr>
        <w:spacing w:after="0"/>
        <w:tabs>
          <w:tab w:leader="none" w:pos="2020" w:val="left"/>
        </w:tabs>
        <w:rPr>
          <w:sz w:val="20"/>
          <w:szCs w:val="20"/>
          <w:color w:val="auto"/>
        </w:rPr>
      </w:pPr>
      <w:r>
        <w:rPr>
          <w:rFonts w:ascii="Courier New" w:cs="Courier New" w:eastAsia="Courier New" w:hAnsi="Courier New"/>
          <w:sz w:val="16"/>
          <w:szCs w:val="16"/>
          <w:color w:val="auto"/>
        </w:rPr>
        <w:t>examination issues.</w:t>
        <w:tab/>
        <w:t>Excluding this non-recurring item, the third quarter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 per share increased from $.33 per share to $.44 per share, a 33%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w:t>
      </w:r>
    </w:p>
    <w:p>
      <w:pPr>
        <w:spacing w:after="0" w:line="191" w:lineRule="exact"/>
        <w:rPr>
          <w:sz w:val="20"/>
          <w:szCs w:val="20"/>
          <w:color w:val="auto"/>
        </w:rPr>
      </w:pPr>
    </w:p>
    <w:p>
      <w:pPr>
        <w:jc w:val="both"/>
        <w:ind w:right="2759" w:firstLine="581"/>
        <w:spacing w:after="0" w:line="246" w:lineRule="auto"/>
        <w:rPr>
          <w:sz w:val="20"/>
          <w:szCs w:val="20"/>
          <w:color w:val="auto"/>
        </w:rPr>
      </w:pPr>
      <w:r>
        <w:rPr>
          <w:rFonts w:ascii="Courier New" w:cs="Courier New" w:eastAsia="Courier New" w:hAnsi="Courier New"/>
          <w:sz w:val="16"/>
          <w:szCs w:val="16"/>
          <w:color w:val="auto"/>
        </w:rPr>
        <w:t>Net income for the nine months ended September 30, 1995 was $10,943,000 or $1.26 per share, compared with 1994 same period net income of $10,220,000, or $1.18 per share, for a 7% increase. The nine months ended September 30,</w:t>
      </w:r>
    </w:p>
    <w:p>
      <w:pPr>
        <w:spacing w:after="0" w:line="2" w:lineRule="exact"/>
        <w:rPr>
          <w:sz w:val="20"/>
          <w:szCs w:val="20"/>
          <w:color w:val="auto"/>
        </w:rPr>
      </w:pPr>
    </w:p>
    <w:p>
      <w:pPr>
        <w:ind w:right="2559"/>
        <w:spacing w:after="0" w:line="246" w:lineRule="auto"/>
        <w:rPr>
          <w:sz w:val="20"/>
          <w:szCs w:val="20"/>
          <w:color w:val="auto"/>
        </w:rPr>
      </w:pPr>
      <w:r>
        <w:rPr>
          <w:rFonts w:ascii="Courier New" w:cs="Courier New" w:eastAsia="Courier New" w:hAnsi="Courier New"/>
          <w:sz w:val="16"/>
          <w:szCs w:val="16"/>
          <w:color w:val="auto"/>
        </w:rPr>
        <w:t>1995 and 1994 earnings per share includes a favorable tax reserve adjustment of $.05 and $.08 per share, respectively, resulting from the reduction in general tax reserves stemming from the March 1995 and August 1994 settlement of the Company's IRS examination issues. The 1994 earnings per share also includes a $.16 per share gain from the sale of approximately 23% of the Company's investment in common stock of Rock-Tenn Company. Excluding these non-recurring items, the 1995 earnings per share increased from $.94 in 1994 to $1.21 in 1995, a 29% increase.</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Commissions and Fees. Commissions and fees for the third quarter of 1995 increased $704,000 or 3% from 1994. The increase is partially attributable to new business production. Commissions and fees for the nine months ended September 30, 1995 were $75,937,000 compared to $72,567,000 for the same period in 1994, a 5% increase. In addition to new business production, contingent commissions for the 1995 period increased approximately $515,000 over 1994 levels and revenues from acquired agencies totaled $1,917,000.</w:t>
      </w:r>
    </w:p>
    <w:p>
      <w:pPr>
        <w:spacing w:after="0" w:line="18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Investment Income. Investment income for the quarter ended September 30, 1995 was up $170,000 or 21% over 1994. Investment income for the nine-month period in 1995 decreased $1,462,000. This decrease is primarily related to the $2,185,000 gain from the sale of approximately 23% of the Company's investment in the common stock of Rock-Tenn that occurred during March 1994. Excluding this gain, investment income during 1995 increased by approximately $723,000 or 34%. The increases in the investment income after excluding the Rock-Tenn gain are due to increased available funds and the implementation of a consolidated cash management program which has resulted in improved earnings on cash and cash equivalents.</w:t>
      </w:r>
    </w:p>
    <w:p>
      <w:pPr>
        <w:spacing w:after="0" w:line="192"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Other Income. Other income increased approximately $529,000 for the nine months ended September 30, 1995 over the same period for 1994 and approximately $437,000 for the three months ended September 30, 1995 over the same period for 1994. The increase is attributable to sales of additional books of business (customer accounts) during 1995 as compared to the sales and losses in 1994.</w:t>
      </w:r>
    </w:p>
    <w:p>
      <w:pPr>
        <w:spacing w:after="0" w:line="185"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Compensation and Employee Benefits. Compensation and employee benefits increased during both the three and nine months ended September 30, 1995. The increase for the nine-month period ended September 30, 1995 is 5.5% while the increase for the quarter ended September 30, 1995 is 3.5%. This increase is primarily due to additional commission expense as a result of the increased commission and fee revenues and the addition of $542,000 of expense in the second quarter of 1995 resulting from the accelerated vesting of benefits under certain terminated deferred compensation arrangements effective July 1, 1995.</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303" w:right="1440" w:bottom="1440" w:gutter="0" w:footer="0" w:header="0"/>
          <w:type w:val="continuous"/>
        </w:sectPr>
      </w:pPr>
    </w:p>
    <w:bookmarkStart w:id="8" w:name="page9"/>
    <w:bookmarkEnd w:id="8"/>
    <w:p>
      <w:pPr>
        <w:ind w:left="300"/>
        <w:spacing w:after="0"/>
        <w:rPr>
          <w:sz w:val="20"/>
          <w:szCs w:val="20"/>
          <w:color w:val="auto"/>
        </w:rPr>
      </w:pPr>
      <w:r>
        <w:rPr>
          <w:rFonts w:ascii="Courier New" w:cs="Courier New" w:eastAsia="Courier New" w:hAnsi="Courier New"/>
          <w:sz w:val="16"/>
          <w:szCs w:val="16"/>
          <w:color w:val="auto"/>
        </w:rPr>
        <w:t>9</w:t>
      </w:r>
    </w:p>
    <w:p>
      <w:pPr>
        <w:spacing w:after="0" w:line="191" w:lineRule="exact"/>
        <w:rPr>
          <w:sz w:val="20"/>
          <w:szCs w:val="20"/>
          <w:color w:val="auto"/>
        </w:rPr>
      </w:pPr>
    </w:p>
    <w:p>
      <w:pPr>
        <w:ind w:right="2559" w:firstLine="581"/>
        <w:spacing w:after="0" w:line="246" w:lineRule="auto"/>
        <w:rPr>
          <w:sz w:val="20"/>
          <w:szCs w:val="20"/>
          <w:color w:val="auto"/>
        </w:rPr>
      </w:pPr>
      <w:r>
        <w:rPr>
          <w:rFonts w:ascii="Courier New" w:cs="Courier New" w:eastAsia="Courier New" w:hAnsi="Courier New"/>
          <w:sz w:val="16"/>
          <w:szCs w:val="16"/>
          <w:color w:val="auto"/>
        </w:rPr>
        <w:t>Other Operating Expenses. Other operating expenses for the three months ended September 30, 1995 decreased $473,000 over the same period in 1994.</w:t>
      </w:r>
    </w:p>
    <w:p>
      <w:pPr>
        <w:spacing w:after="0" w:line="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Other operating expenses for the nine months ended September 30, 1995 decreased $679,000 from 1994 and declined as a percentage of commissions and fees from 24% to 22%. This decrease is primarily due to continued improvements in operational efficiencies.</w:t>
      </w:r>
    </w:p>
    <w:p>
      <w:pPr>
        <w:spacing w:after="0" w:line="186"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Interest and Amortization. Interest and amortization expense decreased $76,000 during the third quarter of 1995 and $512,000 during the nine months ended September 30, 1995 over the same periods in 1994. This reduction is primarily a result of lower average borrowings.</w:t>
      </w:r>
    </w:p>
    <w:p>
      <w:pPr>
        <w:spacing w:after="0" w:line="186" w:lineRule="exact"/>
        <w:rPr>
          <w:sz w:val="20"/>
          <w:szCs w:val="20"/>
          <w:color w:val="auto"/>
        </w:rPr>
      </w:pPr>
    </w:p>
    <w:p>
      <w:pPr>
        <w:ind w:right="2759" w:firstLine="581"/>
        <w:spacing w:after="0" w:line="246" w:lineRule="auto"/>
        <w:rPr>
          <w:sz w:val="20"/>
          <w:szCs w:val="20"/>
          <w:color w:val="auto"/>
        </w:rPr>
      </w:pPr>
      <w:r>
        <w:rPr>
          <w:rFonts w:ascii="Courier New" w:cs="Courier New" w:eastAsia="Courier New" w:hAnsi="Courier New"/>
          <w:sz w:val="16"/>
          <w:szCs w:val="16"/>
          <w:color w:val="auto"/>
        </w:rPr>
        <w:t>Income Taxes. The Company's effective tax rate for the three months ended September 30, 1995 and 1994 was 38.5% and 26.3%, respectively. The Company's effective tax rate for the nine-months ended September 30, 1995 and 1994 was 35.8% and 34.6%, respectively. The difference in the effective tax rate is primarily the result of a $450,000 and $700,000 reduction in the Company's income tax reserves during the first quarter of 1995 and the third quarter of 1994, respectively, due to the tax settlements in March 1995 and August 1994 of the outstanding IRS examination issues which the Company had originally protested. See Note 5 to the Condensed Consolidated Financial Statements for further information.</w:t>
      </w:r>
    </w:p>
    <w:p>
      <w:pPr>
        <w:spacing w:after="0" w:line="192"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The Company's cash and cash equivalents increased from December 31, 1994 by $8,102,000 to $31,287,000 at September 30, 1995. During the nine months ended September 30, 1995, cash of $18,998,000 was provided from operating activities. Cash was used primarily to acquire businesses for $3,935,000, purchase property and equipment of $3,092,000 and pay dividends of $3,106,000 on the Company's common stock. The current ratio improved to 1.14 as of September 30, 1995 from 1.10 as of December 31, 1994.</w:t>
      </w:r>
    </w:p>
    <w:p>
      <w:pPr>
        <w:spacing w:after="0" w:line="185" w:lineRule="exact"/>
        <w:rPr>
          <w:sz w:val="20"/>
          <w:szCs w:val="20"/>
          <w:color w:val="auto"/>
        </w:rPr>
      </w:pPr>
    </w:p>
    <w:p>
      <w:pPr>
        <w:ind w:right="2759" w:firstLine="581"/>
        <w:spacing w:after="0" w:line="247" w:lineRule="auto"/>
        <w:rPr>
          <w:sz w:val="20"/>
          <w:szCs w:val="20"/>
          <w:color w:val="auto"/>
        </w:rPr>
      </w:pPr>
      <w:r>
        <w:rPr>
          <w:rFonts w:ascii="Courier New" w:cs="Courier New" w:eastAsia="Courier New" w:hAnsi="Courier New"/>
          <w:sz w:val="16"/>
          <w:szCs w:val="16"/>
          <w:color w:val="auto"/>
        </w:rPr>
        <w:t>The Company has a credit agreement with a major insurance company under which up to $6 million may be borrowed at an interest rate equal to the prime lending rate plus one percent, which will decrease by $1 million each August though the year 2001 when it will expire. As of September 30, 1995, the maximum borrowings under this agreement ($6,000,000) were outstanding.</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In November 1994, the Company entered into a revolving credit facility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 a national banking institution which provides for available borrowings of</w:t>
      </w:r>
    </w:p>
    <w:p>
      <w:pPr>
        <w:spacing w:after="0" w:line="5" w:lineRule="exact"/>
        <w:rPr>
          <w:sz w:val="20"/>
          <w:szCs w:val="20"/>
          <w:color w:val="auto"/>
        </w:rPr>
      </w:pPr>
    </w:p>
    <w:p>
      <w:pPr>
        <w:spacing w:after="0"/>
        <w:tabs>
          <w:tab w:leader="none" w:pos="1920" w:val="left"/>
        </w:tabs>
        <w:rPr>
          <w:sz w:val="20"/>
          <w:szCs w:val="20"/>
          <w:color w:val="auto"/>
        </w:rPr>
      </w:pPr>
      <w:r>
        <w:rPr>
          <w:rFonts w:ascii="Courier New" w:cs="Courier New" w:eastAsia="Courier New" w:hAnsi="Courier New"/>
          <w:sz w:val="16"/>
          <w:szCs w:val="16"/>
          <w:color w:val="auto"/>
        </w:rPr>
        <w:t>up to $10 million.</w:t>
        <w:tab/>
        <w:t>On borrowings under this facility of less than $1,000,000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interest rate is the higher of the prime rate or the federal funds rate</w:t>
      </w:r>
    </w:p>
    <w:p>
      <w:pPr>
        <w:spacing w:after="0" w:line="5"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6"/>
          <w:szCs w:val="16"/>
          <w:color w:val="auto"/>
        </w:rPr>
        <w:t>plus .50%.</w:t>
        <w:tab/>
        <w:t>On borrowings under this facility equal to or in excess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 the interest rate is LIBOR plus .50% to 1.25% depending on certain</w:t>
      </w:r>
    </w:p>
    <w:p>
      <w:pPr>
        <w:spacing w:after="0" w:line="5"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6"/>
          <w:szCs w:val="16"/>
          <w:color w:val="auto"/>
        </w:rPr>
        <w:t>financial ratios.</w:t>
        <w:tab/>
        <w:t>A commitment is assessed in the amount of .25% per annum on</w:t>
      </w:r>
    </w:p>
    <w:p>
      <w:pPr>
        <w:spacing w:after="0" w:line="5" w:lineRule="exact"/>
        <w:rPr>
          <w:sz w:val="20"/>
          <w:szCs w:val="20"/>
          <w:color w:val="auto"/>
        </w:rPr>
      </w:pPr>
    </w:p>
    <w:p>
      <w:pPr>
        <w:spacing w:after="0"/>
        <w:tabs>
          <w:tab w:leader="none" w:pos="2020" w:val="left"/>
          <w:tab w:leader="none" w:pos="5900" w:val="left"/>
        </w:tabs>
        <w:rPr>
          <w:sz w:val="20"/>
          <w:szCs w:val="20"/>
          <w:color w:val="auto"/>
        </w:rPr>
      </w:pPr>
      <w:r>
        <w:rPr>
          <w:rFonts w:ascii="Courier New" w:cs="Courier New" w:eastAsia="Courier New" w:hAnsi="Courier New"/>
          <w:sz w:val="16"/>
          <w:szCs w:val="16"/>
          <w:color w:val="auto"/>
        </w:rPr>
        <w:t>the unused balance.</w:t>
        <w:tab/>
        <w:t>The facility expires in November 1997.</w:t>
        <w:tab/>
        <w:t>No borrowings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outstanding against this revolving credit facility as of September 30, 1995.</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The Company believes that its existing cash, cash equivalents, short-term investments, funds generated from operations and available credit facility borrowings are sufficient to satisfy its normal financial needs for the near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303" w:right="1440"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6"/>
          <w:szCs w:val="16"/>
          <w:color w:val="auto"/>
        </w:rPr>
        <w:t>10</w:t>
      </w:r>
    </w:p>
    <w:p>
      <w:pPr>
        <w:spacing w:after="0" w:line="5"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6"/>
          <w:szCs w:val="16"/>
          <w:color w:val="auto"/>
        </w:rPr>
        <w:t>POE &amp; BROWN, INC.</w:t>
      </w:r>
    </w:p>
    <w:p>
      <w:pPr>
        <w:spacing w:after="0" w:line="191"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PART II - OTHER INFORMATION</w:t>
      </w:r>
    </w:p>
    <w:p>
      <w:pPr>
        <w:spacing w:after="0" w:line="191"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ITEM 1 - LEGAL PROCEEDINGS</w:t>
      </w:r>
    </w:p>
    <w:p>
      <w:pPr>
        <w:spacing w:after="0" w:line="191" w:lineRule="exact"/>
        <w:rPr>
          <w:sz w:val="20"/>
          <w:szCs w:val="20"/>
          <w:color w:val="auto"/>
        </w:rPr>
      </w:pPr>
    </w:p>
    <w:p>
      <w:pPr>
        <w:ind w:right="2559" w:firstLine="581"/>
        <w:spacing w:after="0" w:line="247" w:lineRule="auto"/>
        <w:rPr>
          <w:sz w:val="20"/>
          <w:szCs w:val="20"/>
          <w:color w:val="auto"/>
        </w:rPr>
      </w:pPr>
      <w:r>
        <w:rPr>
          <w:rFonts w:ascii="Courier New" w:cs="Courier New" w:eastAsia="Courier New" w:hAnsi="Courier New"/>
          <w:sz w:val="16"/>
          <w:szCs w:val="16"/>
          <w:color w:val="auto"/>
        </w:rPr>
        <w:t>The Company is involved in various pending or threatened proceedings by or against the Company or one or more of its subsidiaries which involve routine litigation relating to insurance risks placed by the Company and other contractual matters. The Company's management does not believe that any of such pending or threatened proceedings will have a material adverse effect on the consolidated financial position or results of operations of the Company.</w:t>
      </w:r>
    </w:p>
    <w:p>
      <w:pPr>
        <w:spacing w:after="0" w:line="185"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ITEM 6 - EXHIBITS AND REPORTS ON FORM 8-K</w:t>
      </w:r>
    </w:p>
    <w:p>
      <w:pPr>
        <w:spacing w:after="0" w:line="191" w:lineRule="exact"/>
        <w:rPr>
          <w:sz w:val="20"/>
          <w:szCs w:val="20"/>
          <w:color w:val="auto"/>
        </w:rPr>
      </w:pPr>
    </w:p>
    <w:p>
      <w:pPr>
        <w:ind w:left="2320" w:right="2659" w:hanging="1739"/>
        <w:spacing w:after="0" w:line="247" w:lineRule="auto"/>
        <w:tabs>
          <w:tab w:leader="none" w:pos="1157"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 Exhibit 11 - Statement re: Computation of Per Share Earnings Exhibit 27 - Financial Data Schedule (for SEC use only)</w:t>
      </w:r>
    </w:p>
    <w:p>
      <w:pPr>
        <w:spacing w:after="0" w:line="185" w:lineRule="exact"/>
        <w:rPr>
          <w:rFonts w:ascii="Courier New" w:cs="Courier New" w:eastAsia="Courier New" w:hAnsi="Courier New"/>
          <w:sz w:val="16"/>
          <w:szCs w:val="16"/>
          <w:color w:val="auto"/>
        </w:rPr>
      </w:pPr>
    </w:p>
    <w:p>
      <w:pPr>
        <w:ind w:left="1160" w:right="2859" w:hanging="579"/>
        <w:spacing w:after="0" w:line="248" w:lineRule="auto"/>
        <w:tabs>
          <w:tab w:leader="none" w:pos="11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were no reports filed on Form 8-K during the quarter ended September 30, 1995.</w:t>
      </w:r>
    </w:p>
    <w:p>
      <w:pPr>
        <w:spacing w:after="0" w:line="184" w:lineRule="exact"/>
        <w:rPr>
          <w:sz w:val="20"/>
          <w:szCs w:val="20"/>
          <w:color w:val="auto"/>
        </w:rPr>
      </w:pPr>
    </w:p>
    <w:p>
      <w:pPr>
        <w:ind w:left="580"/>
        <w:spacing w:after="0"/>
        <w:rPr>
          <w:sz w:val="20"/>
          <w:szCs w:val="20"/>
          <w:color w:val="auto"/>
        </w:rPr>
      </w:pPr>
      <w:r>
        <w:rPr>
          <w:rFonts w:ascii="Courier New" w:cs="Courier New" w:eastAsia="Courier New" w:hAnsi="Courier New"/>
          <w:sz w:val="16"/>
          <w:szCs w:val="16"/>
          <w:color w:val="auto"/>
        </w:rPr>
        <w:t>SIGNATURES</w:t>
      </w:r>
    </w:p>
    <w:p>
      <w:pPr>
        <w:spacing w:after="0" w:line="191" w:lineRule="exact"/>
        <w:rPr>
          <w:sz w:val="20"/>
          <w:szCs w:val="20"/>
          <w:color w:val="auto"/>
        </w:rPr>
      </w:pPr>
    </w:p>
    <w:p>
      <w:pPr>
        <w:ind w:right="2659" w:firstLine="581"/>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POE &amp; BROWN, INC.</w:t>
      </w:r>
    </w:p>
    <w:p>
      <w:pPr>
        <w:sectPr>
          <w:pgSz w:w="11900" w:h="16838" w:orient="portrait"/>
          <w:cols w:equalWidth="0" w:num="1">
            <w:col w:w="10219"/>
          </w:cols>
          <w:pgMar w:left="240" w:top="30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November 10,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James A. Orchard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A. ORCHARD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AND CHIEF FINANCIAL OFFICER</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(duly authorized officer and principal</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financial officer and principal accounting</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officer)</w:t>
      </w:r>
    </w:p>
    <w:p>
      <w:pPr>
        <w:spacing w:after="0" w:line="200" w:lineRule="exact"/>
        <w:rPr>
          <w:sz w:val="20"/>
          <w:szCs w:val="20"/>
          <w:color w:val="auto"/>
        </w:rPr>
      </w:pPr>
    </w:p>
    <w:p>
      <w:pPr>
        <w:sectPr>
          <w:pgSz w:w="11900" w:h="16838" w:orient="portrait"/>
          <w:cols w:equalWidth="0" w:num="3">
            <w:col w:w="480" w:space="200"/>
            <w:col w:w="1800" w:space="720"/>
            <w:col w:w="7019"/>
          </w:cols>
          <w:pgMar w:left="240" w:top="30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303" w:right="1440" w:bottom="1440" w:gutter="0" w:footer="0" w:header="0"/>
          <w:type w:val="continuous"/>
        </w:sectPr>
      </w:pPr>
    </w:p>
    <w:bookmarkStart w:id="10" w:name="page11"/>
    <w:bookmarkEnd w:id="10"/>
    <w:p>
      <w:pPr>
        <w:ind w:left="300"/>
        <w:spacing w:after="0"/>
        <w:rPr>
          <w:sz w:val="20"/>
          <w:szCs w:val="20"/>
          <w:color w:val="auto"/>
        </w:rPr>
      </w:pPr>
      <w:r>
        <w:rPr>
          <w:rFonts w:ascii="Courier New" w:cs="Courier New" w:eastAsia="Courier New" w:hAnsi="Courier New"/>
          <w:sz w:val="16"/>
          <w:szCs w:val="16"/>
          <w:color w:val="auto"/>
        </w:rPr>
        <w:t>1</w:t>
      </w:r>
    </w:p>
    <w:p>
      <w:pPr>
        <w:spacing w:after="0" w:line="191" w:lineRule="exact"/>
        <w:rPr>
          <w:sz w:val="20"/>
          <w:szCs w:val="20"/>
          <w:color w:val="auto"/>
        </w:rPr>
      </w:pPr>
    </w:p>
    <w:p>
      <w:pPr>
        <w:ind w:left="200"/>
        <w:spacing w:after="0"/>
        <w:tabs>
          <w:tab w:leader="none" w:pos="2880" w:val="left"/>
        </w:tabs>
        <w:rPr>
          <w:sz w:val="20"/>
          <w:szCs w:val="20"/>
          <w:color w:val="auto"/>
        </w:rPr>
      </w:pPr>
      <w:r>
        <w:rPr>
          <w:rFonts w:ascii="Courier New" w:cs="Courier New" w:eastAsia="Courier New" w:hAnsi="Courier New"/>
          <w:sz w:val="16"/>
          <w:szCs w:val="16"/>
          <w:color w:val="auto"/>
        </w:rPr>
        <w:t>EXHIBIT 11 - STATEMENT RE:</w:t>
        <w:tab/>
        <w:t>COMPUTATION OF PER SHARE EARNINGS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920" w:type="dxa"/>
            <w:vAlign w:val="bottom"/>
          </w:tcPr>
          <w:p>
            <w:pPr>
              <w:spacing w:after="0"/>
              <w:rPr>
                <w:sz w:val="15"/>
                <w:szCs w:val="15"/>
                <w:color w:val="auto"/>
              </w:rPr>
            </w:pPr>
          </w:p>
        </w:tc>
        <w:tc>
          <w:tcPr>
            <w:tcW w:w="35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THREE MONTHS ENDED SEPT.  30,</w:t>
            </w:r>
          </w:p>
        </w:tc>
        <w:tc>
          <w:tcPr>
            <w:tcW w:w="2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NINE MONTHS ENDED SEPT. 30,</w:t>
            </w:r>
          </w:p>
        </w:tc>
      </w:tr>
      <w:tr>
        <w:trPr>
          <w:trHeight w:val="186"/>
        </w:trPr>
        <w:tc>
          <w:tcPr>
            <w:tcW w:w="3920" w:type="dxa"/>
            <w:vAlign w:val="bottom"/>
          </w:tcPr>
          <w:p>
            <w:pPr>
              <w:spacing w:after="0"/>
              <w:rPr>
                <w:sz w:val="16"/>
                <w:szCs w:val="16"/>
                <w:color w:val="auto"/>
              </w:rPr>
            </w:pPr>
          </w:p>
        </w:tc>
        <w:tc>
          <w:tcPr>
            <w:tcW w:w="350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392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1995</w:t>
            </w:r>
          </w:p>
        </w:tc>
        <w:tc>
          <w:tcPr>
            <w:tcW w:w="20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1994</w:t>
            </w:r>
          </w:p>
        </w:tc>
        <w:tc>
          <w:tcPr>
            <w:tcW w:w="198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1995</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1994</w:t>
            </w:r>
          </w:p>
        </w:tc>
      </w:tr>
      <w:tr>
        <w:trPr>
          <w:trHeight w:val="186"/>
        </w:trPr>
        <w:tc>
          <w:tcPr>
            <w:tcW w:w="3920" w:type="dxa"/>
            <w:vAlign w:val="bottom"/>
          </w:tcPr>
          <w:p>
            <w:pPr>
              <w:spacing w:after="0"/>
              <w:rPr>
                <w:sz w:val="16"/>
                <w:szCs w:val="16"/>
                <w:color w:val="auto"/>
              </w:rPr>
            </w:pPr>
          </w:p>
        </w:tc>
        <w:tc>
          <w:tcPr>
            <w:tcW w:w="14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65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97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r>
      <w:tr>
        <w:trPr>
          <w:trHeight w:val="186"/>
        </w:trPr>
        <w:tc>
          <w:tcPr>
            <w:tcW w:w="3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02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(IN THOUSANDS, EXCEPT PER SHARE DATA)</w:t>
            </w:r>
          </w:p>
        </w:tc>
        <w:tc>
          <w:tcPr>
            <w:tcW w:w="960" w:type="dxa"/>
            <w:vAlign w:val="bottom"/>
          </w:tcPr>
          <w:p>
            <w:pPr>
              <w:spacing w:after="0"/>
              <w:rPr>
                <w:sz w:val="16"/>
                <w:szCs w:val="16"/>
                <w:color w:val="auto"/>
              </w:rPr>
            </w:pPr>
          </w:p>
        </w:tc>
      </w:tr>
      <w:tr>
        <w:trPr>
          <w:trHeight w:val="373"/>
        </w:trPr>
        <w:tc>
          <w:tcPr>
            <w:tcW w:w="3920" w:type="dxa"/>
            <w:vAlign w:val="bottom"/>
          </w:tcPr>
          <w:p>
            <w:pPr>
              <w:spacing w:after="0"/>
              <w:rPr>
                <w:sz w:val="20"/>
                <w:szCs w:val="20"/>
                <w:color w:val="auto"/>
              </w:rPr>
            </w:pPr>
            <w:r>
              <w:rPr>
                <w:rFonts w:ascii="Courier New" w:cs="Courier New" w:eastAsia="Courier New" w:hAnsi="Courier New"/>
                <w:sz w:val="16"/>
                <w:szCs w:val="16"/>
                <w:color w:val="auto"/>
              </w:rPr>
              <w:t>Average shares outstanding</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8,664</w:t>
            </w: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8,593</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8,654</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8,547</w:t>
            </w:r>
          </w:p>
        </w:tc>
      </w:tr>
      <w:tr>
        <w:trPr>
          <w:trHeight w:val="559"/>
        </w:trPr>
        <w:tc>
          <w:tcPr>
            <w:tcW w:w="3920" w:type="dxa"/>
            <w:vAlign w:val="bottom"/>
          </w:tcPr>
          <w:p>
            <w:pPr>
              <w:spacing w:after="0"/>
              <w:rPr>
                <w:sz w:val="20"/>
                <w:szCs w:val="20"/>
                <w:color w:val="auto"/>
              </w:rPr>
            </w:pPr>
            <w:r>
              <w:rPr>
                <w:rFonts w:ascii="Courier New" w:cs="Courier New" w:eastAsia="Courier New" w:hAnsi="Courier New"/>
                <w:sz w:val="16"/>
                <w:szCs w:val="16"/>
                <w:color w:val="auto"/>
              </w:rPr>
              <w:t>Net effect of dilutive stock options,</w:t>
            </w:r>
          </w:p>
        </w:tc>
        <w:tc>
          <w:tcPr>
            <w:tcW w:w="14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6"/>
        </w:trPr>
        <w:tc>
          <w:tcPr>
            <w:tcW w:w="3920" w:type="dxa"/>
            <w:vAlign w:val="bottom"/>
          </w:tcPr>
          <w:p>
            <w:pPr>
              <w:ind w:left="300"/>
              <w:spacing w:after="0"/>
              <w:rPr>
                <w:sz w:val="20"/>
                <w:szCs w:val="20"/>
                <w:color w:val="auto"/>
              </w:rPr>
            </w:pPr>
            <w:r>
              <w:rPr>
                <w:rFonts w:ascii="Courier New" w:cs="Courier New" w:eastAsia="Courier New" w:hAnsi="Courier New"/>
                <w:sz w:val="16"/>
                <w:szCs w:val="16"/>
                <w:color w:val="auto"/>
              </w:rPr>
              <w:t>based on the treasury stock method</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w:t>
            </w: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68</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41</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83</w:t>
            </w:r>
          </w:p>
        </w:tc>
      </w:tr>
      <w:tr>
        <w:trPr>
          <w:trHeight w:val="186"/>
        </w:trPr>
        <w:tc>
          <w:tcPr>
            <w:tcW w:w="392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3920" w:type="dxa"/>
            <w:vAlign w:val="bottom"/>
          </w:tcPr>
          <w:p>
            <w:pPr>
              <w:spacing w:after="0"/>
              <w:rPr>
                <w:sz w:val="20"/>
                <w:szCs w:val="20"/>
                <w:color w:val="auto"/>
              </w:rPr>
            </w:pPr>
            <w:r>
              <w:rPr>
                <w:rFonts w:ascii="Courier New" w:cs="Courier New" w:eastAsia="Courier New" w:hAnsi="Courier New"/>
                <w:sz w:val="16"/>
                <w:szCs w:val="16"/>
                <w:color w:val="auto"/>
              </w:rPr>
              <w:t>Total shares used in computation</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8,710</w:t>
            </w: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8,661</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8,695</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8,630</w:t>
            </w:r>
          </w:p>
        </w:tc>
      </w:tr>
      <w:tr>
        <w:trPr>
          <w:trHeight w:val="186"/>
        </w:trPr>
        <w:tc>
          <w:tcPr>
            <w:tcW w:w="392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559"/>
        </w:trPr>
        <w:tc>
          <w:tcPr>
            <w:tcW w:w="392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$3,832</w:t>
            </w: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$ 3,556</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$10,943</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$10,220</w:t>
            </w:r>
          </w:p>
        </w:tc>
      </w:tr>
      <w:tr>
        <w:trPr>
          <w:trHeight w:val="186"/>
        </w:trPr>
        <w:tc>
          <w:tcPr>
            <w:tcW w:w="392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745"/>
        </w:trPr>
        <w:tc>
          <w:tcPr>
            <w:tcW w:w="3920" w:type="dxa"/>
            <w:vAlign w:val="bottom"/>
          </w:tcPr>
          <w:p>
            <w:pPr>
              <w:spacing w:after="0"/>
              <w:rPr>
                <w:sz w:val="20"/>
                <w:szCs w:val="20"/>
                <w:color w:val="auto"/>
              </w:rPr>
            </w:pPr>
            <w:r>
              <w:rPr>
                <w:rFonts w:ascii="Courier New" w:cs="Courier New" w:eastAsia="Courier New" w:hAnsi="Courier New"/>
                <w:sz w:val="16"/>
                <w:szCs w:val="16"/>
                <w:color w:val="auto"/>
              </w:rPr>
              <w:t>Net income per share</w:t>
            </w: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  .44</w:t>
            </w: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   .41</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  1.26</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  1.18</w:t>
            </w:r>
          </w:p>
        </w:tc>
      </w:tr>
      <w:tr>
        <w:trPr>
          <w:trHeight w:val="186"/>
        </w:trPr>
        <w:tc>
          <w:tcPr>
            <w:tcW w:w="3920" w:type="dxa"/>
            <w:vAlign w:val="bottom"/>
          </w:tcPr>
          <w:p>
            <w:pPr>
              <w:spacing w:after="0"/>
              <w:rPr>
                <w:sz w:val="16"/>
                <w:szCs w:val="16"/>
                <w:color w:val="auto"/>
              </w:rPr>
            </w:pPr>
          </w:p>
        </w:tc>
        <w:tc>
          <w:tcPr>
            <w:tcW w:w="14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ind w:right="559"/>
              <w:spacing w:after="0"/>
              <w:rPr>
                <w:sz w:val="20"/>
                <w:szCs w:val="20"/>
                <w:color w:val="auto"/>
              </w:rPr>
            </w:pPr>
            <w:r>
              <w:rPr>
                <w:rFonts w:ascii="Courier New" w:cs="Courier New" w:eastAsia="Courier New" w:hAnsi="Courier New"/>
                <w:sz w:val="16"/>
                <w:szCs w:val="16"/>
                <w:color w:val="auto"/>
              </w:rPr>
              <w:t>=======</w:t>
            </w:r>
          </w:p>
        </w:tc>
        <w:tc>
          <w:tcPr>
            <w:tcW w:w="198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0360"/>
          </w:cols>
          <w:pgMar w:left="240" w:top="142" w:right="129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78"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9-MOS</w:t>
      </w:r>
    </w:p>
    <w:p>
      <w:pPr>
        <w:spacing w:after="0" w:line="5"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DEC-31-1995</w:t>
      </w:r>
    </w:p>
    <w:p>
      <w:pPr>
        <w:spacing w:after="0" w:line="5"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SEP-30-1995</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31,287</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685</w:t>
      </w:r>
    </w:p>
    <w:p>
      <w:pPr>
        <w:spacing w:after="0" w:line="5"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49,369</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100</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87,862</w:t>
      </w:r>
    </w:p>
    <w:p>
      <w:pPr>
        <w:spacing w:after="0" w:line="5" w:lineRule="exact"/>
        <w:rPr>
          <w:sz w:val="20"/>
          <w:szCs w:val="20"/>
          <w:color w:val="auto"/>
        </w:rPr>
      </w:pPr>
    </w:p>
    <w:p>
      <w:pPr>
        <w:ind w:left="44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2520"/>
        <w:spacing w:after="0"/>
        <w:rPr>
          <w:sz w:val="20"/>
          <w:szCs w:val="20"/>
          <w:color w:val="auto"/>
        </w:rPr>
      </w:pPr>
      <w:r>
        <w:rPr>
          <w:rFonts w:ascii="Courier New" w:cs="Courier New" w:eastAsia="Courier New" w:hAnsi="Courier New"/>
          <w:sz w:val="16"/>
          <w:szCs w:val="16"/>
          <w:color w:val="auto"/>
        </w:rPr>
        <w:t>76,994</w:t>
      </w:r>
    </w:p>
    <w:p>
      <w:pPr>
        <w:spacing w:after="0" w:line="5"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868</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51,062</w:t>
      </w:r>
    </w:p>
    <w:p>
      <w:pPr>
        <w:spacing w:after="0" w:line="5"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145,260</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75,937</w:t>
      </w:r>
    </w:p>
    <w:p>
      <w:pPr>
        <w:spacing w:after="0" w:line="5"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79,937</w:t>
      </w:r>
    </w:p>
    <w:p>
      <w:pPr>
        <w:spacing w:after="0" w:line="5" w:lineRule="exact"/>
        <w:rPr>
          <w:sz w:val="20"/>
          <w:szCs w:val="20"/>
          <w:color w:val="auto"/>
        </w:rPr>
      </w:pPr>
    </w:p>
    <w:p>
      <w:pPr>
        <w:jc w:val="right"/>
        <w:ind w:right="5479"/>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6"/>
          <w:szCs w:val="16"/>
          <w:color w:val="auto"/>
        </w:rPr>
        <w:t>61,658</w:t>
      </w:r>
    </w:p>
    <w:p>
      <w:pPr>
        <w:spacing w:after="0" w:line="5" w:lineRule="exact"/>
        <w:rPr>
          <w:sz w:val="20"/>
          <w:szCs w:val="20"/>
          <w:color w:val="auto"/>
        </w:rPr>
      </w:pPr>
    </w:p>
    <w:p>
      <w:pPr>
        <w:jc w:val="right"/>
        <w:ind w:right="6539"/>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621</w:t>
      </w:r>
    </w:p>
    <w:p>
      <w:pPr>
        <w:spacing w:after="0" w:line="5"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17,060</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6,117</w:t>
      </w:r>
    </w:p>
    <w:p>
      <w:pPr>
        <w:spacing w:after="0" w:line="5" w:lineRule="exact"/>
        <w:rPr>
          <w:sz w:val="20"/>
          <w:szCs w:val="20"/>
          <w:color w:val="auto"/>
        </w:rPr>
      </w:pPr>
    </w:p>
    <w:p>
      <w:pPr>
        <w:ind w:left="2700"/>
        <w:spacing w:after="0"/>
        <w:rPr>
          <w:sz w:val="20"/>
          <w:szCs w:val="20"/>
          <w:color w:val="auto"/>
        </w:rPr>
      </w:pPr>
      <w:r>
        <w:rPr>
          <w:rFonts w:ascii="Courier New" w:cs="Courier New" w:eastAsia="Courier New" w:hAnsi="Courier New"/>
          <w:sz w:val="16"/>
          <w:szCs w:val="16"/>
          <w:color w:val="auto"/>
        </w:rPr>
        <w:t>10,943</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ind w:left="4160"/>
        <w:spacing w:after="0"/>
        <w:rPr>
          <w:sz w:val="20"/>
          <w:szCs w:val="20"/>
          <w:color w:val="auto"/>
        </w:rPr>
      </w:pPr>
      <w:r>
        <w:rPr>
          <w:rFonts w:ascii="Courier New" w:cs="Courier New" w:eastAsia="Courier New" w:hAnsi="Courier New"/>
          <w:sz w:val="16"/>
          <w:szCs w:val="16"/>
          <w:color w:val="auto"/>
        </w:rPr>
        <w:t>0</w:t>
      </w:r>
    </w:p>
    <w:p>
      <w:pPr>
        <w:spacing w:after="0" w:line="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10,943</w:t>
      </w:r>
    </w:p>
    <w:p>
      <w:pPr>
        <w:spacing w:after="0" w:line="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1.26</w:t>
      </w:r>
    </w:p>
    <w:p>
      <w:pPr>
        <w:spacing w:after="0" w:line="5"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1.26</w:t>
      </w:r>
    </w:p>
    <w:sectPr>
      <w:pgSz w:w="11900" w:h="16838" w:orient="portrait"/>
      <w:cols w:equalWidth="0" w:num="1">
        <w:col w:w="10119"/>
      </w:cols>
      <w:pgMar w:left="340" w:top="5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2019-12-13T06:24:10Z</dcterms:created>
  <dcterms:modified xsi:type="dcterms:W3CDTF">2019-12-13T06:24:10Z</dcterms:modified>
</cp:coreProperties>
</file>