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BROWN &amp; BROWN,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20" w:type="dxa"/>
        <w:tblCellMar>
          <w:top w:w="0" w:type="dxa"/>
          <w:left w:w="0" w:type="dxa"/>
          <w:bottom w:w="0" w:type="dxa"/>
          <w:right w:w="0" w:type="dxa"/>
        </w:tblCellMar>
      </w:tblPr>
      <w:tr>
        <w:trPr>
          <w:trHeight w:val="235"/>
        </w:trPr>
        <w:tc>
          <w:tcPr>
            <w:tcW w:w="292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3200" w:type="dxa"/>
            <w:vAlign w:val="bottom"/>
          </w:tcPr>
          <w:p>
            <w:pPr>
              <w:jc w:val="right"/>
              <w:ind w:right="1241"/>
              <w:spacing w:after="0"/>
              <w:rPr>
                <w:sz w:val="20"/>
                <w:szCs w:val="20"/>
                <w:color w:val="auto"/>
              </w:rPr>
            </w:pPr>
            <w:r>
              <w:rPr>
                <w:rFonts w:ascii="Times New Roman" w:cs="Times New Roman" w:eastAsia="Times New Roman" w:hAnsi="Times New Roman"/>
                <w:sz w:val="18"/>
                <w:szCs w:val="18"/>
                <w:b w:val="1"/>
                <w:bCs w:val="1"/>
                <w:color w:val="auto"/>
              </w:rPr>
              <w:t>001-13619</w:t>
            </w:r>
          </w:p>
        </w:tc>
        <w:tc>
          <w:tcPr>
            <w:tcW w:w="2260" w:type="dxa"/>
            <w:vAlign w:val="bottom"/>
          </w:tcPr>
          <w:p>
            <w:pPr>
              <w:jc w:val="right"/>
              <w:ind w:right="164"/>
              <w:spacing w:after="0"/>
              <w:rPr>
                <w:sz w:val="20"/>
                <w:szCs w:val="20"/>
                <w:color w:val="auto"/>
              </w:rPr>
            </w:pPr>
            <w:r>
              <w:rPr>
                <w:rFonts w:ascii="Times New Roman" w:cs="Times New Roman" w:eastAsia="Times New Roman" w:hAnsi="Times New Roman"/>
                <w:sz w:val="18"/>
                <w:szCs w:val="18"/>
                <w:b w:val="1"/>
                <w:bCs w:val="1"/>
                <w:color w:val="auto"/>
              </w:rPr>
              <w:t>59-0864469</w:t>
            </w:r>
          </w:p>
        </w:tc>
      </w:tr>
      <w:tr>
        <w:trPr>
          <w:trHeight w:val="148"/>
        </w:trPr>
        <w:tc>
          <w:tcPr>
            <w:tcW w:w="292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00" w:type="dxa"/>
            <w:vAlign w:val="bottom"/>
          </w:tcPr>
          <w:p>
            <w:pPr>
              <w:jc w:val="center"/>
              <w:ind w:right="1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60" w:type="dxa"/>
            <w:vAlign w:val="bottom"/>
          </w:tcPr>
          <w:p>
            <w:pPr>
              <w:jc w:val="center"/>
              <w:ind w:left="8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2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00" w:type="dxa"/>
            <w:vAlign w:val="bottom"/>
          </w:tcPr>
          <w:p>
            <w:pPr>
              <w:spacing w:after="0"/>
              <w:rPr>
                <w:sz w:val="15"/>
                <w:szCs w:val="15"/>
                <w:color w:val="auto"/>
              </w:rPr>
            </w:pPr>
          </w:p>
        </w:tc>
        <w:tc>
          <w:tcPr>
            <w:tcW w:w="2260" w:type="dxa"/>
            <w:vAlign w:val="bottom"/>
          </w:tcPr>
          <w:p>
            <w:pPr>
              <w:jc w:val="center"/>
              <w:ind w:left="844"/>
              <w:spacing w:after="0"/>
              <w:rPr>
                <w:sz w:val="20"/>
                <w:szCs w:val="20"/>
                <w:color w:val="auto"/>
              </w:rPr>
            </w:pPr>
            <w:r>
              <w:rPr>
                <w:rFonts w:ascii="Times New Roman" w:cs="Times New Roman" w:eastAsia="Times New Roman" w:hAnsi="Times New Roman"/>
                <w:sz w:val="13"/>
                <w:szCs w:val="13"/>
                <w:b w:val="1"/>
                <w:bCs w:val="1"/>
                <w:color w:val="auto"/>
              </w:rPr>
              <w:t>Identification Number)</w:t>
            </w:r>
          </w:p>
        </w:tc>
      </w:tr>
      <w:tr>
        <w:trPr>
          <w:trHeight w:val="437"/>
        </w:trPr>
        <w:tc>
          <w:tcPr>
            <w:tcW w:w="292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300 North Beach Street</w:t>
            </w:r>
          </w:p>
        </w:tc>
        <w:tc>
          <w:tcPr>
            <w:tcW w:w="32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5"/>
        </w:trPr>
        <w:tc>
          <w:tcPr>
            <w:tcW w:w="292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Daytona Beach, Florida</w:t>
            </w:r>
          </w:p>
        </w:tc>
        <w:tc>
          <w:tcPr>
            <w:tcW w:w="3200" w:type="dxa"/>
            <w:vAlign w:val="bottom"/>
          </w:tcPr>
          <w:p>
            <w:pPr>
              <w:spacing w:after="0"/>
              <w:rPr>
                <w:sz w:val="20"/>
                <w:szCs w:val="20"/>
                <w:color w:val="auto"/>
              </w:rPr>
            </w:pPr>
          </w:p>
        </w:tc>
        <w:tc>
          <w:tcPr>
            <w:tcW w:w="2260" w:type="dxa"/>
            <w:vAlign w:val="bottom"/>
          </w:tcPr>
          <w:p>
            <w:pPr>
              <w:jc w:val="right"/>
              <w:ind w:right="384"/>
              <w:spacing w:after="0"/>
              <w:rPr>
                <w:sz w:val="20"/>
                <w:szCs w:val="20"/>
                <w:color w:val="auto"/>
              </w:rPr>
            </w:pPr>
            <w:r>
              <w:rPr>
                <w:rFonts w:ascii="Times New Roman" w:cs="Times New Roman" w:eastAsia="Times New Roman" w:hAnsi="Times New Roman"/>
                <w:sz w:val="18"/>
                <w:szCs w:val="18"/>
                <w:b w:val="1"/>
                <w:bCs w:val="1"/>
                <w:color w:val="auto"/>
              </w:rPr>
              <w:t>32114</w:t>
            </w:r>
          </w:p>
        </w:tc>
      </w:tr>
      <w:tr>
        <w:trPr>
          <w:trHeight w:val="178"/>
        </w:trPr>
        <w:tc>
          <w:tcPr>
            <w:tcW w:w="292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00" w:type="dxa"/>
            <w:vAlign w:val="bottom"/>
          </w:tcPr>
          <w:p>
            <w:pPr>
              <w:spacing w:after="0"/>
              <w:rPr>
                <w:sz w:val="15"/>
                <w:szCs w:val="15"/>
                <w:color w:val="auto"/>
              </w:rPr>
            </w:pPr>
          </w:p>
        </w:tc>
        <w:tc>
          <w:tcPr>
            <w:tcW w:w="2260" w:type="dxa"/>
            <w:vAlign w:val="bottom"/>
          </w:tcPr>
          <w:p>
            <w:pPr>
              <w:jc w:val="center"/>
              <w:ind w:left="8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(386) 252-9601</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700" w:hanging="679"/>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700" w:hanging="679"/>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700" w:hanging="679"/>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700" w:hanging="679"/>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$0.10 Par Value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BRO</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1" w:right="33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Effective January 12, 2024, the Board of Directors (the “Board”) of Brown &amp; Brown, Inc., a Florida corporation (the “Company”), increased the size of the Board from 14 directors to 15 directors. On January 12, 2024, the Board appointed Kathleen A. Savio, age 58, to serve as a director of the Company, effective immediately.</w:t>
      </w:r>
    </w:p>
    <w:p>
      <w:pPr>
        <w:spacing w:after="0" w:line="1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Ms. Savio retired from Zurich Insurance Group, effective December 31, 2023, most recently serving as Chief Transformation Officer from January 2021 until her retirement. From January 2018 to December 2020, she served as Chief Executive Officer for Zurich North America and Chairwoman of the Boards of Zurich American Insurance Company and Zurich Holding Company of America. From 2012 through 2017, Ms. Savio served as Zurich North America’s Head of Alternative Markets. She joined Zurich in 1991 as an entry-level technical writer and served in numerous positions, including Chief Administrative Officer for North America Commercial, as well as roles in product underwriting and corporate marketing.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Savio’s initial term as a director on the Board expires at the Company’s 2024 Annual Meeting of Shareholders.</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Ms. Savio was not appointed to any standing committees of the Board, but is expected to be appointed to one or more standing committees of the Board following the Company’s 2024 Annual Meeting of Shareholders, although which specific standing committee(s) has not been determined at the time of the filing of this Current Report on Form 8-K.</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a non-employee director on the Board, Ms. Savio will be compensated for service as a director in accordance with the standard compensation provided to non-employee directors. There are no arrangements or understandings between Ms. Savio and any other persons pursuant to which Ms. Savio was selected as a director, and there are no transactions in which the Company was or is to be a participant and in which Ms. Savio had or will have a direct or indirect material interest that are required to be reported pursuant to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935990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BROWN &amp; BROWN, INC.</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(Registrant)</w:t>
      </w:r>
    </w:p>
    <w:p>
      <w:pPr>
        <w:spacing w:after="0" w:line="382"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January 17,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Anthony M.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Anthony M. Robinson</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2024-01-17T16:15:11Z</dcterms:created>
  <dcterms:modified xsi:type="dcterms:W3CDTF">2024-01-17T16:15:11Z</dcterms:modified>
</cp:coreProperties>
</file>