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POE &amp; BROWN, INC.</w:t>
      </w:r>
    </w:p>
    <w:p>
      <w:pPr>
        <w:spacing w:after="0" w:line="179"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PROXY STATEMENT</w:t>
      </w:r>
    </w:p>
    <w:p>
      <w:pPr>
        <w:spacing w:after="0" w:line="360"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ANNUAL MEETING AND PROXY SOLICITATION INFORMATION</w:t>
      </w:r>
    </w:p>
    <w:p>
      <w:pPr>
        <w:spacing w:after="0" w:line="185" w:lineRule="exact"/>
        <w:rPr>
          <w:sz w:val="24"/>
          <w:szCs w:val="24"/>
          <w:color w:val="auto"/>
        </w:rPr>
      </w:pPr>
    </w:p>
    <w:p>
      <w:pPr>
        <w:ind w:left="4" w:right="2999" w:firstLine="844"/>
        <w:spacing w:after="0" w:line="236" w:lineRule="auto"/>
        <w:rPr>
          <w:sz w:val="20"/>
          <w:szCs w:val="20"/>
          <w:color w:val="auto"/>
        </w:rPr>
      </w:pPr>
      <w:r>
        <w:rPr>
          <w:rFonts w:ascii="Courier New" w:cs="Courier New" w:eastAsia="Courier New" w:hAnsi="Courier New"/>
          <w:sz w:val="16"/>
          <w:szCs w:val="16"/>
          <w:color w:val="auto"/>
        </w:rPr>
        <w:t>This Proxy Statement is first being sent to shareholders on or about March 15, 1999 in connection with the solicitation of proxies by the</w:t>
      </w:r>
    </w:p>
    <w:p>
      <w:pPr>
        <w:spacing w:after="0" w:line="4" w:lineRule="exact"/>
        <w:rPr>
          <w:sz w:val="24"/>
          <w:szCs w:val="24"/>
          <w:color w:val="auto"/>
        </w:rPr>
      </w:pPr>
    </w:p>
    <w:p>
      <w:pPr>
        <w:ind w:left="4" w:right="3559"/>
        <w:spacing w:after="0" w:line="254" w:lineRule="auto"/>
        <w:rPr>
          <w:sz w:val="20"/>
          <w:szCs w:val="20"/>
          <w:color w:val="auto"/>
        </w:rPr>
      </w:pPr>
      <w:r>
        <w:rPr>
          <w:rFonts w:ascii="Courier New" w:cs="Courier New" w:eastAsia="Courier New" w:hAnsi="Courier New"/>
          <w:sz w:val="15"/>
          <w:szCs w:val="15"/>
          <w:color w:val="auto"/>
        </w:rPr>
        <w:t>Board of Directors of Poe &amp; Brown, Inc. (the "Company"), to be voted at the Annual Meeting of Shareholders to be held in the Bill France "A"</w:t>
      </w:r>
    </w:p>
    <w:p>
      <w:pPr>
        <w:spacing w:after="0" w:line="1" w:lineRule="exact"/>
        <w:rPr>
          <w:sz w:val="24"/>
          <w:szCs w:val="24"/>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Room of the Hilton Daytona Beach Oceanfront Resort, 2637 S. Atlantic Avenue, Daytona Beach, Florida at 9:00 a.m. on Wednesday, April 28, 1999, and at any adjournment thereof (the "Meeting"). The close of business on</w:t>
      </w:r>
    </w:p>
    <w:p>
      <w:pPr>
        <w:spacing w:after="0" w:line="4" w:lineRule="exact"/>
        <w:rPr>
          <w:sz w:val="24"/>
          <w:szCs w:val="24"/>
          <w:color w:val="auto"/>
        </w:rPr>
      </w:pPr>
    </w:p>
    <w:p>
      <w:pPr>
        <w:ind w:left="4" w:right="3479"/>
        <w:spacing w:after="0" w:line="237" w:lineRule="auto"/>
        <w:rPr>
          <w:sz w:val="20"/>
          <w:szCs w:val="20"/>
          <w:color w:val="auto"/>
        </w:rPr>
      </w:pPr>
      <w:r>
        <w:rPr>
          <w:rFonts w:ascii="Courier New" w:cs="Courier New" w:eastAsia="Courier New" w:hAnsi="Courier New"/>
          <w:sz w:val="16"/>
          <w:szCs w:val="16"/>
          <w:color w:val="auto"/>
        </w:rPr>
        <w:t>March 5, 1999 has been fixed as the record date for the determination of shareholders entitled to notice of and to vote at the Meeting. At the close of business on the record date, the Company had outstanding 13,491,211 shares of $.10 par value common stock, entitled to one vote per share.</w:t>
      </w:r>
    </w:p>
    <w:p>
      <w:pPr>
        <w:spacing w:after="0" w:line="187" w:lineRule="exact"/>
        <w:rPr>
          <w:sz w:val="24"/>
          <w:szCs w:val="24"/>
          <w:color w:val="auto"/>
        </w:rPr>
      </w:pPr>
    </w:p>
    <w:p>
      <w:pPr>
        <w:ind w:left="4" w:right="3099" w:firstLine="750"/>
        <w:spacing w:after="0" w:line="237" w:lineRule="auto"/>
        <w:rPr>
          <w:sz w:val="20"/>
          <w:szCs w:val="20"/>
          <w:color w:val="auto"/>
        </w:rPr>
      </w:pPr>
      <w:r>
        <w:rPr>
          <w:rFonts w:ascii="Courier New" w:cs="Courier New" w:eastAsia="Courier New" w:hAnsi="Courier New"/>
          <w:sz w:val="16"/>
          <w:szCs w:val="16"/>
          <w:color w:val="auto"/>
        </w:rPr>
        <w:t>Shares represented by duly executed proxies in the accompanying form received by the Company prior to the Meeting will be voted at the Meeting. If a shareholder specifies in the proxy a choice with respect to any matter to be acted upon, the shares represented by such proxy</w:t>
      </w:r>
    </w:p>
    <w:p>
      <w:pPr>
        <w:spacing w:after="0" w:line="6" w:lineRule="exact"/>
        <w:rPr>
          <w:sz w:val="24"/>
          <w:szCs w:val="24"/>
          <w:color w:val="auto"/>
        </w:rPr>
      </w:pPr>
    </w:p>
    <w:p>
      <w:pPr>
        <w:ind w:left="4" w:right="3559"/>
        <w:spacing w:after="0" w:line="254" w:lineRule="auto"/>
        <w:rPr>
          <w:sz w:val="20"/>
          <w:szCs w:val="20"/>
          <w:color w:val="auto"/>
        </w:rPr>
      </w:pPr>
      <w:r>
        <w:rPr>
          <w:rFonts w:ascii="Courier New" w:cs="Courier New" w:eastAsia="Courier New" w:hAnsi="Courier New"/>
          <w:sz w:val="15"/>
          <w:szCs w:val="15"/>
          <w:color w:val="auto"/>
        </w:rPr>
        <w:t>will be voted as specified. If a proxy card is signed and returned without specifying a vote or an abstention on any proposal, the shares represented by such proxy will be voted according to the recommendation of the Board of Directors on that proposal. The Board of Directors recommends a vote FOR the election of the directors and the proposal to change the corporate name of the Company. The Board of Directors knows of no other matters that may be brought before the Meeting.</w:t>
      </w:r>
    </w:p>
    <w:p>
      <w:pPr>
        <w:spacing w:after="0" w:line="4" w:lineRule="exact"/>
        <w:rPr>
          <w:sz w:val="24"/>
          <w:szCs w:val="24"/>
          <w:color w:val="auto"/>
        </w:rPr>
      </w:pPr>
    </w:p>
    <w:p>
      <w:pPr>
        <w:ind w:left="4" w:right="3279"/>
        <w:spacing w:after="0" w:line="237" w:lineRule="auto"/>
        <w:rPr>
          <w:sz w:val="20"/>
          <w:szCs w:val="20"/>
          <w:color w:val="auto"/>
        </w:rPr>
      </w:pPr>
      <w:r>
        <w:rPr>
          <w:rFonts w:ascii="Courier New" w:cs="Courier New" w:eastAsia="Courier New" w:hAnsi="Courier New"/>
          <w:sz w:val="16"/>
          <w:szCs w:val="16"/>
          <w:color w:val="auto"/>
        </w:rPr>
        <w:t>However, if any other matters are properly presented for action, it is the intention of the named proxies to vote on them according to their best judgment.</w:t>
      </w:r>
    </w:p>
    <w:p>
      <w:pPr>
        <w:spacing w:after="0" w:line="185" w:lineRule="exact"/>
        <w:rPr>
          <w:sz w:val="24"/>
          <w:szCs w:val="24"/>
          <w:color w:val="auto"/>
        </w:rPr>
      </w:pPr>
    </w:p>
    <w:p>
      <w:pPr>
        <w:ind w:left="4" w:right="3479" w:firstLine="844"/>
        <w:spacing w:after="0" w:line="254" w:lineRule="auto"/>
        <w:rPr>
          <w:sz w:val="20"/>
          <w:szCs w:val="20"/>
          <w:color w:val="auto"/>
        </w:rPr>
      </w:pPr>
      <w:r>
        <w:rPr>
          <w:rFonts w:ascii="Courier New" w:cs="Courier New" w:eastAsia="Courier New" w:hAnsi="Courier New"/>
          <w:sz w:val="15"/>
          <w:szCs w:val="15"/>
          <w:color w:val="auto"/>
        </w:rPr>
        <w:t>Shareholders who hold their shares through an intermediary must provide instructions on voting as requested by their bank or broker.</w:t>
      </w:r>
    </w:p>
    <w:p>
      <w:pPr>
        <w:spacing w:after="0" w:line="1" w:lineRule="exact"/>
        <w:rPr>
          <w:sz w:val="24"/>
          <w:szCs w:val="24"/>
          <w:color w:val="auto"/>
        </w:rPr>
      </w:pPr>
    </w:p>
    <w:p>
      <w:pPr>
        <w:ind w:left="4" w:right="3179"/>
        <w:spacing w:after="0" w:line="237" w:lineRule="auto"/>
        <w:rPr>
          <w:sz w:val="20"/>
          <w:szCs w:val="20"/>
          <w:color w:val="auto"/>
        </w:rPr>
      </w:pPr>
      <w:r>
        <w:rPr>
          <w:rFonts w:ascii="Courier New" w:cs="Courier New" w:eastAsia="Courier New" w:hAnsi="Courier New"/>
          <w:sz w:val="16"/>
          <w:szCs w:val="16"/>
          <w:color w:val="auto"/>
        </w:rPr>
        <w:t>A shareholder who signs and returns a proxy may revoke it at any time before it is voted by taking one of the following three actions: (i) giving written notice of the revocation to the Secretary of the Company;</w:t>
      </w:r>
    </w:p>
    <w:p>
      <w:pPr>
        <w:spacing w:after="0" w:line="4" w:lineRule="exact"/>
        <w:rPr>
          <w:sz w:val="24"/>
          <w:szCs w:val="24"/>
          <w:color w:val="auto"/>
        </w:rPr>
      </w:pPr>
    </w:p>
    <w:p>
      <w:pPr>
        <w:ind w:left="4" w:right="3479" w:hanging="4"/>
        <w:spacing w:after="0" w:line="236" w:lineRule="auto"/>
        <w:tabs>
          <w:tab w:leader="none" w:pos="4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executing and delivering a proxy with a later date; or (iii) voting in person at the Meeting. Votes cast by proxy or in person</w:t>
      </w:r>
    </w:p>
    <w:p>
      <w:pPr>
        <w:spacing w:after="0" w:line="4" w:lineRule="exact"/>
        <w:rPr>
          <w:rFonts w:ascii="Courier New" w:cs="Courier New" w:eastAsia="Courier New" w:hAnsi="Courier New"/>
          <w:sz w:val="16"/>
          <w:szCs w:val="16"/>
          <w:color w:val="auto"/>
        </w:rPr>
      </w:pPr>
    </w:p>
    <w:p>
      <w:pPr>
        <w:ind w:left="4" w:right="41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 the Meeting will be tabulated by the Company's transfer agent, First Union National Bank of North Carolina, and by one or more inspectors of election appointed at the Meeting, who will</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also determine whether a quorum is present for the transaction of business.</w:t>
      </w:r>
    </w:p>
    <w:p>
      <w:pPr>
        <w:spacing w:after="0" w:line="184" w:lineRule="exact"/>
        <w:rPr>
          <w:sz w:val="24"/>
          <w:szCs w:val="24"/>
          <w:color w:val="auto"/>
        </w:rPr>
      </w:pPr>
    </w:p>
    <w:p>
      <w:pPr>
        <w:ind w:left="4" w:right="2819" w:firstLine="750"/>
        <w:spacing w:after="0" w:line="237" w:lineRule="auto"/>
        <w:rPr>
          <w:sz w:val="20"/>
          <w:szCs w:val="20"/>
          <w:color w:val="auto"/>
        </w:rPr>
      </w:pPr>
      <w:r>
        <w:rPr>
          <w:rFonts w:ascii="Courier New" w:cs="Courier New" w:eastAsia="Courier New" w:hAnsi="Courier New"/>
          <w:sz w:val="16"/>
          <w:szCs w:val="16"/>
          <w:color w:val="auto"/>
        </w:rPr>
        <w:t>A shareholder who abstains from voting on any proposal will be included in the number of shareholders present at the Meeting for the purpose of determining the presence of a quorum. Abstentions will not be counted</w:t>
      </w:r>
    </w:p>
    <w:p>
      <w:pPr>
        <w:spacing w:after="0" w:line="4" w:lineRule="exact"/>
        <w:rPr>
          <w:sz w:val="24"/>
          <w:szCs w:val="24"/>
          <w:color w:val="auto"/>
        </w:rPr>
      </w:pPr>
    </w:p>
    <w:p>
      <w:pPr>
        <w:ind w:left="4" w:right="3479"/>
        <w:spacing w:after="0" w:line="237" w:lineRule="auto"/>
        <w:rPr>
          <w:sz w:val="20"/>
          <w:szCs w:val="20"/>
          <w:color w:val="auto"/>
        </w:rPr>
      </w:pPr>
      <w:r>
        <w:rPr>
          <w:rFonts w:ascii="Courier New" w:cs="Courier New" w:eastAsia="Courier New" w:hAnsi="Courier New"/>
          <w:sz w:val="16"/>
          <w:szCs w:val="16"/>
          <w:color w:val="auto"/>
        </w:rPr>
        <w:t>either in favor of or against the election of the nominees for director or any of the other proposals. Brokers holding stock for the accounts of their clients who have not been given specific voting instructions as to a matter by their clients, may vote their clients' proxies in their own discretion.</w:t>
      </w:r>
    </w:p>
    <w:p>
      <w:pPr>
        <w:spacing w:after="0" w:line="368" w:lineRule="exact"/>
        <w:rPr>
          <w:sz w:val="24"/>
          <w:szCs w:val="24"/>
          <w:color w:val="auto"/>
        </w:rPr>
      </w:pPr>
    </w:p>
    <w:p>
      <w:pPr>
        <w:ind w:left="4" w:right="3379" w:firstLine="750"/>
        <w:spacing w:after="0" w:line="237" w:lineRule="auto"/>
        <w:rPr>
          <w:sz w:val="20"/>
          <w:szCs w:val="20"/>
          <w:color w:val="auto"/>
        </w:rPr>
      </w:pPr>
      <w:r>
        <w:rPr>
          <w:rFonts w:ascii="Courier New" w:cs="Courier New" w:eastAsia="Courier New" w:hAnsi="Courier New"/>
          <w:sz w:val="16"/>
          <w:szCs w:val="16"/>
          <w:color w:val="auto"/>
        </w:rPr>
        <w:t>The expense of preparing, printing and mailing proxy materials to shareholders of the Company will be borne by the Company. In addition to solicitations by mail, employees of the</w:t>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Company may solicit proxies on behalf of the Board of Directors in</w:t>
      </w:r>
    </w:p>
    <w:p>
      <w:pPr>
        <w:spacing w:after="0" w:line="4" w:lineRule="exact"/>
        <w:rPr>
          <w:sz w:val="24"/>
          <w:szCs w:val="24"/>
          <w:color w:val="auto"/>
        </w:rPr>
      </w:pPr>
    </w:p>
    <w:p>
      <w:pPr>
        <w:ind w:left="4" w:right="3379"/>
        <w:spacing w:after="0" w:line="254" w:lineRule="auto"/>
        <w:rPr>
          <w:sz w:val="20"/>
          <w:szCs w:val="20"/>
          <w:color w:val="auto"/>
        </w:rPr>
      </w:pPr>
      <w:r>
        <w:rPr>
          <w:rFonts w:ascii="Courier New" w:cs="Courier New" w:eastAsia="Courier New" w:hAnsi="Courier New"/>
          <w:sz w:val="15"/>
          <w:szCs w:val="15"/>
          <w:color w:val="auto"/>
        </w:rPr>
        <w:t>person or by telephone. The Company has also retained Corporate Investor Communications, Inc., of Carlstadt, New Jersey, to aid solicitation</w:t>
      </w:r>
    </w:p>
    <w:p>
      <w:pPr>
        <w:spacing w:after="0" w:line="1" w:lineRule="exact"/>
        <w:rPr>
          <w:sz w:val="24"/>
          <w:szCs w:val="24"/>
          <w:color w:val="auto"/>
        </w:rPr>
      </w:pPr>
    </w:p>
    <w:p>
      <w:pPr>
        <w:ind w:left="4" w:right="3659"/>
        <w:spacing w:after="0" w:line="237" w:lineRule="auto"/>
        <w:rPr>
          <w:sz w:val="20"/>
          <w:szCs w:val="20"/>
          <w:color w:val="auto"/>
        </w:rPr>
      </w:pPr>
      <w:r>
        <w:rPr>
          <w:rFonts w:ascii="Courier New" w:cs="Courier New" w:eastAsia="Courier New" w:hAnsi="Courier New"/>
          <w:sz w:val="16"/>
          <w:szCs w:val="16"/>
          <w:color w:val="auto"/>
        </w:rPr>
        <w:t>by mail for a fee of approximately $4,000, which will be paid by the Company. The Company will also reimburse brokerage houses and other nominees for their expenses in forwarding proxy material to beneficial owners of the Company's stock.</w:t>
      </w:r>
    </w:p>
    <w:p>
      <w:pPr>
        <w:spacing w:after="0" w:line="186" w:lineRule="exact"/>
        <w:rPr>
          <w:sz w:val="24"/>
          <w:szCs w:val="24"/>
          <w:color w:val="auto"/>
        </w:rPr>
      </w:pPr>
    </w:p>
    <w:p>
      <w:pPr>
        <w:ind w:left="4" w:right="3659" w:firstLine="844"/>
        <w:spacing w:after="0" w:line="236" w:lineRule="auto"/>
        <w:rPr>
          <w:sz w:val="20"/>
          <w:szCs w:val="20"/>
          <w:color w:val="auto"/>
        </w:rPr>
      </w:pPr>
      <w:r>
        <w:rPr>
          <w:rFonts w:ascii="Courier New" w:cs="Courier New" w:eastAsia="Courier New" w:hAnsi="Courier New"/>
          <w:sz w:val="16"/>
          <w:szCs w:val="16"/>
          <w:color w:val="auto"/>
        </w:rPr>
        <w:t>The executive offices of the Company are located at 220 South Ridgewood Avenue, Daytona Beach, Florida 32114 (telephone</w:t>
      </w:r>
    </w:p>
    <w:p>
      <w:pPr>
        <w:spacing w:after="0" w:line="4" w:lineRule="exact"/>
        <w:rPr>
          <w:sz w:val="24"/>
          <w:szCs w:val="24"/>
          <w:color w:val="auto"/>
        </w:rPr>
      </w:pPr>
    </w:p>
    <w:p>
      <w:pPr>
        <w:ind w:left="4" w:right="4319"/>
        <w:spacing w:after="0" w:line="236" w:lineRule="auto"/>
        <w:rPr>
          <w:sz w:val="20"/>
          <w:szCs w:val="20"/>
          <w:color w:val="auto"/>
        </w:rPr>
      </w:pPr>
      <w:r>
        <w:rPr>
          <w:rFonts w:ascii="Courier New" w:cs="Courier New" w:eastAsia="Courier New" w:hAnsi="Courier New"/>
          <w:sz w:val="16"/>
          <w:szCs w:val="16"/>
          <w:color w:val="auto"/>
        </w:rPr>
        <w:t>number (904) 252-9601) and 401 East Jackson Street, Suite 1700, Tampa, Florida 33602 (telephone number (813) 222-4100).</w:t>
      </w:r>
    </w:p>
    <w:p>
      <w:pPr>
        <w:spacing w:after="0" w:line="200" w:lineRule="exact"/>
        <w:rPr>
          <w:sz w:val="24"/>
          <w:szCs w:val="24"/>
          <w:color w:val="auto"/>
        </w:rPr>
      </w:pPr>
    </w:p>
    <w:p>
      <w:pPr>
        <w:spacing w:after="0" w:line="340" w:lineRule="exact"/>
        <w:rPr>
          <w:sz w:val="24"/>
          <w:szCs w:val="24"/>
          <w:color w:val="auto"/>
        </w:rPr>
      </w:pPr>
    </w:p>
    <w:p>
      <w:pPr>
        <w:ind w:left="1784"/>
        <w:spacing w:after="0"/>
        <w:rPr>
          <w:sz w:val="20"/>
          <w:szCs w:val="20"/>
          <w:color w:val="auto"/>
        </w:rPr>
      </w:pPr>
      <w:r>
        <w:rPr>
          <w:rFonts w:ascii="Courier New" w:cs="Courier New" w:eastAsia="Courier New" w:hAnsi="Courier New"/>
          <w:sz w:val="16"/>
          <w:szCs w:val="16"/>
          <w:color w:val="auto"/>
        </w:rPr>
        <w:t>SECURITY OWNERSHIP OF MANAGEMENT AND</w:t>
      </w:r>
    </w:p>
    <w:p>
      <w:pPr>
        <w:ind w:left="2244"/>
        <w:spacing w:after="0"/>
        <w:rPr>
          <w:sz w:val="20"/>
          <w:szCs w:val="20"/>
          <w:color w:val="auto"/>
        </w:rPr>
      </w:pPr>
      <w:r>
        <w:rPr>
          <w:rFonts w:ascii="Courier New" w:cs="Courier New" w:eastAsia="Courier New" w:hAnsi="Courier New"/>
          <w:sz w:val="16"/>
          <w:szCs w:val="16"/>
          <w:color w:val="auto"/>
        </w:rPr>
        <w:t>CERTAIN BENEFICIAL OWNERS</w:t>
      </w:r>
    </w:p>
    <w:p>
      <w:pPr>
        <w:spacing w:after="0" w:line="184" w:lineRule="exact"/>
        <w:rPr>
          <w:sz w:val="24"/>
          <w:szCs w:val="24"/>
          <w:color w:val="auto"/>
        </w:rPr>
      </w:pPr>
    </w:p>
    <w:p>
      <w:pPr>
        <w:ind w:left="4" w:right="3099" w:firstLine="844"/>
        <w:spacing w:after="0" w:line="236" w:lineRule="auto"/>
        <w:rPr>
          <w:sz w:val="20"/>
          <w:szCs w:val="20"/>
          <w:color w:val="auto"/>
        </w:rPr>
      </w:pPr>
      <w:r>
        <w:rPr>
          <w:rFonts w:ascii="Courier New" w:cs="Courier New" w:eastAsia="Courier New" w:hAnsi="Courier New"/>
          <w:sz w:val="16"/>
          <w:szCs w:val="16"/>
          <w:color w:val="auto"/>
        </w:rPr>
        <w:t>The following table sets forth, as of March 5, 1999, information as to the Company's common stock beneficially owned by (i) each director</w:t>
      </w:r>
    </w:p>
    <w:p>
      <w:pPr>
        <w:spacing w:after="0" w:line="4" w:lineRule="exact"/>
        <w:rPr>
          <w:sz w:val="24"/>
          <w:szCs w:val="24"/>
          <w:color w:val="auto"/>
        </w:rPr>
      </w:pPr>
    </w:p>
    <w:p>
      <w:pPr>
        <w:ind w:left="4" w:right="3659"/>
        <w:spacing w:after="0" w:line="237" w:lineRule="auto"/>
        <w:rPr>
          <w:sz w:val="20"/>
          <w:szCs w:val="20"/>
          <w:color w:val="auto"/>
        </w:rPr>
      </w:pPr>
      <w:r>
        <w:rPr>
          <w:rFonts w:ascii="Courier New" w:cs="Courier New" w:eastAsia="Courier New" w:hAnsi="Courier New"/>
          <w:sz w:val="16"/>
          <w:szCs w:val="16"/>
          <w:color w:val="auto"/>
        </w:rPr>
        <w:t>of the Company, (ii) each executive officer named in the Summary Compensation Table, (iii) all directors and executive officers of the Company as a group, and (iv) any person who is known by the Company to be the beneficial owner of more than 5% of the outstanding shares of the Company's common stock.</w:t>
      </w:r>
    </w:p>
    <w:p>
      <w:pPr>
        <w:sectPr>
          <w:pgSz w:w="11900" w:h="16845" w:orient="portrait"/>
          <w:cols w:equalWidth="0" w:num="1">
            <w:col w:w="10223"/>
          </w:cols>
          <w:pgMar w:left="236" w:top="774" w:right="1440" w:bottom="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3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Amount and Nature of</w:t>
            </w:r>
          </w:p>
        </w:tc>
        <w:tc>
          <w:tcPr>
            <w:tcW w:w="168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3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Beneficial Ownership(1)(2)</w:t>
            </w:r>
          </w:p>
        </w:tc>
        <w:tc>
          <w:tcPr>
            <w:tcW w:w="1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Percent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J. Hyatt Brown(3)</w:t>
            </w:r>
          </w:p>
        </w:tc>
        <w:tc>
          <w:tcPr>
            <w:tcW w:w="3480" w:type="dxa"/>
            <w:vAlign w:val="bottom"/>
          </w:tcPr>
          <w:p>
            <w:pPr>
              <w:ind w:left="1220"/>
              <w:spacing w:after="0"/>
              <w:rPr>
                <w:sz w:val="20"/>
                <w:szCs w:val="20"/>
                <w:color w:val="auto"/>
              </w:rPr>
            </w:pPr>
            <w:r>
              <w:rPr>
                <w:rFonts w:ascii="Courier New" w:cs="Courier New" w:eastAsia="Courier New" w:hAnsi="Courier New"/>
                <w:sz w:val="16"/>
                <w:szCs w:val="16"/>
                <w:color w:val="auto"/>
              </w:rPr>
              <w:t>2,717,666</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20.1%</w:t>
            </w: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220 South Ridgewood Avenue</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Daytona Beach, Florida  32114</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Samuel P. Bell, III(4)</w:t>
            </w:r>
          </w:p>
        </w:tc>
        <w:tc>
          <w:tcPr>
            <w:tcW w:w="348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1,650</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Bradley Currey, Jr.</w:t>
            </w:r>
          </w:p>
        </w:tc>
        <w:tc>
          <w:tcPr>
            <w:tcW w:w="3480" w:type="dxa"/>
            <w:vAlign w:val="bottom"/>
          </w:tcPr>
          <w:p>
            <w:pPr>
              <w:ind w:left="1220"/>
              <w:spacing w:after="0"/>
              <w:rPr>
                <w:sz w:val="20"/>
                <w:szCs w:val="20"/>
                <w:color w:val="auto"/>
              </w:rPr>
            </w:pPr>
            <w:r>
              <w:rPr>
                <w:rFonts w:ascii="Courier New" w:cs="Courier New" w:eastAsia="Courier New" w:hAnsi="Courier New"/>
                <w:sz w:val="16"/>
                <w:szCs w:val="16"/>
                <w:color w:val="auto"/>
              </w:rPr>
              <w:t>37,500</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Jim W. Henderson(5)</w:t>
            </w:r>
          </w:p>
        </w:tc>
        <w:tc>
          <w:tcPr>
            <w:tcW w:w="3480" w:type="dxa"/>
            <w:vAlign w:val="bottom"/>
          </w:tcPr>
          <w:p>
            <w:pPr>
              <w:ind w:left="1220"/>
              <w:spacing w:after="0"/>
              <w:rPr>
                <w:sz w:val="20"/>
                <w:szCs w:val="20"/>
                <w:color w:val="auto"/>
              </w:rPr>
            </w:pPr>
            <w:r>
              <w:rPr>
                <w:rFonts w:ascii="Courier New" w:cs="Courier New" w:eastAsia="Courier New" w:hAnsi="Courier New"/>
                <w:sz w:val="16"/>
                <w:szCs w:val="16"/>
                <w:color w:val="auto"/>
              </w:rPr>
              <w:t>120,483</w:t>
            </w: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Kenneth E. Hill(6)</w:t>
            </w:r>
          </w:p>
        </w:tc>
        <w:tc>
          <w:tcPr>
            <w:tcW w:w="348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6,048</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Theodore J. Hoepner</w:t>
            </w:r>
          </w:p>
        </w:tc>
        <w:tc>
          <w:tcPr>
            <w:tcW w:w="3480" w:type="dxa"/>
            <w:vAlign w:val="bottom"/>
          </w:tcPr>
          <w:p>
            <w:pPr>
              <w:jc w:val="right"/>
              <w:ind w:right="1522"/>
              <w:spacing w:after="0"/>
              <w:rPr>
                <w:sz w:val="20"/>
                <w:szCs w:val="20"/>
                <w:color w:val="auto"/>
              </w:rPr>
            </w:pPr>
            <w:r>
              <w:rPr>
                <w:rFonts w:ascii="Courier New" w:cs="Courier New" w:eastAsia="Courier New" w:hAnsi="Courier New"/>
                <w:sz w:val="16"/>
                <w:szCs w:val="16"/>
                <w:color w:val="auto"/>
              </w:rPr>
              <w:t>1,500</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David H. Hughes</w:t>
            </w:r>
          </w:p>
        </w:tc>
        <w:tc>
          <w:tcPr>
            <w:tcW w:w="348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1,500</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Toni Jennings</w:t>
            </w:r>
          </w:p>
        </w:tc>
        <w:tc>
          <w:tcPr>
            <w:tcW w:w="348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Jan E. Smith(7)</w:t>
            </w:r>
          </w:p>
        </w:tc>
        <w:tc>
          <w:tcPr>
            <w:tcW w:w="348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2,850</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William A. Zimmer(8)</w:t>
            </w:r>
          </w:p>
        </w:tc>
        <w:tc>
          <w:tcPr>
            <w:tcW w:w="3480" w:type="dxa"/>
            <w:vAlign w:val="bottom"/>
          </w:tcPr>
          <w:p>
            <w:pPr>
              <w:jc w:val="right"/>
              <w:ind w:right="1622"/>
              <w:spacing w:after="0"/>
              <w:rPr>
                <w:sz w:val="20"/>
                <w:szCs w:val="20"/>
                <w:color w:val="auto"/>
              </w:rPr>
            </w:pPr>
            <w:r>
              <w:rPr>
                <w:rFonts w:ascii="Courier New" w:cs="Courier New" w:eastAsia="Courier New" w:hAnsi="Courier New"/>
                <w:sz w:val="16"/>
                <w:szCs w:val="16"/>
                <w:color w:val="auto"/>
              </w:rPr>
              <w:t>3,639</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Laurel L. Grammig</w:t>
            </w:r>
          </w:p>
        </w:tc>
        <w:tc>
          <w:tcPr>
            <w:tcW w:w="3480" w:type="dxa"/>
            <w:vAlign w:val="bottom"/>
          </w:tcPr>
          <w:p>
            <w:pPr>
              <w:jc w:val="right"/>
              <w:ind w:right="1342"/>
              <w:spacing w:after="0"/>
              <w:rPr>
                <w:sz w:val="20"/>
                <w:szCs w:val="20"/>
                <w:color w:val="auto"/>
              </w:rPr>
            </w:pPr>
            <w:r>
              <w:rPr>
                <w:rFonts w:ascii="Courier New" w:cs="Courier New" w:eastAsia="Courier New" w:hAnsi="Courier New"/>
                <w:sz w:val="16"/>
                <w:szCs w:val="16"/>
                <w:color w:val="auto"/>
              </w:rPr>
              <w:t>8,606</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James L. Olivier</w:t>
            </w:r>
          </w:p>
        </w:tc>
        <w:tc>
          <w:tcPr>
            <w:tcW w:w="348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2,807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 Rowe Price Associates, Inc. (9)</w:t>
            </w:r>
          </w:p>
        </w:tc>
        <w:tc>
          <w:tcPr>
            <w:tcW w:w="348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1,485,950</w:t>
            </w:r>
          </w:p>
        </w:tc>
        <w:tc>
          <w:tcPr>
            <w:tcW w:w="16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11.0%</w:t>
            </w:r>
          </w:p>
        </w:tc>
      </w:tr>
      <w:tr>
        <w:trPr>
          <w:trHeight w:val="180"/>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100 E. Pratt Street</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Baltimore, MD 21202</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officers as a group (13 persons)</w:t>
            </w:r>
          </w:p>
        </w:tc>
        <w:tc>
          <w:tcPr>
            <w:tcW w:w="348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2,904,564</w:t>
            </w:r>
          </w:p>
        </w:tc>
        <w:tc>
          <w:tcPr>
            <w:tcW w:w="16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21.5%</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________________</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*Less than 1%</w:t>
            </w:r>
          </w:p>
        </w:tc>
        <w:tc>
          <w:tcPr>
            <w:tcW w:w="348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ind w:left="464" w:right="3099" w:hanging="370"/>
        <w:spacing w:after="0" w:line="254" w:lineRule="auto"/>
        <w:tabs>
          <w:tab w:leader="none" w:pos="7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shares, as determined in accordance with applicable Securities and Exchange Commission rules, includes shares as to which a person has or shares voting power and/or investment power. The Company has been informed that all shares shown are held of record with sole voting and investment power, except as otherwise indicated.</w:t>
      </w:r>
    </w:p>
    <w:p>
      <w:pPr>
        <w:spacing w:after="0" w:line="2" w:lineRule="exact"/>
        <w:rPr>
          <w:rFonts w:ascii="Courier New" w:cs="Courier New" w:eastAsia="Courier New" w:hAnsi="Courier New"/>
          <w:sz w:val="15"/>
          <w:szCs w:val="15"/>
          <w:color w:val="auto"/>
        </w:rPr>
      </w:pPr>
    </w:p>
    <w:p>
      <w:pPr>
        <w:ind w:left="464" w:right="2899" w:hanging="464"/>
        <w:spacing w:after="0" w:line="254" w:lineRule="auto"/>
        <w:tabs>
          <w:tab w:leader="none" w:pos="83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percentage of shares owned by the following persons include the indicated number of shares owned through the Company's 401(k) Plan as of December 31, 1998: Mr. Henderson - 48,718; Mr. Zimmer - 167; Ms. Grammig - 2,771; Mr. Olivier - 466; all directors and officers as a group - 52,122. The number and percentage of shares owned by the following persons include the indicated number of shares which such persons have been granted under the Company's Stock Performance Plan</w:t>
      </w:r>
    </w:p>
    <w:p>
      <w:pPr>
        <w:spacing w:after="0" w:line="3" w:lineRule="exact"/>
        <w:rPr>
          <w:rFonts w:ascii="Courier New" w:cs="Courier New" w:eastAsia="Courier New" w:hAnsi="Courier New"/>
          <w:sz w:val="15"/>
          <w:szCs w:val="15"/>
          <w:color w:val="auto"/>
        </w:rPr>
      </w:pPr>
    </w:p>
    <w:p>
      <w:pPr>
        <w:ind w:left="464" w:right="32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1998 and which have satisfied the first condition for vesting: Mr. Henderson - 15,000; Ms. Grammig - 3,000; Mr. Zimmer</w:t>
      </w:r>
    </w:p>
    <w:p>
      <w:pPr>
        <w:ind w:left="664" w:hanging="195"/>
        <w:spacing w:after="0"/>
        <w:tabs>
          <w:tab w:leader="none" w:pos="664"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2,730; Mr. Olivier - 1,365; all officers and directors as a group</w:t>
      </w:r>
    </w:p>
    <w:p>
      <w:pPr>
        <w:ind w:left="664" w:hanging="195"/>
        <w:spacing w:after="0"/>
        <w:tabs>
          <w:tab w:leader="none" w:pos="664"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22,095.  These Stock Performance Plan shares have voting rights,</w:t>
      </w:r>
    </w:p>
    <w:p>
      <w:pPr>
        <w:spacing w:after="0" w:line="3" w:lineRule="exact"/>
        <w:rPr>
          <w:sz w:val="20"/>
          <w:szCs w:val="20"/>
          <w:color w:val="auto"/>
        </w:rPr>
      </w:pPr>
    </w:p>
    <w:p>
      <w:pPr>
        <w:ind w:left="464" w:right="3099"/>
        <w:spacing w:after="0" w:line="254" w:lineRule="auto"/>
        <w:rPr>
          <w:sz w:val="20"/>
          <w:szCs w:val="20"/>
          <w:color w:val="auto"/>
        </w:rPr>
      </w:pPr>
      <w:r>
        <w:rPr>
          <w:rFonts w:ascii="Courier New" w:cs="Courier New" w:eastAsia="Courier New" w:hAnsi="Courier New"/>
          <w:sz w:val="15"/>
          <w:szCs w:val="15"/>
          <w:color w:val="auto"/>
        </w:rPr>
        <w:t>but the holders thereof have no power to sell or dispose of the shares, and the shares are subject to forfeiture. See "Executive Compensation - Long-Term Incentive Plans - Awards in Last Fiscal Year."</w:t>
      </w:r>
    </w:p>
    <w:p>
      <w:pPr>
        <w:spacing w:after="0" w:line="2" w:lineRule="exact"/>
        <w:rPr>
          <w:sz w:val="20"/>
          <w:szCs w:val="20"/>
          <w:color w:val="auto"/>
        </w:rPr>
      </w:pPr>
    </w:p>
    <w:p>
      <w:pPr>
        <w:ind w:left="464" w:right="3179" w:hanging="464"/>
        <w:spacing w:after="0" w:line="237" w:lineRule="auto"/>
        <w:tabs>
          <w:tab w:leader="none" w:pos="8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are beneficially owned jointly with Mr. Brown's wife through a limited partnership, and these shares have shared voting and investment power.</w:t>
      </w:r>
    </w:p>
    <w:p>
      <w:pPr>
        <w:spacing w:after="0" w:line="4" w:lineRule="exact"/>
        <w:rPr>
          <w:rFonts w:ascii="Courier New" w:cs="Courier New" w:eastAsia="Courier New" w:hAnsi="Courier New"/>
          <w:sz w:val="16"/>
          <w:szCs w:val="16"/>
          <w:color w:val="auto"/>
        </w:rPr>
      </w:pPr>
    </w:p>
    <w:p>
      <w:pPr>
        <w:ind w:left="464" w:right="2999" w:hanging="464"/>
        <w:spacing w:after="0" w:line="236" w:lineRule="auto"/>
        <w:tabs>
          <w:tab w:leader="none" w:pos="8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are held in joint tenancy with Mr. Bell's wife, and these shares have shared voting and investment power.</w:t>
      </w:r>
    </w:p>
    <w:p>
      <w:pPr>
        <w:spacing w:after="0" w:line="4" w:lineRule="exact"/>
        <w:rPr>
          <w:rFonts w:ascii="Courier New" w:cs="Courier New" w:eastAsia="Courier New" w:hAnsi="Courier New"/>
          <w:sz w:val="16"/>
          <w:szCs w:val="16"/>
          <w:color w:val="auto"/>
        </w:rPr>
      </w:pPr>
    </w:p>
    <w:p>
      <w:pPr>
        <w:ind w:left="464" w:right="3099" w:hanging="464"/>
        <w:spacing w:after="0" w:line="263" w:lineRule="auto"/>
        <w:tabs>
          <w:tab w:leader="none" w:pos="83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Henderson's ownership includes 1,500 shares owned by a daughter sharing his household, as to which beneficial ownership is disclaimed.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4" w:right="2819" w:hanging="464"/>
        <w:spacing w:after="0" w:line="254" w:lineRule="auto"/>
        <w:tabs>
          <w:tab w:leader="none" w:pos="83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are owned by Mr. Hill's spouse, and he disclaims beneficial ownership of these shares. Mr. Hill is not standing for re-election as</w:t>
      </w:r>
    </w:p>
    <w:p>
      <w:pPr>
        <w:ind w:left="4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 director of the Company.</w:t>
      </w:r>
    </w:p>
    <w:p>
      <w:pPr>
        <w:spacing w:after="0" w:line="3" w:lineRule="exact"/>
        <w:rPr>
          <w:rFonts w:ascii="Courier New" w:cs="Courier New" w:eastAsia="Courier New" w:hAnsi="Courier New"/>
          <w:sz w:val="15"/>
          <w:szCs w:val="15"/>
          <w:color w:val="auto"/>
        </w:rPr>
      </w:pPr>
    </w:p>
    <w:p>
      <w:pPr>
        <w:ind w:left="464" w:right="2999" w:hanging="464"/>
        <w:spacing w:after="0" w:line="236" w:lineRule="auto"/>
        <w:tabs>
          <w:tab w:leader="none" w:pos="8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Smith's ownership includes 350 shares owned by his spouse, as to which he disclaims beneficial ownership.</w:t>
      </w:r>
    </w:p>
    <w:p>
      <w:pPr>
        <w:spacing w:after="0" w:line="4" w:lineRule="exact"/>
        <w:rPr>
          <w:rFonts w:ascii="Courier New" w:cs="Courier New" w:eastAsia="Courier New" w:hAnsi="Courier New"/>
          <w:sz w:val="16"/>
          <w:szCs w:val="16"/>
          <w:color w:val="auto"/>
        </w:rPr>
      </w:pPr>
    </w:p>
    <w:p>
      <w:pPr>
        <w:ind w:left="464" w:right="2999" w:hanging="464"/>
        <w:spacing w:after="0" w:line="237" w:lineRule="auto"/>
        <w:tabs>
          <w:tab w:leader="none" w:pos="8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Zimmer resigned as an executive officer of the Company effective March 1, 1999, and accepted a position as profit center manager of the Company's Jacksonville office.</w:t>
      </w:r>
    </w:p>
    <w:p>
      <w:pPr>
        <w:spacing w:after="0" w:line="4" w:lineRule="exact"/>
        <w:rPr>
          <w:rFonts w:ascii="Courier New" w:cs="Courier New" w:eastAsia="Courier New" w:hAnsi="Courier New"/>
          <w:sz w:val="16"/>
          <w:szCs w:val="16"/>
          <w:color w:val="auto"/>
        </w:rPr>
      </w:pPr>
    </w:p>
    <w:p>
      <w:pPr>
        <w:ind w:left="464" w:right="3099" w:hanging="464"/>
        <w:spacing w:after="0" w:line="254" w:lineRule="auto"/>
        <w:tabs>
          <w:tab w:leader="none" w:pos="83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contained in a report filed by T. Rowe Price Associates, Inc. ("Price Associates") with the Securities and Exchange Commission, these securities are owned by various individuals and institutional investors, including T. Rowe Price Small-Cap Value</w:t>
      </w:r>
    </w:p>
    <w:p>
      <w:pPr>
        <w:spacing w:after="0" w:line="2" w:lineRule="exact"/>
        <w:rPr>
          <w:rFonts w:ascii="Courier New" w:cs="Courier New" w:eastAsia="Courier New" w:hAnsi="Courier New"/>
          <w:sz w:val="15"/>
          <w:szCs w:val="15"/>
          <w:color w:val="auto"/>
        </w:rPr>
      </w:pPr>
    </w:p>
    <w:p>
      <w:pPr>
        <w:ind w:left="464" w:right="327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Fund (which owns 875,000 shares, representing 6.5% of the shares outstanding), for which Price Associates serves as investment adviser with power to direct investments and/or sole power to vote the securities. Under Securities and Exchange Commission rules, Price Associates is deemed to be a beneficial owner of such securities; however, Price Associates disclaims beneficial ownership of such securities.</w:t>
      </w:r>
    </w:p>
    <w:p>
      <w:pPr>
        <w:spacing w:after="0" w:line="18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MANAGEMENT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85" w:lineRule="exact"/>
        <w:rPr>
          <w:sz w:val="20"/>
          <w:szCs w:val="20"/>
          <w:color w:val="auto"/>
        </w:rPr>
      </w:pPr>
    </w:p>
    <w:p>
      <w:pPr>
        <w:ind w:left="4" w:right="2619" w:firstLine="750"/>
        <w:spacing w:after="0" w:line="254" w:lineRule="auto"/>
        <w:rPr>
          <w:sz w:val="20"/>
          <w:szCs w:val="20"/>
          <w:color w:val="auto"/>
        </w:rPr>
      </w:pPr>
      <w:r>
        <w:rPr>
          <w:rFonts w:ascii="Courier New" w:cs="Courier New" w:eastAsia="Courier New" w:hAnsi="Courier New"/>
          <w:sz w:val="15"/>
          <w:szCs w:val="15"/>
          <w:color w:val="auto"/>
        </w:rPr>
        <w:t>Set forth below is certain information concerning the Company's executive officers and directors nominated for election at the Meeting. All directors</w:t>
      </w:r>
    </w:p>
    <w:p>
      <w:pPr>
        <w:spacing w:after="0" w:line="1"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and officers hold office for one-year terms or until their successors are elected and qualified.</w:t>
      </w:r>
    </w:p>
    <w:p>
      <w:pPr>
        <w:sectPr>
          <w:pgSz w:w="11900" w:h="16838" w:orient="portrait"/>
          <w:cols w:equalWidth="0" w:num="1">
            <w:col w:w="10223"/>
          </w:cols>
          <w:pgMar w:left="236" w:top="858" w:right="1440" w:bottom="263" w:gutter="0" w:footer="0" w:header="0"/>
        </w:sectPr>
      </w:pPr>
    </w:p>
    <w:bookmarkStart w:id="2" w:name="page3"/>
    <w:bookmarkEnd w:id="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Became a</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Positions</w:t>
            </w:r>
          </w:p>
        </w:tc>
        <w:tc>
          <w:tcPr>
            <w:tcW w:w="46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Age</w:t>
            </w:r>
          </w:p>
        </w:tc>
      </w:tr>
      <w:tr>
        <w:trPr>
          <w:trHeight w:val="180"/>
        </w:trPr>
        <w:tc>
          <w:tcPr>
            <w:tcW w:w="1960" w:type="dxa"/>
            <w:vAlign w:val="bottom"/>
          </w:tcPr>
          <w:p>
            <w:pPr>
              <w:spacing w:after="0"/>
              <w:rPr>
                <w:sz w:val="20"/>
                <w:szCs w:val="20"/>
                <w:color w:val="auto"/>
              </w:rPr>
            </w:pPr>
            <w:r>
              <w:rPr>
                <w:rFonts w:ascii="Courier New" w:cs="Courier New" w:eastAsia="Courier New" w:hAnsi="Courier New"/>
                <w:sz w:val="16"/>
                <w:szCs w:val="16"/>
                <w:color w:val="auto"/>
              </w:rPr>
              <w:t>_____</w:t>
            </w:r>
          </w:p>
        </w:tc>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_________</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0"/>
              </w:rPr>
              <w:t>___</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________</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J. Hyatt Brown</w:t>
            </w:r>
          </w:p>
        </w:tc>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President</w:t>
            </w:r>
          </w:p>
        </w:tc>
        <w:tc>
          <w:tcPr>
            <w:tcW w:w="460" w:type="dxa"/>
            <w:vAlign w:val="bottom"/>
          </w:tcPr>
          <w:p>
            <w:pPr>
              <w:spacing w:after="0"/>
              <w:rPr>
                <w:sz w:val="24"/>
                <w:szCs w:val="24"/>
                <w:color w:val="auto"/>
              </w:rPr>
            </w:pPr>
          </w:p>
        </w:tc>
        <w:tc>
          <w:tcPr>
            <w:tcW w:w="12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61</w:t>
            </w:r>
          </w:p>
        </w:tc>
      </w:tr>
      <w:tr>
        <w:trPr>
          <w:trHeight w:val="180"/>
        </w:trPr>
        <w:tc>
          <w:tcPr>
            <w:tcW w:w="1960" w:type="dxa"/>
            <w:vAlign w:val="bottom"/>
          </w:tcPr>
          <w:p>
            <w:pPr>
              <w:spacing w:after="0"/>
              <w:rPr>
                <w:sz w:val="15"/>
                <w:szCs w:val="15"/>
                <w:color w:val="auto"/>
              </w:rPr>
            </w:pPr>
          </w:p>
        </w:tc>
        <w:tc>
          <w:tcPr>
            <w:tcW w:w="39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and Chief Executive Officer</w:t>
            </w:r>
          </w:p>
        </w:tc>
        <w:tc>
          <w:tcPr>
            <w:tcW w:w="1220" w:type="dxa"/>
            <w:vAlign w:val="bottom"/>
          </w:tcPr>
          <w:p>
            <w:pPr>
              <w:spacing w:after="0"/>
              <w:rPr>
                <w:sz w:val="15"/>
                <w:szCs w:val="15"/>
                <w:color w:val="auto"/>
              </w:rPr>
            </w:pP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Jim W. Henderson</w:t>
            </w:r>
          </w:p>
        </w:tc>
        <w:tc>
          <w:tcPr>
            <w:tcW w:w="3480" w:type="dxa"/>
            <w:vAlign w:val="bottom"/>
          </w:tcPr>
          <w:p>
            <w:pPr>
              <w:ind w:left="860"/>
              <w:spacing w:after="0"/>
              <w:rPr>
                <w:sz w:val="20"/>
                <w:szCs w:val="20"/>
                <w:color w:val="auto"/>
              </w:rPr>
            </w:pPr>
            <w:r>
              <w:rPr>
                <w:rFonts w:ascii="Courier New" w:cs="Courier New" w:eastAsia="Courier New" w:hAnsi="Courier New"/>
                <w:sz w:val="16"/>
                <w:szCs w:val="16"/>
                <w:color w:val="auto"/>
              </w:rPr>
              <w:t>Executive Vice President,</w:t>
            </w:r>
          </w:p>
        </w:tc>
        <w:tc>
          <w:tcPr>
            <w:tcW w:w="46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w:t>
            </w:r>
          </w:p>
        </w:tc>
      </w:tr>
      <w:tr>
        <w:trPr>
          <w:trHeight w:val="180"/>
        </w:trPr>
        <w:tc>
          <w:tcPr>
            <w:tcW w:w="1960" w:type="dxa"/>
            <w:vAlign w:val="bottom"/>
          </w:tcPr>
          <w:p>
            <w:pPr>
              <w:spacing w:after="0"/>
              <w:rPr>
                <w:sz w:val="15"/>
                <w:szCs w:val="15"/>
                <w:color w:val="auto"/>
              </w:rPr>
            </w:pPr>
          </w:p>
        </w:tc>
        <w:tc>
          <w:tcPr>
            <w:tcW w:w="3480" w:type="dxa"/>
            <w:vAlign w:val="bottom"/>
          </w:tcPr>
          <w:p>
            <w:pPr>
              <w:ind w:left="1040"/>
              <w:spacing w:after="0"/>
              <w:rPr>
                <w:sz w:val="20"/>
                <w:szCs w:val="20"/>
                <w:color w:val="auto"/>
              </w:rPr>
            </w:pPr>
            <w:r>
              <w:rPr>
                <w:rFonts w:ascii="Courier New" w:cs="Courier New" w:eastAsia="Courier New" w:hAnsi="Courier New"/>
                <w:sz w:val="16"/>
                <w:szCs w:val="16"/>
                <w:color w:val="auto"/>
              </w:rPr>
              <w:t>Assistant Treasurer</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and Director</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Samuel P. Bell, III</w:t>
            </w:r>
          </w:p>
        </w:tc>
        <w:tc>
          <w:tcPr>
            <w:tcW w:w="3480" w:type="dxa"/>
            <w:vAlign w:val="bottom"/>
          </w:tcPr>
          <w:p>
            <w:pPr>
              <w:ind w:left="56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Bradley Currey, Jr.</w:t>
            </w:r>
          </w:p>
        </w:tc>
        <w:tc>
          <w:tcPr>
            <w:tcW w:w="3480" w:type="dxa"/>
            <w:vAlign w:val="bottom"/>
          </w:tcPr>
          <w:p>
            <w:pPr>
              <w:ind w:left="56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Theodore J. Hoepner</w:t>
            </w:r>
          </w:p>
        </w:tc>
        <w:tc>
          <w:tcPr>
            <w:tcW w:w="3480" w:type="dxa"/>
            <w:vAlign w:val="bottom"/>
          </w:tcPr>
          <w:p>
            <w:pPr>
              <w:ind w:left="56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David H. Hughes</w:t>
            </w:r>
          </w:p>
        </w:tc>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55</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Toni Jennings</w:t>
            </w:r>
          </w:p>
        </w:tc>
        <w:tc>
          <w:tcPr>
            <w:tcW w:w="3480" w:type="dxa"/>
            <w:vAlign w:val="bottom"/>
          </w:tcPr>
          <w:p>
            <w:pPr>
              <w:ind w:left="38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Jan E. Smith</w:t>
            </w:r>
          </w:p>
        </w:tc>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4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w:t>
            </w: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Laurel L. Grammig</w:t>
            </w:r>
          </w:p>
        </w:tc>
        <w:tc>
          <w:tcPr>
            <w:tcW w:w="3480" w:type="dxa"/>
            <w:vAlign w:val="bottom"/>
          </w:tcPr>
          <w:p>
            <w:pPr>
              <w:ind w:left="760"/>
              <w:spacing w:after="0"/>
              <w:rPr>
                <w:sz w:val="20"/>
                <w:szCs w:val="20"/>
                <w:color w:val="auto"/>
              </w:rPr>
            </w:pPr>
            <w:r>
              <w:rPr>
                <w:rFonts w:ascii="Courier New" w:cs="Courier New" w:eastAsia="Courier New" w:hAnsi="Courier New"/>
                <w:sz w:val="16"/>
                <w:szCs w:val="16"/>
                <w:color w:val="auto"/>
                <w:w w:val="96"/>
              </w:rPr>
              <w:t>Vice President, Secretary and</w:t>
            </w:r>
          </w:p>
        </w:tc>
        <w:tc>
          <w:tcPr>
            <w:tcW w:w="460" w:type="dxa"/>
            <w:vAlign w:val="bottom"/>
          </w:tcPr>
          <w:p>
            <w:pPr>
              <w:spacing w:after="0"/>
              <w:rPr>
                <w:sz w:val="24"/>
                <w:szCs w:val="24"/>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w:t>
            </w:r>
          </w:p>
        </w:tc>
      </w:tr>
      <w:tr>
        <w:trPr>
          <w:trHeight w:val="180"/>
        </w:trPr>
        <w:tc>
          <w:tcPr>
            <w:tcW w:w="1960" w:type="dxa"/>
            <w:vAlign w:val="bottom"/>
          </w:tcPr>
          <w:p>
            <w:pPr>
              <w:spacing w:after="0"/>
              <w:rPr>
                <w:sz w:val="15"/>
                <w:szCs w:val="15"/>
                <w:color w:val="auto"/>
              </w:rPr>
            </w:pPr>
          </w:p>
        </w:tc>
        <w:tc>
          <w:tcPr>
            <w:tcW w:w="3480" w:type="dxa"/>
            <w:vAlign w:val="bottom"/>
          </w:tcPr>
          <w:p>
            <w:pPr>
              <w:ind w:left="1040"/>
              <w:spacing w:after="0"/>
              <w:rPr>
                <w:sz w:val="20"/>
                <w:szCs w:val="20"/>
                <w:color w:val="auto"/>
              </w:rPr>
            </w:pPr>
            <w:r>
              <w:rPr>
                <w:rFonts w:ascii="Courier New" w:cs="Courier New" w:eastAsia="Courier New" w:hAnsi="Courier New"/>
                <w:sz w:val="16"/>
                <w:szCs w:val="16"/>
                <w:color w:val="auto"/>
              </w:rPr>
              <w:t>General Counsel</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Jeffrey R. Paro</w:t>
            </w:r>
          </w:p>
        </w:tc>
        <w:tc>
          <w:tcPr>
            <w:tcW w:w="39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Vice President, Chief Financial</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w:t>
            </w:r>
          </w:p>
        </w:tc>
      </w:tr>
      <w:tr>
        <w:trPr>
          <w:trHeight w:val="180"/>
        </w:trPr>
        <w:tc>
          <w:tcPr>
            <w:tcW w:w="544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Officer and Treasurer</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James L. Olivier</w:t>
            </w:r>
          </w:p>
        </w:tc>
        <w:tc>
          <w:tcPr>
            <w:tcW w:w="3480" w:type="dxa"/>
            <w:vAlign w:val="bottom"/>
          </w:tcPr>
          <w:p>
            <w:pPr>
              <w:ind w:left="860"/>
              <w:spacing w:after="0"/>
              <w:rPr>
                <w:sz w:val="20"/>
                <w:szCs w:val="20"/>
                <w:color w:val="auto"/>
              </w:rPr>
            </w:pPr>
            <w:r>
              <w:rPr>
                <w:rFonts w:ascii="Courier New" w:cs="Courier New" w:eastAsia="Courier New" w:hAnsi="Courier New"/>
                <w:sz w:val="16"/>
                <w:szCs w:val="16"/>
                <w:color w:val="auto"/>
                <w:w w:val="96"/>
              </w:rPr>
              <w:t>Vice President and Assistant</w:t>
            </w:r>
          </w:p>
        </w:tc>
        <w:tc>
          <w:tcPr>
            <w:tcW w:w="460" w:type="dxa"/>
            <w:vAlign w:val="bottom"/>
          </w:tcPr>
          <w:p>
            <w:pPr>
              <w:spacing w:after="0"/>
              <w:rPr>
                <w:sz w:val="24"/>
                <w:szCs w:val="24"/>
                <w:color w:val="auto"/>
              </w:rPr>
            </w:pPr>
          </w:p>
        </w:tc>
        <w:tc>
          <w:tcPr>
            <w:tcW w:w="12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38</w:t>
            </w:r>
          </w:p>
        </w:tc>
      </w:tr>
      <w:tr>
        <w:trPr>
          <w:trHeight w:val="180"/>
        </w:trPr>
        <w:tc>
          <w:tcPr>
            <w:tcW w:w="1960" w:type="dxa"/>
            <w:vAlign w:val="bottom"/>
          </w:tcPr>
          <w:p>
            <w:pPr>
              <w:spacing w:after="0"/>
              <w:rPr>
                <w:sz w:val="15"/>
                <w:szCs w:val="15"/>
                <w:color w:val="auto"/>
              </w:rPr>
            </w:pPr>
          </w:p>
        </w:tc>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General Counsel</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80" w:firstLine="750"/>
        <w:spacing w:after="0" w:line="237" w:lineRule="auto"/>
        <w:rPr>
          <w:sz w:val="20"/>
          <w:szCs w:val="20"/>
          <w:color w:val="auto"/>
        </w:rPr>
      </w:pPr>
      <w:r>
        <w:rPr>
          <w:rFonts w:ascii="Courier New" w:cs="Courier New" w:eastAsia="Courier New" w:hAnsi="Courier New"/>
          <w:sz w:val="16"/>
          <w:szCs w:val="16"/>
          <w:color w:val="auto"/>
        </w:rPr>
        <w:t>J. Hyatt Brown. Mr. Brown has been the President and Chief Executive Officer of the Company since April 1993, and the Chairman of the Board of Directors since October 1994. Mr. Brown has been President and Chief Executive Officer of Brown &amp; Brown, Inc., presently a subsidiary of the Company, since 1961. He was a member of the Florida House of</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6"/>
              </w:rPr>
              <w:t>Representatives from 1972</w:t>
            </w:r>
          </w:p>
        </w:tc>
        <w:tc>
          <w:tcPr>
            <w:tcW w:w="4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1980, and Speaker of the House from 1978</w:t>
            </w: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to 1980.  Mr. Brown serves on the</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Board of Directors of SunTrust Banks,</w:t>
            </w:r>
          </w:p>
        </w:tc>
      </w:tr>
      <w:tr>
        <w:trPr>
          <w:trHeight w:val="180"/>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6"/>
              </w:rPr>
              <w:t>Inc., SunTrust Bank, East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Central</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Florida, N.A., International Speedway</w:t>
            </w: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Corporation, The FPL Group, Inc.,</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w w:val="97"/>
              </w:rPr>
              <w:t>BellSouth Corporation, Rock-Tenn Company,</w:t>
            </w:r>
          </w:p>
        </w:tc>
      </w:tr>
      <w:tr>
        <w:trPr>
          <w:trHeight w:val="180"/>
        </w:trPr>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and First Floridian Auto and Home</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Insurance Company.  He also serves on</w:t>
            </w:r>
          </w:p>
        </w:tc>
      </w:tr>
      <w:tr>
        <w:trPr>
          <w:trHeight w:val="180"/>
        </w:trPr>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the Board of Trustees of</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Stetson</w:t>
            </w:r>
          </w:p>
        </w:tc>
        <w:tc>
          <w:tcPr>
            <w:tcW w:w="3900" w:type="dxa"/>
            <w:vAlign w:val="bottom"/>
          </w:tcPr>
          <w:p>
            <w:pPr>
              <w:ind w:left="40"/>
              <w:spacing w:after="0"/>
              <w:rPr>
                <w:sz w:val="20"/>
                <w:szCs w:val="20"/>
                <w:color w:val="auto"/>
              </w:rPr>
            </w:pPr>
            <w:r>
              <w:rPr>
                <w:rFonts w:ascii="Courier New" w:cs="Courier New" w:eastAsia="Courier New" w:hAnsi="Courier New"/>
                <w:sz w:val="16"/>
                <w:szCs w:val="16"/>
                <w:color w:val="auto"/>
              </w:rPr>
              <w:t>University.</w:t>
            </w:r>
          </w:p>
        </w:tc>
      </w:tr>
    </w:tbl>
    <w:p>
      <w:pPr>
        <w:spacing w:after="0" w:line="185" w:lineRule="exact"/>
        <w:rPr>
          <w:sz w:val="20"/>
          <w:szCs w:val="20"/>
          <w:color w:val="auto"/>
        </w:rPr>
      </w:pPr>
    </w:p>
    <w:p>
      <w:pPr>
        <w:ind w:right="180" w:firstLine="750"/>
        <w:spacing w:after="0" w:line="237" w:lineRule="auto"/>
        <w:rPr>
          <w:sz w:val="20"/>
          <w:szCs w:val="20"/>
          <w:color w:val="auto"/>
        </w:rPr>
      </w:pPr>
      <w:r>
        <w:rPr>
          <w:rFonts w:ascii="Courier New" w:cs="Courier New" w:eastAsia="Courier New" w:hAnsi="Courier New"/>
          <w:sz w:val="16"/>
          <w:szCs w:val="16"/>
          <w:color w:val="auto"/>
        </w:rPr>
        <w:t>Jim W. Henderson. Mr. Henderson served as Senior Vice President of the Company since April 1993, and was elected Executive Vice President in January of 1995. He served as Senior Vice President of Brown &amp;</w:t>
      </w:r>
    </w:p>
    <w:p>
      <w:pPr>
        <w:spacing w:after="0" w:line="4" w:lineRule="exact"/>
        <w:rPr>
          <w:sz w:val="20"/>
          <w:szCs w:val="20"/>
          <w:color w:val="auto"/>
        </w:rPr>
      </w:pPr>
    </w:p>
    <w:p>
      <w:pPr>
        <w:ind w:right="1400"/>
        <w:spacing w:after="0" w:line="236" w:lineRule="auto"/>
        <w:rPr>
          <w:sz w:val="20"/>
          <w:szCs w:val="20"/>
          <w:color w:val="auto"/>
        </w:rPr>
      </w:pPr>
      <w:r>
        <w:rPr>
          <w:rFonts w:ascii="Courier New" w:cs="Courier New" w:eastAsia="Courier New" w:hAnsi="Courier New"/>
          <w:sz w:val="16"/>
          <w:szCs w:val="16"/>
          <w:color w:val="auto"/>
        </w:rPr>
        <w:t>Brown, Inc. from 1989 to 1993. He also served as Chief Financial Officer of Brown &amp; Brown from 1985 to 1989.</w:t>
      </w:r>
    </w:p>
    <w:p>
      <w:pPr>
        <w:spacing w:after="0" w:line="185" w:lineRule="exact"/>
        <w:rPr>
          <w:sz w:val="20"/>
          <w:szCs w:val="20"/>
          <w:color w:val="auto"/>
        </w:rPr>
      </w:pPr>
    </w:p>
    <w:p>
      <w:pPr>
        <w:ind w:firstLine="750"/>
        <w:spacing w:after="0" w:line="236" w:lineRule="auto"/>
        <w:rPr>
          <w:sz w:val="20"/>
          <w:szCs w:val="20"/>
          <w:color w:val="auto"/>
        </w:rPr>
      </w:pPr>
      <w:r>
        <w:rPr>
          <w:rFonts w:ascii="Courier New" w:cs="Courier New" w:eastAsia="Courier New" w:hAnsi="Courier New"/>
          <w:sz w:val="16"/>
          <w:szCs w:val="16"/>
          <w:color w:val="auto"/>
        </w:rPr>
        <w:t>Samuel P. Bell, III. Mr. Bell has been a shareholder of the law firm of Pennington, Moore, Wilkinson, Bell &amp; Dunbar, P.A. since January 1, 1998</w:t>
      </w:r>
    </w:p>
    <w:p>
      <w:pPr>
        <w:spacing w:after="0" w:line="4" w:lineRule="exact"/>
        <w:rPr>
          <w:sz w:val="20"/>
          <w:szCs w:val="20"/>
          <w:color w:val="auto"/>
        </w:rPr>
      </w:pPr>
    </w:p>
    <w:p>
      <w:pPr>
        <w:ind w:right="840"/>
        <w:spacing w:after="0" w:line="237" w:lineRule="auto"/>
        <w:rPr>
          <w:sz w:val="20"/>
          <w:szCs w:val="20"/>
          <w:color w:val="auto"/>
        </w:rPr>
      </w:pPr>
      <w:r>
        <w:rPr>
          <w:rFonts w:ascii="Courier New" w:cs="Courier New" w:eastAsia="Courier New" w:hAnsi="Courier New"/>
          <w:sz w:val="16"/>
          <w:szCs w:val="16"/>
          <w:color w:val="auto"/>
        </w:rPr>
        <w:t>and also serves as Of Counsel to the law firm of Cobb, Cole &amp; Bell. Prior to that, he was a shareholder and managing partner of Cobb Cole &amp; Bell. He has served as counsel to Brown &amp; Brown, Inc. since 1964.</w:t>
      </w:r>
    </w:p>
    <w:p>
      <w:pPr>
        <w:spacing w:after="0" w:line="4" w:lineRule="exact"/>
        <w:rPr>
          <w:sz w:val="20"/>
          <w:szCs w:val="20"/>
          <w:color w:val="auto"/>
        </w:rPr>
      </w:pPr>
    </w:p>
    <w:p>
      <w:pPr>
        <w:ind w:right="840"/>
        <w:spacing w:after="0" w:line="236" w:lineRule="auto"/>
        <w:rPr>
          <w:sz w:val="20"/>
          <w:szCs w:val="20"/>
          <w:color w:val="auto"/>
        </w:rPr>
      </w:pPr>
      <w:r>
        <w:rPr>
          <w:rFonts w:ascii="Courier New" w:cs="Courier New" w:eastAsia="Courier New" w:hAnsi="Courier New"/>
          <w:sz w:val="16"/>
          <w:szCs w:val="16"/>
          <w:color w:val="auto"/>
        </w:rPr>
        <w:t>Mr. Bell was a member of the Florida House of Representatives from 1974 to 1988.</w:t>
      </w:r>
    </w:p>
    <w:p>
      <w:pPr>
        <w:spacing w:after="0" w:line="185" w:lineRule="exact"/>
        <w:rPr>
          <w:sz w:val="20"/>
          <w:szCs w:val="20"/>
          <w:color w:val="auto"/>
        </w:rPr>
      </w:pPr>
    </w:p>
    <w:p>
      <w:pPr>
        <w:ind w:right="380" w:firstLine="750"/>
        <w:spacing w:after="0" w:line="238" w:lineRule="auto"/>
        <w:rPr>
          <w:sz w:val="20"/>
          <w:szCs w:val="20"/>
          <w:color w:val="auto"/>
        </w:rPr>
      </w:pPr>
      <w:r>
        <w:rPr>
          <w:rFonts w:ascii="Courier New" w:cs="Courier New" w:eastAsia="Courier New" w:hAnsi="Courier New"/>
          <w:sz w:val="16"/>
          <w:szCs w:val="16"/>
          <w:color w:val="auto"/>
        </w:rPr>
        <w:t>Bradley Currey, Jr. Mr. Currey has been Chief Executive Officer of Rock-Tenn Company, a manufacturer of packaging and recycled paperboard products, since 1989, and has served as Chairman of the Board of Rock-Tenn since 1993. He also previously served as President (1978-1995) and Chief Operating Officer (1978-1989) of Rock-Tenn. Mr. Currey is a member of the Board of Directors of Genuine Parts Company and is the Chairman of the Board of Trustees of Emory University. He is also a past Chairman of the Federal Reserve Bank of Atlanta.</w:t>
      </w:r>
    </w:p>
    <w:p>
      <w:pPr>
        <w:spacing w:after="0" w:line="185" w:lineRule="exact"/>
        <w:rPr>
          <w:sz w:val="20"/>
          <w:szCs w:val="20"/>
          <w:color w:val="auto"/>
        </w:rPr>
      </w:pPr>
    </w:p>
    <w:p>
      <w:pPr>
        <w:ind w:right="280" w:firstLine="750"/>
        <w:spacing w:after="0" w:line="237" w:lineRule="auto"/>
        <w:rPr>
          <w:sz w:val="20"/>
          <w:szCs w:val="20"/>
          <w:color w:val="auto"/>
        </w:rPr>
      </w:pPr>
      <w:r>
        <w:rPr>
          <w:rFonts w:ascii="Courier New" w:cs="Courier New" w:eastAsia="Courier New" w:hAnsi="Courier New"/>
          <w:sz w:val="16"/>
          <w:szCs w:val="16"/>
          <w:color w:val="auto"/>
        </w:rPr>
        <w:t>Theodore J. Hoepner. Mr. Hoepner has been the Chairman of the Board, President and Chief Executive Officer of SunTrust Banks of Florida, Inc. since 1995. From 1990 through 1995, he served as Chairman of the Board, President and Chief Executive Officer of SunBank, N.A. From 1983 through 1990, he was the Chairman of the Board 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SunBank/Miami, N.A.</w:t>
      </w:r>
    </w:p>
    <w:p>
      <w:pPr>
        <w:spacing w:after="0" w:line="185" w:lineRule="exact"/>
        <w:rPr>
          <w:sz w:val="20"/>
          <w:szCs w:val="20"/>
          <w:color w:val="auto"/>
        </w:rPr>
      </w:pPr>
    </w:p>
    <w:p>
      <w:pPr>
        <w:ind w:right="100" w:firstLine="750"/>
        <w:spacing w:after="0" w:line="237" w:lineRule="auto"/>
        <w:rPr>
          <w:sz w:val="20"/>
          <w:szCs w:val="20"/>
          <w:color w:val="auto"/>
        </w:rPr>
      </w:pPr>
      <w:r>
        <w:rPr>
          <w:rFonts w:ascii="Courier New" w:cs="Courier New" w:eastAsia="Courier New" w:hAnsi="Courier New"/>
          <w:sz w:val="16"/>
          <w:szCs w:val="16"/>
          <w:color w:val="auto"/>
        </w:rPr>
        <w:t>David H. Hughes. Mr. Hughes has been President of Hughes Supply, Inc., a diversified wholesale distributor, since 1972. He has served as Chief Executive Officer of Hughes Supply since 1974 and Chairman of the Board</w:t>
      </w:r>
    </w:p>
    <w:p>
      <w:pPr>
        <w:spacing w:after="0" w:line="4" w:lineRule="exact"/>
        <w:rPr>
          <w:sz w:val="20"/>
          <w:szCs w:val="20"/>
          <w:color w:val="auto"/>
        </w:rPr>
      </w:pPr>
    </w:p>
    <w:p>
      <w:pPr>
        <w:ind w:right="560"/>
        <w:spacing w:after="0" w:line="259" w:lineRule="auto"/>
        <w:rPr>
          <w:sz w:val="20"/>
          <w:szCs w:val="20"/>
          <w:color w:val="auto"/>
        </w:rPr>
      </w:pPr>
      <w:r>
        <w:rPr>
          <w:rFonts w:ascii="Courier New" w:cs="Courier New" w:eastAsia="Courier New" w:hAnsi="Courier New"/>
          <w:sz w:val="15"/>
          <w:szCs w:val="15"/>
          <w:color w:val="auto"/>
        </w:rPr>
        <w:t>of Directors since 1986. Mr. Hughes is a member of the Board of Directors of SunTrust Banks, Inc., Orlando Regional Healthcare Systems, Arnold Palmer Children's Hospital, Florida Tax Watch and Accord Industries.</w:t>
      </w:r>
    </w:p>
    <w:p>
      <w:pPr>
        <w:spacing w:after="0" w:line="171" w:lineRule="exact"/>
        <w:rPr>
          <w:sz w:val="20"/>
          <w:szCs w:val="20"/>
          <w:color w:val="auto"/>
        </w:rPr>
      </w:pPr>
    </w:p>
    <w:p>
      <w:pPr>
        <w:ind w:right="560" w:firstLine="750"/>
        <w:spacing w:after="0" w:line="236" w:lineRule="auto"/>
        <w:rPr>
          <w:sz w:val="20"/>
          <w:szCs w:val="20"/>
          <w:color w:val="auto"/>
        </w:rPr>
      </w:pPr>
      <w:r>
        <w:rPr>
          <w:rFonts w:ascii="Courier New" w:cs="Courier New" w:eastAsia="Courier New" w:hAnsi="Courier New"/>
          <w:sz w:val="16"/>
          <w:szCs w:val="16"/>
          <w:color w:val="auto"/>
        </w:rPr>
        <w:t>Toni Jennings. Ms. Jennings was elected to the Company's Board of Directors in January 1999. She has been President of Jack Jennings &amp;</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Year First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36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1993</w:t>
      </w:r>
    </w:p>
    <w:p>
      <w:pPr>
        <w:spacing w:after="0" w:line="360"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1993</w:t>
      </w:r>
    </w:p>
    <w:p>
      <w:pPr>
        <w:spacing w:after="0" w:line="200" w:lineRule="exact"/>
        <w:rPr>
          <w:sz w:val="20"/>
          <w:szCs w:val="20"/>
          <w:color w:val="auto"/>
        </w:rPr>
      </w:pPr>
    </w:p>
    <w:p>
      <w:pPr>
        <w:spacing w:after="0" w:line="340"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1993</w:t>
      </w:r>
    </w:p>
    <w:p>
      <w:pPr>
        <w:spacing w:after="0" w:line="179"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1995</w:t>
      </w:r>
    </w:p>
    <w:p>
      <w:pPr>
        <w:spacing w:after="0" w:line="179"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1994</w:t>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1997</w:t>
      </w:r>
    </w:p>
    <w:p>
      <w:pPr>
        <w:spacing w:after="0" w:line="179"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1999</w:t>
      </w:r>
    </w:p>
    <w:p>
      <w:pPr>
        <w:spacing w:after="0" w:line="179"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1997</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jc w:val="right"/>
        <w:ind w:right="839"/>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500" w:space="560"/>
            <w:col w:w="2159"/>
          </w:cols>
          <w:pgMar w:left="240" w:top="317" w:right="1440" w:bottom="0" w:gutter="0" w:footer="0" w:header="0"/>
        </w:sectPr>
      </w:pPr>
    </w:p>
    <w:bookmarkStart w:id="3" w:name="page4"/>
    <w:bookmarkEnd w:id="3"/>
    <w:p>
      <w:pPr>
        <w:ind w:right="3479"/>
        <w:spacing w:after="0" w:line="237" w:lineRule="auto"/>
        <w:rPr>
          <w:sz w:val="20"/>
          <w:szCs w:val="20"/>
          <w:color w:val="auto"/>
        </w:rPr>
      </w:pPr>
      <w:r>
        <w:rPr>
          <w:rFonts w:ascii="Courier New" w:cs="Courier New" w:eastAsia="Courier New" w:hAnsi="Courier New"/>
          <w:sz w:val="16"/>
          <w:szCs w:val="16"/>
          <w:color w:val="auto"/>
        </w:rPr>
        <w:t>Sons, a commercial construction firm based in Orlando, Florida, since 1982. She has been a Florida State Senator since 1980 and currently serves as President of the Florida Senate. She previously served in the Florida House of Representatives from 1976 to 1980. She currently serves on the Salvation Army Advisory Board and the NationsBank Advisory Council.</w:t>
      </w:r>
    </w:p>
    <w:p>
      <w:pPr>
        <w:spacing w:after="0" w:line="200" w:lineRule="exact"/>
        <w:rPr>
          <w:sz w:val="20"/>
          <w:szCs w:val="20"/>
          <w:color w:val="auto"/>
        </w:rPr>
      </w:pPr>
    </w:p>
    <w:p>
      <w:pPr>
        <w:spacing w:after="0" w:line="349" w:lineRule="exact"/>
        <w:rPr>
          <w:sz w:val="20"/>
          <w:szCs w:val="20"/>
          <w:color w:val="auto"/>
        </w:rPr>
      </w:pPr>
    </w:p>
    <w:p>
      <w:pPr>
        <w:ind w:right="2539" w:firstLine="750"/>
        <w:spacing w:after="0" w:line="236" w:lineRule="auto"/>
        <w:rPr>
          <w:sz w:val="20"/>
          <w:szCs w:val="20"/>
          <w:color w:val="auto"/>
        </w:rPr>
      </w:pPr>
      <w:r>
        <w:rPr>
          <w:rFonts w:ascii="Courier New" w:cs="Courier New" w:eastAsia="Courier New" w:hAnsi="Courier New"/>
          <w:sz w:val="16"/>
          <w:szCs w:val="16"/>
          <w:color w:val="auto"/>
        </w:rPr>
        <w:t>Jan E. Smith. Mr. Smith has served as President of Jan Smith &amp; Company, a commercial real estate and business investment firm, since 1978. Mr. Smith</w:t>
      </w:r>
    </w:p>
    <w:p>
      <w:pPr>
        <w:spacing w:after="0" w:line="4" w:lineRule="exact"/>
        <w:rPr>
          <w:sz w:val="20"/>
          <w:szCs w:val="20"/>
          <w:color w:val="auto"/>
        </w:rPr>
      </w:pPr>
    </w:p>
    <w:p>
      <w:pPr>
        <w:ind w:right="3659"/>
        <w:spacing w:after="0" w:line="237" w:lineRule="auto"/>
        <w:rPr>
          <w:sz w:val="20"/>
          <w:szCs w:val="20"/>
          <w:color w:val="auto"/>
        </w:rPr>
      </w:pPr>
      <w:r>
        <w:rPr>
          <w:rFonts w:ascii="Courier New" w:cs="Courier New" w:eastAsia="Courier New" w:hAnsi="Courier New"/>
          <w:sz w:val="16"/>
          <w:szCs w:val="16"/>
          <w:color w:val="auto"/>
        </w:rPr>
        <w:t>is also the managing general partner of Ramblers Rest Resort, Ltd., a recreational vehicle park in Venice, Florida, and President of Travel Associates, Inc., which owns and operates Trexler World Travel Service in Charlotte, North Carolina. Mr. Smith also serves on the Board of Directors of SunTrust Bank, Gulf Coast.</w:t>
      </w:r>
    </w:p>
    <w:p>
      <w:pPr>
        <w:spacing w:after="0" w:line="187" w:lineRule="exact"/>
        <w:rPr>
          <w:sz w:val="20"/>
          <w:szCs w:val="20"/>
          <w:color w:val="auto"/>
        </w:rPr>
      </w:pPr>
    </w:p>
    <w:p>
      <w:pPr>
        <w:ind w:right="2899" w:firstLine="750"/>
        <w:spacing w:after="0" w:line="254" w:lineRule="auto"/>
        <w:rPr>
          <w:sz w:val="20"/>
          <w:szCs w:val="20"/>
          <w:color w:val="auto"/>
        </w:rPr>
      </w:pPr>
      <w:r>
        <w:rPr>
          <w:rFonts w:ascii="Courier New" w:cs="Courier New" w:eastAsia="Courier New" w:hAnsi="Courier New"/>
          <w:sz w:val="15"/>
          <w:szCs w:val="15"/>
          <w:color w:val="auto"/>
        </w:rPr>
        <w:t>Laurel L. Grammig. Ms. Grammig has been Secretary and General Counsel of the Company since January 1994, and she became a Vice President in</w:t>
      </w:r>
    </w:p>
    <w:p>
      <w:pPr>
        <w:spacing w:after="0" w:line="1"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April 1994. She was a partner of the law firm of Holland &amp; Knight from 1991 through 1993.</w:t>
      </w:r>
    </w:p>
    <w:p>
      <w:pPr>
        <w:spacing w:after="0" w:line="185" w:lineRule="exact"/>
        <w:rPr>
          <w:sz w:val="20"/>
          <w:szCs w:val="20"/>
          <w:color w:val="auto"/>
        </w:rPr>
      </w:pPr>
    </w:p>
    <w:p>
      <w:pPr>
        <w:ind w:right="2619" w:firstLine="750"/>
        <w:spacing w:after="0" w:line="237" w:lineRule="auto"/>
        <w:rPr>
          <w:sz w:val="20"/>
          <w:szCs w:val="20"/>
          <w:color w:val="auto"/>
        </w:rPr>
      </w:pPr>
      <w:r>
        <w:rPr>
          <w:rFonts w:ascii="Courier New" w:cs="Courier New" w:eastAsia="Courier New" w:hAnsi="Courier New"/>
          <w:sz w:val="16"/>
          <w:szCs w:val="16"/>
          <w:color w:val="auto"/>
        </w:rPr>
        <w:t>Jeffrey R. Paro. Mr. Paro became Vice President, Chief Financial Officer and Treasurer of the Company on March 1, 1999. He joined the Company in 1997 and served as Tax Director until his recent promotion. Before</w:t>
      </w:r>
    </w:p>
    <w:p>
      <w:pPr>
        <w:spacing w:after="0"/>
        <w:rPr>
          <w:sz w:val="20"/>
          <w:szCs w:val="20"/>
          <w:color w:val="auto"/>
        </w:rPr>
      </w:pPr>
      <w:r>
        <w:rPr>
          <w:rFonts w:ascii="Courier New" w:cs="Courier New" w:eastAsia="Courier New" w:hAnsi="Courier New"/>
          <w:sz w:val="16"/>
          <w:szCs w:val="16"/>
          <w:color w:val="auto"/>
        </w:rPr>
        <w:t>joining the Company, he worked for six years in the tax department of</w:t>
      </w:r>
    </w:p>
    <w:p>
      <w:pPr>
        <w:spacing w:after="0" w:line="237" w:lineRule="auto"/>
        <w:rPr>
          <w:sz w:val="20"/>
          <w:szCs w:val="20"/>
          <w:color w:val="auto"/>
        </w:rPr>
      </w:pPr>
      <w:r>
        <w:rPr>
          <w:rFonts w:ascii="Courier New" w:cs="Courier New" w:eastAsia="Courier New" w:hAnsi="Courier New"/>
          <w:sz w:val="16"/>
          <w:szCs w:val="16"/>
          <w:color w:val="auto"/>
        </w:rPr>
        <w:t>Price Waterhouse in Milwaukee, Wisconsin, serving the last two years as tax</w:t>
      </w:r>
    </w:p>
    <w:p>
      <w:pPr>
        <w:spacing w:after="0"/>
        <w:rPr>
          <w:sz w:val="20"/>
          <w:szCs w:val="20"/>
          <w:color w:val="auto"/>
        </w:rPr>
      </w:pPr>
      <w:r>
        <w:rPr>
          <w:rFonts w:ascii="Courier New" w:cs="Courier New" w:eastAsia="Courier New" w:hAnsi="Courier New"/>
          <w:sz w:val="16"/>
          <w:szCs w:val="16"/>
          <w:color w:val="auto"/>
        </w:rPr>
        <w:t>manager.</w:t>
      </w:r>
    </w:p>
    <w:p>
      <w:pPr>
        <w:spacing w:after="0" w:line="184" w:lineRule="exact"/>
        <w:rPr>
          <w:sz w:val="20"/>
          <w:szCs w:val="20"/>
          <w:color w:val="auto"/>
        </w:rPr>
      </w:pPr>
    </w:p>
    <w:p>
      <w:pPr>
        <w:ind w:right="2339" w:firstLine="938"/>
        <w:spacing w:after="0" w:line="236" w:lineRule="auto"/>
        <w:rPr>
          <w:sz w:val="20"/>
          <w:szCs w:val="20"/>
          <w:color w:val="auto"/>
        </w:rPr>
      </w:pPr>
      <w:r>
        <w:rPr>
          <w:rFonts w:ascii="Courier New" w:cs="Courier New" w:eastAsia="Courier New" w:hAnsi="Courier New"/>
          <w:sz w:val="16"/>
          <w:szCs w:val="16"/>
          <w:color w:val="auto"/>
        </w:rPr>
        <w:t>James L. Olivier. Mr. Olivier was elected a Vice President of the Company in April 1998 and has served as Assistant General Counsel since joining</w:t>
      </w:r>
    </w:p>
    <w:p>
      <w:pPr>
        <w:spacing w:after="0" w:line="4"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the Company in 1996. Prior to that, Mr. Olivier was an associate and then partner of the law firm of Holland &amp; Knight.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of the Board of Directors and Standing Committees</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During 1998, the Company's Board of Directors held seven meetings. Each incumbent director attended at least 75% of the total number of Board meetings and meetings of committees of which he or she is a member, except for Ms. Jennings, who did not join the Board of Directors until January 1999.</w:t>
      </w:r>
    </w:p>
    <w:p>
      <w:pPr>
        <w:spacing w:after="0" w:line="186" w:lineRule="exact"/>
        <w:rPr>
          <w:sz w:val="20"/>
          <w:szCs w:val="20"/>
          <w:color w:val="auto"/>
        </w:rPr>
      </w:pPr>
    </w:p>
    <w:p>
      <w:pPr>
        <w:ind w:right="2539" w:firstLine="750"/>
        <w:spacing w:after="0" w:line="236" w:lineRule="auto"/>
        <w:rPr>
          <w:sz w:val="20"/>
          <w:szCs w:val="20"/>
          <w:color w:val="auto"/>
        </w:rPr>
      </w:pPr>
      <w:r>
        <w:rPr>
          <w:rFonts w:ascii="Courier New" w:cs="Courier New" w:eastAsia="Courier New" w:hAnsi="Courier New"/>
          <w:sz w:val="16"/>
          <w:szCs w:val="16"/>
          <w:color w:val="auto"/>
        </w:rPr>
        <w:t>The Company's Board of Directors has a Compensation Committee and an Audit Committee. The Compensation Committee currently consists of Samuel P.</w:t>
      </w:r>
    </w:p>
    <w:p>
      <w:pPr>
        <w:spacing w:after="0" w:line="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6"/>
          <w:szCs w:val="16"/>
          <w:color w:val="auto"/>
        </w:rPr>
        <w:t>Bell, III (Chairman), J. Hyatt Brown, Bradley Currey, Jr., Theodore J. Hoepner, David H. Hughes, Toni Jennings and Jan E. Smith. The Compensation Committee recommends to the Board base salary levels and bonuses for the Chief Executive Officer and approves the guidelines used to determine salary levels and bonuses for the other executive officers of the Company. See "Executive Compensation - Board Compensation Committee Report on Executive Compensation." The Compensation Committee also reviews and makes recommendations with respect to the Company's existing and proposed compensation plans, and is responsible for administering the Company's Amended 1989 Stock Option Plan, the 1990 Employee Stock Purchase Plan, and the Stock Performance Plan. The Compensation Committee met four times in 1998.</w:t>
      </w:r>
    </w:p>
    <w:p>
      <w:pPr>
        <w:spacing w:after="0" w:line="188" w:lineRule="exact"/>
        <w:rPr>
          <w:sz w:val="20"/>
          <w:szCs w:val="20"/>
          <w:color w:val="auto"/>
        </w:rPr>
      </w:pPr>
    </w:p>
    <w:p>
      <w:pPr>
        <w:ind w:right="3099" w:firstLine="750"/>
        <w:spacing w:after="0" w:line="237" w:lineRule="auto"/>
        <w:rPr>
          <w:sz w:val="20"/>
          <w:szCs w:val="20"/>
          <w:color w:val="auto"/>
        </w:rPr>
      </w:pPr>
      <w:r>
        <w:rPr>
          <w:rFonts w:ascii="Courier New" w:cs="Courier New" w:eastAsia="Courier New" w:hAnsi="Courier New"/>
          <w:sz w:val="16"/>
          <w:szCs w:val="16"/>
          <w:color w:val="auto"/>
        </w:rPr>
        <w:t>The members of the Audit Committee currently are Theodore J. Hoepner (Chairman), Samuel P. Bell, III, Bradley Currey, Jr., David H. Hughes, Toni Jennings and Jan E. Smith. The duties of the Audit Committee, which met four times during 1998, are to recommend to the Board</w:t>
      </w:r>
    </w:p>
    <w:p>
      <w:pPr>
        <w:spacing w:after="0" w:line="6"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of Directors the selection of independent certified public accountants, to meet with the Company's independent certified public accountants to review the scope and results of the annual</w:t>
      </w:r>
    </w:p>
    <w:p>
      <w:pPr>
        <w:spacing w:after="0" w:line="200" w:lineRule="exact"/>
        <w:rPr>
          <w:sz w:val="20"/>
          <w:szCs w:val="20"/>
          <w:color w:val="auto"/>
        </w:rPr>
      </w:pPr>
    </w:p>
    <w:p>
      <w:pPr>
        <w:spacing w:after="0" w:line="345"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audit, and to consider various accounting and auditing matters related to the Company, including its system of internal controls and financial management practices.</w:t>
      </w:r>
    </w:p>
    <w:p>
      <w:pPr>
        <w:spacing w:after="0" w:line="185" w:lineRule="exact"/>
        <w:rPr>
          <w:sz w:val="20"/>
          <w:szCs w:val="20"/>
          <w:color w:val="auto"/>
        </w:rPr>
      </w:pPr>
    </w:p>
    <w:p>
      <w:pPr>
        <w:ind w:right="3099" w:firstLine="844"/>
        <w:spacing w:after="0" w:line="236" w:lineRule="auto"/>
        <w:rPr>
          <w:sz w:val="20"/>
          <w:szCs w:val="20"/>
          <w:color w:val="auto"/>
        </w:rPr>
      </w:pPr>
      <w:r>
        <w:rPr>
          <w:rFonts w:ascii="Courier New" w:cs="Courier New" w:eastAsia="Courier New" w:hAnsi="Courier New"/>
          <w:sz w:val="16"/>
          <w:szCs w:val="16"/>
          <w:color w:val="auto"/>
        </w:rPr>
        <w:t>The Company does not have a nominating committee. This function is performed by the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5" w:lineRule="exact"/>
        <w:rPr>
          <w:sz w:val="20"/>
          <w:szCs w:val="20"/>
          <w:color w:val="auto"/>
        </w:rPr>
      </w:pPr>
    </w:p>
    <w:p>
      <w:pPr>
        <w:ind w:right="2819" w:firstLine="750"/>
        <w:spacing w:after="0" w:line="236" w:lineRule="auto"/>
        <w:rPr>
          <w:sz w:val="20"/>
          <w:szCs w:val="20"/>
          <w:color w:val="auto"/>
        </w:rPr>
      </w:pPr>
      <w:r>
        <w:rPr>
          <w:rFonts w:ascii="Courier New" w:cs="Courier New" w:eastAsia="Courier New" w:hAnsi="Courier New"/>
          <w:sz w:val="16"/>
          <w:szCs w:val="16"/>
          <w:color w:val="auto"/>
        </w:rPr>
        <w:t>Directors who are not employees of the Company are paid $3,000 for each Board meeting attended in person and $1,500 for each Board meeting</w:t>
      </w:r>
    </w:p>
    <w:p>
      <w:pPr>
        <w:spacing w:after="0" w:line="4" w:lineRule="exact"/>
        <w:rPr>
          <w:sz w:val="20"/>
          <w:szCs w:val="20"/>
          <w:color w:val="auto"/>
        </w:rPr>
      </w:pPr>
    </w:p>
    <w:p>
      <w:pPr>
        <w:ind w:right="3939"/>
        <w:spacing w:after="0" w:line="254" w:lineRule="auto"/>
        <w:rPr>
          <w:sz w:val="20"/>
          <w:szCs w:val="20"/>
          <w:color w:val="auto"/>
        </w:rPr>
      </w:pPr>
      <w:r>
        <w:rPr>
          <w:rFonts w:ascii="Courier New" w:cs="Courier New" w:eastAsia="Courier New" w:hAnsi="Courier New"/>
          <w:sz w:val="15"/>
          <w:szCs w:val="15"/>
          <w:color w:val="auto"/>
        </w:rPr>
        <w:t>attended by telephone. Directors receive $1,500 for each committee meeting attended if such meetings occur other than in conjunction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with regularly scheduled quarterly Board meetings. In 1998, Mr. Hughes and Mr. Smith each received $1,500 for their service on a special committee appointed by the Board of Directors.</w:t>
      </w:r>
    </w:p>
    <w:p>
      <w:pPr>
        <w:spacing w:after="0" w:line="185" w:lineRule="exact"/>
        <w:rPr>
          <w:sz w:val="20"/>
          <w:szCs w:val="20"/>
          <w:color w:val="auto"/>
        </w:rPr>
      </w:pPr>
    </w:p>
    <w:p>
      <w:pPr>
        <w:ind w:right="2899" w:firstLine="750"/>
        <w:spacing w:after="0" w:line="237" w:lineRule="auto"/>
        <w:rPr>
          <w:sz w:val="20"/>
          <w:szCs w:val="20"/>
          <w:color w:val="auto"/>
        </w:rPr>
      </w:pPr>
      <w:r>
        <w:rPr>
          <w:rFonts w:ascii="Courier New" w:cs="Courier New" w:eastAsia="Courier New" w:hAnsi="Courier New"/>
          <w:sz w:val="16"/>
          <w:szCs w:val="16"/>
          <w:color w:val="auto"/>
        </w:rPr>
        <w:t>In addition, directors are eligible to receive grants of stock options under the Company's Amended 1989 Stock Option Plan. No option grants were made to directors in 1998. All directors receive reimbursement of reasonable out-of-pocket expenses incurred in connection with meetings</w:t>
      </w:r>
    </w:p>
    <w:p>
      <w:pPr>
        <w:spacing w:after="0" w:line="6"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of the Board of Directors. No director who is an employee of the Company receives separate compensation for services rendered as a director.</w:t>
      </w:r>
    </w:p>
    <w:p>
      <w:pPr>
        <w:spacing w:after="0" w:line="16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ectPr>
          <w:pgSz w:w="11900" w:h="16838" w:orient="portrait"/>
          <w:cols w:equalWidth="0" w:num="1">
            <w:col w:w="10219"/>
          </w:cols>
          <w:pgMar w:left="240" w:top="142" w:right="1440" w:bottom="0" w:gutter="0" w:footer="0" w:header="0"/>
        </w:sectPr>
      </w:pPr>
    </w:p>
    <w:bookmarkStart w:id="4" w:name="page5"/>
    <w:bookmarkEnd w:id="4"/>
    <w:p>
      <w:pPr>
        <w:ind w:left="4" w:right="2540" w:firstLine="750"/>
        <w:spacing w:after="0" w:line="236" w:lineRule="auto"/>
        <w:rPr>
          <w:sz w:val="20"/>
          <w:szCs w:val="20"/>
          <w:color w:val="auto"/>
        </w:rPr>
      </w:pPr>
      <w:r>
        <w:rPr>
          <w:rFonts w:ascii="Courier New" w:cs="Courier New" w:eastAsia="Courier New" w:hAnsi="Courier New"/>
          <w:sz w:val="16"/>
          <w:szCs w:val="16"/>
          <w:color w:val="auto"/>
        </w:rPr>
        <w:t>Section 16(a) of the Securities Exchange Act of 1934 requires the Company's executive officers and directors, and persons who own more than ten</w:t>
      </w:r>
    </w:p>
    <w:p>
      <w:pPr>
        <w:spacing w:after="0" w:line="4" w:lineRule="exact"/>
        <w:rPr>
          <w:sz w:val="20"/>
          <w:szCs w:val="20"/>
          <w:color w:val="auto"/>
        </w:rPr>
      </w:pPr>
    </w:p>
    <w:p>
      <w:pPr>
        <w:ind w:left="4" w:right="3480"/>
        <w:spacing w:after="0" w:line="237" w:lineRule="auto"/>
        <w:rPr>
          <w:sz w:val="20"/>
          <w:szCs w:val="20"/>
          <w:color w:val="auto"/>
        </w:rPr>
      </w:pPr>
      <w:r>
        <w:rPr>
          <w:rFonts w:ascii="Courier New" w:cs="Courier New" w:eastAsia="Courier New" w:hAnsi="Courier New"/>
          <w:sz w:val="16"/>
          <w:szCs w:val="16"/>
          <w:color w:val="auto"/>
        </w:rPr>
        <w:t>percent of the outstanding shares of common stock of the Company, to file reports of ownership and changes in ownership with the Securities and Exchange Commission. Officers, directors and ten percent shareholders are required by SEC regulations to furnish the Company with copies of all Section 16(a) reports they file.</w:t>
      </w:r>
    </w:p>
    <w:p>
      <w:pPr>
        <w:spacing w:after="0" w:line="187" w:lineRule="exact"/>
        <w:rPr>
          <w:sz w:val="20"/>
          <w:szCs w:val="20"/>
          <w:color w:val="auto"/>
        </w:rPr>
      </w:pPr>
    </w:p>
    <w:p>
      <w:pPr>
        <w:ind w:left="4" w:right="2820" w:firstLine="750"/>
        <w:spacing w:after="0" w:line="236" w:lineRule="auto"/>
        <w:rPr>
          <w:sz w:val="20"/>
          <w:szCs w:val="20"/>
          <w:color w:val="auto"/>
        </w:rPr>
      </w:pPr>
      <w:r>
        <w:rPr>
          <w:rFonts w:ascii="Courier New" w:cs="Courier New" w:eastAsia="Courier New" w:hAnsi="Courier New"/>
          <w:sz w:val="16"/>
          <w:szCs w:val="16"/>
          <w:color w:val="auto"/>
        </w:rPr>
        <w:t>Based solely on its review of the copies of such reports received by it, and written representations from certain reporting persons that no SEC</w:t>
      </w:r>
    </w:p>
    <w:p>
      <w:pPr>
        <w:spacing w:after="0" w:line="4" w:lineRule="exact"/>
        <w:rPr>
          <w:sz w:val="20"/>
          <w:szCs w:val="20"/>
          <w:color w:val="auto"/>
        </w:rPr>
      </w:pPr>
    </w:p>
    <w:p>
      <w:pPr>
        <w:ind w:left="4" w:right="3580"/>
        <w:spacing w:after="0" w:line="256" w:lineRule="auto"/>
        <w:rPr>
          <w:sz w:val="20"/>
          <w:szCs w:val="20"/>
          <w:color w:val="auto"/>
        </w:rPr>
      </w:pPr>
      <w:r>
        <w:rPr>
          <w:rFonts w:ascii="Courier New" w:cs="Courier New" w:eastAsia="Courier New" w:hAnsi="Courier New"/>
          <w:sz w:val="15"/>
          <w:szCs w:val="15"/>
          <w:color w:val="auto"/>
        </w:rPr>
        <w:t>Form 5s were required to be filed by those persons, the Company believes that during 1998, its officers, directors and ten percent beneficial owners timely complied with all applicable filing requirements, except for Jan E. Smith, a director, who was late in filing three Form 4s with respect to three transactions, and Samuel P. Bell, a director, who was late in filing one Form 4 with respect to one transaction. Each of the subject transactions has since been reported.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3380" w:firstLine="750"/>
        <w:spacing w:after="0" w:line="238" w:lineRule="auto"/>
        <w:rPr>
          <w:sz w:val="20"/>
          <w:szCs w:val="20"/>
          <w:color w:val="auto"/>
        </w:rPr>
      </w:pPr>
      <w:r>
        <w:rPr>
          <w:rFonts w:ascii="Courier New" w:cs="Courier New" w:eastAsia="Courier New" w:hAnsi="Courier New"/>
          <w:sz w:val="16"/>
          <w:szCs w:val="16"/>
          <w:color w:val="auto"/>
        </w:rPr>
        <w:t>The following table sets forth the compensation received by the Company's Chief Executive Officer and the four other highest paid executive officers in 1998 (the "Named Executive Officers") for services rendered to the Company for each of the three years in the period ended December 31, 1998. Compensation information is also provided with respect to Kenneth E. Hill, who served as Executive Vice President of the Company through April 1998.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Summary Compensation Table</w:t>
      </w:r>
    </w:p>
    <w:p>
      <w:pPr>
        <w:ind w:left="3464"/>
        <w:spacing w:after="0"/>
        <w:rPr>
          <w:sz w:val="20"/>
          <w:szCs w:val="20"/>
          <w:color w:val="auto"/>
        </w:rPr>
      </w:pPr>
      <w:r>
        <w:rPr>
          <w:rFonts w:ascii="Courier New" w:cs="Courier New" w:eastAsia="Courier New" w:hAnsi="Courier New"/>
          <w:sz w:val="16"/>
          <w:szCs w:val="16"/>
          <w:color w:val="auto"/>
        </w:rPr>
        <w:t>Annual Compensation</w:t>
      </w:r>
    </w:p>
    <w:tbl>
      <w:tblPr>
        <w:tblLayout w:type="fixed"/>
        <w:tblInd w:w="4"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6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_______________________________</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4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Other</w:t>
            </w: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All Other</w:t>
            </w:r>
          </w:p>
        </w:tc>
        <w:tc>
          <w:tcPr>
            <w:tcW w:w="2060" w:type="dxa"/>
            <w:vAlign w:val="bottom"/>
          </w:tcPr>
          <w:p>
            <w:pPr>
              <w:spacing w:after="0"/>
              <w:rPr>
                <w:sz w:val="24"/>
                <w:szCs w:val="24"/>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Name and</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Annual</w:t>
            </w:r>
          </w:p>
        </w:tc>
        <w:tc>
          <w:tcPr>
            <w:tcW w:w="2060" w:type="dxa"/>
            <w:vAlign w:val="bottom"/>
          </w:tcPr>
          <w:p>
            <w:pPr>
              <w:ind w:left="1400"/>
              <w:spacing w:after="0"/>
              <w:rPr>
                <w:sz w:val="20"/>
                <w:szCs w:val="20"/>
                <w:color w:val="auto"/>
              </w:rPr>
            </w:pPr>
            <w:r>
              <w:rPr>
                <w:rFonts w:ascii="Courier New" w:cs="Courier New" w:eastAsia="Courier New" w:hAnsi="Courier New"/>
                <w:sz w:val="16"/>
                <w:szCs w:val="16"/>
                <w:color w:val="auto"/>
                <w:w w:val="95"/>
              </w:rPr>
              <w:t>Compen-</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Principal</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Compen-</w:t>
            </w:r>
          </w:p>
        </w:tc>
        <w:tc>
          <w:tcPr>
            <w:tcW w:w="18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sation</w:t>
            </w:r>
          </w:p>
        </w:tc>
        <w:tc>
          <w:tcPr>
            <w:tcW w:w="2060" w:type="dxa"/>
            <w:vAlign w:val="bottom"/>
          </w:tcPr>
          <w:p>
            <w:pPr>
              <w:spacing w:after="0"/>
              <w:rPr>
                <w:sz w:val="15"/>
                <w:szCs w:val="15"/>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Position</w:t>
            </w:r>
          </w:p>
        </w:tc>
        <w:tc>
          <w:tcPr>
            <w:tcW w:w="7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Salary($)</w:t>
            </w:r>
          </w:p>
        </w:tc>
        <w:tc>
          <w:tcPr>
            <w:tcW w:w="194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Bonus($)</w:t>
            </w:r>
          </w:p>
        </w:tc>
        <w:tc>
          <w:tcPr>
            <w:tcW w:w="180" w:type="dxa"/>
            <w:vAlign w:val="bottom"/>
          </w:tcPr>
          <w:p>
            <w:pPr>
              <w:spacing w:after="0"/>
              <w:rPr>
                <w:sz w:val="15"/>
                <w:szCs w:val="15"/>
                <w:color w:val="auto"/>
              </w:rPr>
            </w:pP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4"/>
              </w:rPr>
              <w:t>sation($)</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($)(1)(2)</w:t>
            </w:r>
          </w:p>
        </w:tc>
      </w:tr>
      <w:tr>
        <w:trPr>
          <w:trHeight w:val="541"/>
        </w:trPr>
        <w:tc>
          <w:tcPr>
            <w:tcW w:w="2200" w:type="dxa"/>
            <w:vAlign w:val="bottom"/>
          </w:tcPr>
          <w:p>
            <w:pPr>
              <w:spacing w:after="0"/>
              <w:rPr>
                <w:sz w:val="20"/>
                <w:szCs w:val="20"/>
                <w:color w:val="auto"/>
              </w:rPr>
            </w:pPr>
            <w:r>
              <w:rPr>
                <w:rFonts w:ascii="Courier New" w:cs="Courier New" w:eastAsia="Courier New" w:hAnsi="Courier New"/>
                <w:sz w:val="16"/>
                <w:szCs w:val="16"/>
                <w:color w:val="auto"/>
              </w:rPr>
              <w:t>J. Hyatt Brown</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415,990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253,973</w:t>
            </w:r>
          </w:p>
        </w:tc>
        <w:tc>
          <w:tcPr>
            <w:tcW w:w="760" w:type="dxa"/>
            <w:vAlign w:val="bottom"/>
          </w:tcPr>
          <w:p>
            <w:pPr>
              <w:spacing w:after="0"/>
              <w:rPr>
                <w:sz w:val="24"/>
                <w:szCs w:val="24"/>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6,400</w:t>
            </w:r>
          </w:p>
        </w:tc>
        <w:tc>
          <w:tcPr>
            <w:tcW w:w="2060" w:type="dxa"/>
            <w:vAlign w:val="bottom"/>
          </w:tcPr>
          <w:p>
            <w:pPr>
              <w:spacing w:after="0"/>
              <w:rPr>
                <w:sz w:val="24"/>
                <w:szCs w:val="24"/>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w w:val="98"/>
              </w:rPr>
              <w:t>Chairman of the Board,</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396,200</w:t>
            </w: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218,942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4,000</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President &amp; Chief</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377,000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187,450</w:t>
            </w:r>
          </w:p>
        </w:tc>
        <w:tc>
          <w:tcPr>
            <w:tcW w:w="76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spacing w:after="0"/>
              <w:rPr>
                <w:sz w:val="15"/>
                <w:szCs w:val="15"/>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Jim W. Henderson</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296,927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209,000</w:t>
            </w:r>
          </w:p>
        </w:tc>
        <w:tc>
          <w:tcPr>
            <w:tcW w:w="194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6,400</w:t>
            </w:r>
          </w:p>
        </w:tc>
        <w:tc>
          <w:tcPr>
            <w:tcW w:w="2060" w:type="dxa"/>
            <w:vAlign w:val="bottom"/>
          </w:tcPr>
          <w:p>
            <w:pPr>
              <w:spacing w:after="0"/>
              <w:rPr>
                <w:sz w:val="24"/>
                <w:szCs w:val="24"/>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Executive Vice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271,936</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148,000</w:t>
            </w: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6,400</w:t>
            </w:r>
          </w:p>
        </w:tc>
        <w:tc>
          <w:tcPr>
            <w:tcW w:w="2060" w:type="dxa"/>
            <w:vAlign w:val="bottom"/>
          </w:tcPr>
          <w:p>
            <w:pPr>
              <w:spacing w:after="0"/>
              <w:rPr>
                <w:sz w:val="15"/>
                <w:szCs w:val="15"/>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247,500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144,000</w:t>
            </w:r>
          </w:p>
        </w:tc>
        <w:tc>
          <w:tcPr>
            <w:tcW w:w="76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Kenneth E. Hill</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348,439</w:t>
            </w:r>
          </w:p>
        </w:tc>
        <w:tc>
          <w:tcPr>
            <w:tcW w:w="94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276,792(3)</w:t>
            </w: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6,400</w:t>
            </w:r>
          </w:p>
        </w:tc>
        <w:tc>
          <w:tcPr>
            <w:tcW w:w="2060" w:type="dxa"/>
            <w:vAlign w:val="bottom"/>
          </w:tcPr>
          <w:p>
            <w:pPr>
              <w:spacing w:after="0"/>
              <w:rPr>
                <w:sz w:val="24"/>
                <w:szCs w:val="24"/>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Former Executive Vice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251,120</w:t>
            </w:r>
          </w:p>
        </w:tc>
        <w:tc>
          <w:tcPr>
            <w:tcW w:w="94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250,874(3)</w:t>
            </w:r>
          </w:p>
        </w:tc>
        <w:tc>
          <w:tcPr>
            <w:tcW w:w="3380" w:type="dxa"/>
            <w:vAlign w:val="bottom"/>
            <w:gridSpan w:val="2"/>
          </w:tcPr>
          <w:p>
            <w:pPr>
              <w:jc w:val="right"/>
              <w:ind w:right="1802"/>
              <w:spacing w:after="0"/>
              <w:rPr>
                <w:sz w:val="20"/>
                <w:szCs w:val="20"/>
                <w:color w:val="auto"/>
              </w:rPr>
            </w:pPr>
            <w:r>
              <w:rPr>
                <w:rFonts w:ascii="Courier New" w:cs="Courier New" w:eastAsia="Courier New" w:hAnsi="Courier New"/>
                <w:sz w:val="16"/>
                <w:szCs w:val="16"/>
                <w:color w:val="auto"/>
              </w:rPr>
              <w:t>6,400</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President(3)</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309,753</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220,068(3)</w:t>
            </w: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6,000</w:t>
            </w: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Laurel L. Grammig</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125,432</w:t>
            </w:r>
          </w:p>
        </w:tc>
        <w:tc>
          <w:tcPr>
            <w:tcW w:w="9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60" w:type="dxa"/>
            <w:vAlign w:val="bottom"/>
          </w:tcPr>
          <w:p>
            <w:pPr>
              <w:jc w:val="center"/>
              <w:ind w:right="962"/>
              <w:spacing w:after="0"/>
              <w:rPr>
                <w:sz w:val="20"/>
                <w:szCs w:val="20"/>
                <w:color w:val="auto"/>
              </w:rPr>
            </w:pPr>
            <w:r>
              <w:rPr>
                <w:rFonts w:ascii="Courier New" w:cs="Courier New" w:eastAsia="Courier New" w:hAnsi="Courier New"/>
                <w:sz w:val="16"/>
                <w:szCs w:val="16"/>
                <w:color w:val="auto"/>
                <w:w w:val="95"/>
              </w:rPr>
              <w:t>6,400</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115,000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40,880</w:t>
            </w:r>
          </w:p>
        </w:tc>
        <w:tc>
          <w:tcPr>
            <w:tcW w:w="76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5,993</w:t>
            </w:r>
          </w:p>
        </w:tc>
        <w:tc>
          <w:tcPr>
            <w:tcW w:w="2060" w:type="dxa"/>
            <w:vAlign w:val="bottom"/>
          </w:tcPr>
          <w:p>
            <w:pPr>
              <w:spacing w:after="0"/>
              <w:rPr>
                <w:sz w:val="15"/>
                <w:szCs w:val="15"/>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Secretary &amp; General</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105,000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35,000</w:t>
            </w:r>
          </w:p>
        </w:tc>
        <w:tc>
          <w:tcPr>
            <w:tcW w:w="76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5,600</w:t>
            </w:r>
          </w:p>
        </w:tc>
        <w:tc>
          <w:tcPr>
            <w:tcW w:w="2060" w:type="dxa"/>
            <w:vAlign w:val="bottom"/>
          </w:tcPr>
          <w:p>
            <w:pPr>
              <w:spacing w:after="0"/>
              <w:rPr>
                <w:sz w:val="15"/>
                <w:szCs w:val="15"/>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Counsel</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William A. Zimmer</w:t>
            </w:r>
          </w:p>
        </w:tc>
        <w:tc>
          <w:tcPr>
            <w:tcW w:w="16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1998</w:t>
            </w:r>
          </w:p>
        </w:tc>
        <w:tc>
          <w:tcPr>
            <w:tcW w:w="9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114,503</w:t>
            </w:r>
          </w:p>
        </w:tc>
        <w:tc>
          <w:tcPr>
            <w:tcW w:w="194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rPr>
              <w:t>60,000</w:t>
            </w:r>
          </w:p>
        </w:tc>
        <w:tc>
          <w:tcPr>
            <w:tcW w:w="180" w:type="dxa"/>
            <w:vAlign w:val="bottom"/>
          </w:tcPr>
          <w:p>
            <w:pPr>
              <w:spacing w:after="0"/>
              <w:rPr>
                <w:sz w:val="24"/>
                <w:szCs w:val="24"/>
                <w:color w:val="auto"/>
              </w:rPr>
            </w:pP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1020"/>
              <w:spacing w:after="0"/>
              <w:rPr>
                <w:sz w:val="20"/>
                <w:szCs w:val="20"/>
                <w:color w:val="auto"/>
              </w:rPr>
            </w:pPr>
            <w:r>
              <w:rPr>
                <w:rFonts w:ascii="Courier New" w:cs="Courier New" w:eastAsia="Courier New" w:hAnsi="Courier New"/>
                <w:sz w:val="16"/>
                <w:szCs w:val="16"/>
                <w:color w:val="auto"/>
              </w:rPr>
              <w:t>5,580</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w w:val="98"/>
              </w:rPr>
              <w:t>Former Vice President,</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84,670</w:t>
            </w: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3,435</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Chief Financial</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9,519</w:t>
            </w: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jc w:val="center"/>
              <w:ind w:right="98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w w:val="98"/>
              </w:rPr>
              <w:t>Officer &amp; Treasurer(4)</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James L. Olivier</w:t>
            </w:r>
          </w:p>
        </w:tc>
        <w:tc>
          <w:tcPr>
            <w:tcW w:w="7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91,533</w:t>
            </w:r>
          </w:p>
        </w:tc>
        <w:tc>
          <w:tcPr>
            <w:tcW w:w="760" w:type="dxa"/>
            <w:vAlign w:val="bottom"/>
          </w:tcPr>
          <w:p>
            <w:pPr>
              <w:spacing w:after="0"/>
              <w:rPr>
                <w:sz w:val="24"/>
                <w:szCs w:val="24"/>
                <w:color w:val="auto"/>
              </w:rPr>
            </w:pP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13,230</w:t>
            </w:r>
          </w:p>
        </w:tc>
        <w:tc>
          <w:tcPr>
            <w:tcW w:w="180" w:type="dxa"/>
            <w:vAlign w:val="bottom"/>
          </w:tcPr>
          <w:p>
            <w:pPr>
              <w:spacing w:after="0"/>
              <w:rPr>
                <w:sz w:val="24"/>
                <w:szCs w:val="24"/>
                <w:color w:val="auto"/>
              </w:rPr>
            </w:pPr>
          </w:p>
        </w:tc>
        <w:tc>
          <w:tcPr>
            <w:tcW w:w="13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740"/>
              <w:spacing w:after="0"/>
              <w:rPr>
                <w:sz w:val="20"/>
                <w:szCs w:val="20"/>
                <w:color w:val="auto"/>
              </w:rPr>
            </w:pPr>
            <w:r>
              <w:rPr>
                <w:rFonts w:ascii="Courier New" w:cs="Courier New" w:eastAsia="Courier New" w:hAnsi="Courier New"/>
                <w:sz w:val="16"/>
                <w:szCs w:val="16"/>
                <w:color w:val="auto"/>
              </w:rPr>
              <w:t>4,165</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&amp;</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83,927</w:t>
            </w:r>
          </w:p>
        </w:tc>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12,600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jc w:val="center"/>
              <w:ind w:right="962"/>
              <w:spacing w:after="0"/>
              <w:rPr>
                <w:sz w:val="20"/>
                <w:szCs w:val="20"/>
                <w:color w:val="auto"/>
              </w:rPr>
            </w:pPr>
            <w:r>
              <w:rPr>
                <w:rFonts w:ascii="Courier New" w:cs="Courier New" w:eastAsia="Courier New" w:hAnsi="Courier New"/>
                <w:sz w:val="16"/>
                <w:szCs w:val="16"/>
                <w:color w:val="auto"/>
                <w:w w:val="95"/>
              </w:rPr>
              <w:t>3,837</w:t>
            </w: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Assistant General</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1996(5)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67,692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c>
          <w:tcPr>
            <w:tcW w:w="76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2,708</w:t>
            </w:r>
          </w:p>
        </w:tc>
        <w:tc>
          <w:tcPr>
            <w:tcW w:w="2060" w:type="dxa"/>
            <w:vAlign w:val="bottom"/>
          </w:tcPr>
          <w:p>
            <w:pPr>
              <w:spacing w:after="0"/>
              <w:rPr>
                <w:sz w:val="15"/>
                <w:szCs w:val="15"/>
                <w:color w:val="auto"/>
              </w:rPr>
            </w:pPr>
          </w:p>
        </w:tc>
      </w:tr>
      <w:tr>
        <w:trPr>
          <w:trHeight w:val="180"/>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Counsel</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__________</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6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ind w:left="384" w:right="3200" w:hanging="384"/>
        <w:spacing w:after="0" w:line="236" w:lineRule="auto"/>
        <w:tabs>
          <w:tab w:leader="none" w:pos="7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represent the Company's profit sharing and 401(k) plan matching contributions.</w:t>
      </w:r>
    </w:p>
    <w:p>
      <w:pPr>
        <w:spacing w:after="0" w:line="4" w:lineRule="exact"/>
        <w:rPr>
          <w:rFonts w:ascii="Courier New" w:cs="Courier New" w:eastAsia="Courier New" w:hAnsi="Courier New"/>
          <w:sz w:val="16"/>
          <w:szCs w:val="16"/>
          <w:color w:val="auto"/>
        </w:rPr>
      </w:pPr>
    </w:p>
    <w:p>
      <w:pPr>
        <w:ind w:left="384" w:right="3280" w:hanging="384"/>
        <w:spacing w:after="0" w:line="237" w:lineRule="auto"/>
        <w:tabs>
          <w:tab w:leader="none" w:pos="7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 Named Executive Officers have been granted shares of performance stock under the Company's Stock Performance Plan. For a description of the terms of such grants, the number of shares granted, and the value of such shares, see "Executive Compensation - Long-Term Incentive Plans - Awards in Last Fiscal Year."</w:t>
      </w:r>
    </w:p>
    <w:p>
      <w:pPr>
        <w:spacing w:after="0" w:line="6" w:lineRule="exact"/>
        <w:rPr>
          <w:rFonts w:ascii="Courier New" w:cs="Courier New" w:eastAsia="Courier New" w:hAnsi="Courier New"/>
          <w:sz w:val="16"/>
          <w:szCs w:val="16"/>
          <w:color w:val="auto"/>
        </w:rPr>
      </w:pPr>
    </w:p>
    <w:p>
      <w:pPr>
        <w:ind w:left="384" w:right="3000" w:hanging="384"/>
        <w:spacing w:after="0" w:line="237" w:lineRule="auto"/>
        <w:tabs>
          <w:tab w:leader="none" w:pos="7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for 1996 and 1997 reflect annual amounts accrued related to the deferred compensation agreement for Mr. Hill. This agreement was superseded in 1998, and amounts shown for 1998 reflect amounts payable under Mr. Hill's current agreement with the Company.</w:t>
      </w:r>
    </w:p>
    <w:p>
      <w:pPr>
        <w:spacing w:after="0" w:line="1"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"Executive Compensation -</w:t>
      </w:r>
    </w:p>
    <w:p>
      <w:pPr>
        <w:sectPr>
          <w:pgSz w:w="11900" w:h="16838" w:orient="portrait"/>
          <w:cols w:equalWidth="0" w:num="1">
            <w:col w:w="10324"/>
          </w:cols>
          <w:pgMar w:left="236" w:top="322" w:right="1339" w:bottom="262" w:gutter="0" w:footer="0" w:header="0"/>
        </w:sectPr>
      </w:pPr>
    </w:p>
    <w:bookmarkStart w:id="5" w:name="page6"/>
    <w:bookmarkEnd w:id="5"/>
    <w:p>
      <w:pPr>
        <w:ind w:left="384"/>
        <w:spacing w:after="0"/>
        <w:tabs>
          <w:tab w:leader="none" w:pos="5143" w:val="left"/>
          <w:tab w:leader="none" w:pos="5603" w:val="left"/>
        </w:tabs>
        <w:rPr>
          <w:sz w:val="20"/>
          <w:szCs w:val="20"/>
          <w:color w:val="auto"/>
        </w:rPr>
      </w:pPr>
      <w:r>
        <w:rPr>
          <w:rFonts w:ascii="Courier New" w:cs="Courier New" w:eastAsia="Courier New" w:hAnsi="Courier New"/>
          <w:sz w:val="16"/>
          <w:szCs w:val="16"/>
          <w:color w:val="auto"/>
        </w:rPr>
        <w:t>Employment and Deferred Compensation Agreements."</w:t>
        <w:tab/>
        <w:t>Mr.</w:t>
      </w:r>
      <w:r>
        <w:rPr>
          <w:sz w:val="20"/>
          <w:szCs w:val="20"/>
          <w:color w:val="auto"/>
        </w:rPr>
        <w:tab/>
      </w:r>
      <w:r>
        <w:rPr>
          <w:rFonts w:ascii="Courier New" w:cs="Courier New" w:eastAsia="Courier New" w:hAnsi="Courier New"/>
          <w:sz w:val="15"/>
          <w:szCs w:val="15"/>
          <w:color w:val="auto"/>
        </w:rPr>
        <w:t>Hill</w:t>
      </w:r>
    </w:p>
    <w:p>
      <w:pPr>
        <w:ind w:left="384"/>
        <w:spacing w:after="0"/>
        <w:rPr>
          <w:sz w:val="20"/>
          <w:szCs w:val="20"/>
          <w:color w:val="auto"/>
        </w:rPr>
      </w:pPr>
      <w:r>
        <w:rPr>
          <w:rFonts w:ascii="Courier New" w:cs="Courier New" w:eastAsia="Courier New" w:hAnsi="Courier New"/>
          <w:sz w:val="16"/>
          <w:szCs w:val="16"/>
          <w:color w:val="auto"/>
        </w:rPr>
        <w:t>resigned as Executive Vice President in April 1998.</w:t>
      </w:r>
    </w:p>
    <w:p>
      <w:pPr>
        <w:spacing w:after="0" w:line="3" w:lineRule="exact"/>
        <w:rPr>
          <w:sz w:val="20"/>
          <w:szCs w:val="20"/>
          <w:color w:val="auto"/>
        </w:rPr>
      </w:pPr>
    </w:p>
    <w:p>
      <w:pPr>
        <w:jc w:val="both"/>
        <w:ind w:left="384" w:right="4400" w:hanging="384"/>
        <w:spacing w:after="0" w:line="237" w:lineRule="auto"/>
        <w:tabs>
          <w:tab w:leader="none" w:pos="75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Zimmer resigned as an executive officer of the Company effective March 1, 1999. Compensation figures for Mr. Zimmer in 1996 reflect that he joined the Company in November 1996.</w:t>
      </w:r>
    </w:p>
    <w:p>
      <w:pPr>
        <w:ind w:left="744" w:hanging="744"/>
        <w:spacing w:after="0"/>
        <w:tabs>
          <w:tab w:leader="none" w:pos="7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Olivier joined the Company in February 1996.</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 Grants in 1998</w:t>
      </w:r>
    </w:p>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No stock options were granted to the Named Executive Officers in 1998.</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Aggregate Option Exercises in 1998 and December 31, 1998 Option Values</w:t>
      </w:r>
    </w:p>
    <w:p>
      <w:pPr>
        <w:spacing w:after="0" w:line="185" w:lineRule="exact"/>
        <w:rPr>
          <w:sz w:val="20"/>
          <w:szCs w:val="20"/>
          <w:color w:val="auto"/>
        </w:rPr>
      </w:pPr>
    </w:p>
    <w:p>
      <w:pPr>
        <w:ind w:left="4" w:right="3740" w:firstLine="750"/>
        <w:spacing w:after="0" w:line="237" w:lineRule="auto"/>
        <w:rPr>
          <w:sz w:val="20"/>
          <w:szCs w:val="20"/>
          <w:color w:val="auto"/>
        </w:rPr>
      </w:pPr>
      <w:r>
        <w:rPr>
          <w:rFonts w:ascii="Courier New" w:cs="Courier New" w:eastAsia="Courier New" w:hAnsi="Courier New"/>
          <w:sz w:val="16"/>
          <w:szCs w:val="16"/>
          <w:color w:val="auto"/>
        </w:rPr>
        <w:t>None of the Named Executive Officers exercised Company stock options during the year ended December 31, 1998, and none of the Named Executive Officers held unexercised Company stock options as of December 31, 1998.</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Long-Term Incentive Plans - Awards in Last Fiscal Year</w:t>
      </w:r>
    </w:p>
    <w:p>
      <w:pPr>
        <w:spacing w:after="0" w:line="185" w:lineRule="exact"/>
        <w:rPr>
          <w:sz w:val="20"/>
          <w:szCs w:val="20"/>
          <w:color w:val="auto"/>
        </w:rPr>
      </w:pPr>
    </w:p>
    <w:p>
      <w:pPr>
        <w:ind w:left="4" w:right="3840" w:firstLine="750"/>
        <w:spacing w:after="0" w:line="236" w:lineRule="auto"/>
        <w:rPr>
          <w:sz w:val="20"/>
          <w:szCs w:val="20"/>
          <w:color w:val="auto"/>
        </w:rPr>
      </w:pPr>
      <w:r>
        <w:rPr>
          <w:rFonts w:ascii="Courier New" w:cs="Courier New" w:eastAsia="Courier New" w:hAnsi="Courier New"/>
          <w:sz w:val="16"/>
          <w:szCs w:val="16"/>
          <w:color w:val="auto"/>
        </w:rPr>
        <w:t>Grants of stock under the Company's Stock Performance Plan are intended to provide an incentive for key employees to achieve long-range performance</w:t>
      </w:r>
    </w:p>
    <w:p>
      <w:pPr>
        <w:spacing w:after="0" w:line="4" w:lineRule="exact"/>
        <w:rPr>
          <w:sz w:val="20"/>
          <w:szCs w:val="20"/>
          <w:color w:val="auto"/>
        </w:rPr>
      </w:pPr>
    </w:p>
    <w:p>
      <w:pPr>
        <w:ind w:left="4" w:right="4780"/>
        <w:spacing w:after="0" w:line="256" w:lineRule="auto"/>
        <w:rPr>
          <w:sz w:val="20"/>
          <w:szCs w:val="20"/>
          <w:color w:val="auto"/>
        </w:rPr>
      </w:pPr>
      <w:r>
        <w:rPr>
          <w:rFonts w:ascii="Courier New" w:cs="Courier New" w:eastAsia="Courier New" w:hAnsi="Courier New"/>
          <w:sz w:val="15"/>
          <w:szCs w:val="15"/>
          <w:color w:val="auto"/>
        </w:rPr>
        <w:t>goals of the Company, generally by providing incentives to remain with the Company for a long period after the grant date and by tying the vesting of the grant to appreciation of the Company's stock price. The table below sets forth the number of shares of performance stock granted to the Named Executive Officers in 1998 and the criteria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60" w:type="dxa"/>
            <w:vAlign w:val="bottom"/>
            <w:gridSpan w:val="2"/>
          </w:tcPr>
          <w:p>
            <w:pPr>
              <w:jc w:val="center"/>
              <w:ind w:left="1662"/>
              <w:spacing w:after="0"/>
              <w:rPr>
                <w:sz w:val="20"/>
                <w:szCs w:val="20"/>
                <w:color w:val="auto"/>
              </w:rPr>
            </w:pPr>
            <w:r>
              <w:rPr>
                <w:rFonts w:ascii="Courier New" w:cs="Courier New" w:eastAsia="Courier New" w:hAnsi="Courier New"/>
                <w:sz w:val="16"/>
                <w:szCs w:val="16"/>
                <w:color w:val="auto"/>
                <w:w w:val="97"/>
              </w:rPr>
              <w:t>Performance or Other Period</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80" w:type="dxa"/>
            <w:vAlign w:val="bottom"/>
          </w:tcPr>
          <w:p>
            <w:pPr>
              <w:spacing w:after="0"/>
              <w:rPr>
                <w:sz w:val="15"/>
                <w:szCs w:val="15"/>
                <w:color w:val="auto"/>
              </w:rPr>
            </w:pPr>
          </w:p>
        </w:tc>
        <w:tc>
          <w:tcPr>
            <w:tcW w:w="370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Number of Shares(1)(2)</w:t>
            </w:r>
          </w:p>
        </w:tc>
        <w:tc>
          <w:tcPr>
            <w:tcW w:w="4260" w:type="dxa"/>
            <w:vAlign w:val="bottom"/>
            <w:gridSpan w:val="2"/>
          </w:tcPr>
          <w:p>
            <w:pPr>
              <w:jc w:val="right"/>
              <w:ind w:right="1222"/>
              <w:spacing w:after="0"/>
              <w:rPr>
                <w:sz w:val="20"/>
                <w:szCs w:val="20"/>
                <w:color w:val="auto"/>
              </w:rPr>
            </w:pPr>
            <w:r>
              <w:rPr>
                <w:rFonts w:ascii="Courier New" w:cs="Courier New" w:eastAsia="Courier New" w:hAnsi="Courier New"/>
                <w:sz w:val="16"/>
                <w:szCs w:val="16"/>
                <w:color w:val="auto"/>
              </w:rPr>
              <w:t>Until Maturation or Payout(3)</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____</w:t>
            </w:r>
          </w:p>
        </w:tc>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________________</w:t>
            </w:r>
          </w:p>
        </w:tc>
        <w:tc>
          <w:tcPr>
            <w:tcW w:w="3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__________________________</w:t>
            </w:r>
          </w:p>
        </w:tc>
        <w:tc>
          <w:tcPr>
            <w:tcW w:w="26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J. Hyatt Brown</w:t>
            </w:r>
          </w:p>
        </w:tc>
        <w:tc>
          <w:tcPr>
            <w:tcW w:w="1780" w:type="dxa"/>
            <w:vAlign w:val="bottom"/>
          </w:tcPr>
          <w:p>
            <w:pPr>
              <w:spacing w:after="0"/>
              <w:rPr>
                <w:sz w:val="24"/>
                <w:szCs w:val="24"/>
                <w:color w:val="auto"/>
              </w:rPr>
            </w:pPr>
          </w:p>
        </w:tc>
        <w:tc>
          <w:tcPr>
            <w:tcW w:w="3700" w:type="dxa"/>
            <w:vAlign w:val="bottom"/>
          </w:tcPr>
          <w:p>
            <w:pPr>
              <w:jc w:val="right"/>
              <w:ind w:right="2962"/>
              <w:spacing w:after="0"/>
              <w:rPr>
                <w:sz w:val="20"/>
                <w:szCs w:val="20"/>
                <w:color w:val="auto"/>
              </w:rPr>
            </w:pPr>
            <w:r>
              <w:rPr>
                <w:rFonts w:ascii="Courier New" w:cs="Courier New" w:eastAsia="Courier New" w:hAnsi="Courier New"/>
                <w:sz w:val="16"/>
                <w:szCs w:val="16"/>
                <w:color w:val="auto"/>
              </w:rPr>
              <w:t>---</w:t>
            </w:r>
          </w:p>
        </w:tc>
        <w:tc>
          <w:tcPr>
            <w:tcW w:w="2680" w:type="dxa"/>
            <w:vAlign w:val="bottom"/>
          </w:tcPr>
          <w:p>
            <w:pPr>
              <w:spacing w:after="0"/>
              <w:rPr>
                <w:sz w:val="24"/>
                <w:szCs w:val="24"/>
                <w:color w:val="auto"/>
              </w:rPr>
            </w:pPr>
          </w:p>
        </w:tc>
        <w:tc>
          <w:tcPr>
            <w:tcW w:w="1580" w:type="dxa"/>
            <w:vAlign w:val="bottom"/>
          </w:tcPr>
          <w:p>
            <w:pPr>
              <w:jc w:val="right"/>
              <w:ind w:right="1222"/>
              <w:spacing w:after="0"/>
              <w:rPr>
                <w:sz w:val="20"/>
                <w:szCs w:val="20"/>
                <w:color w:val="auto"/>
              </w:rPr>
            </w:pPr>
            <w:r>
              <w:rPr>
                <w:rFonts w:ascii="Courier New" w:cs="Courier New" w:eastAsia="Courier New" w:hAnsi="Courier New"/>
                <w:sz w:val="16"/>
                <w:szCs w:val="16"/>
                <w:color w:val="auto"/>
                <w:w w:val="90"/>
              </w:rPr>
              <w:t>---</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Jim W. Henderson</w:t>
            </w:r>
          </w:p>
        </w:tc>
        <w:tc>
          <w:tcPr>
            <w:tcW w:w="1780" w:type="dxa"/>
            <w:vAlign w:val="bottom"/>
          </w:tcPr>
          <w:p>
            <w:pPr>
              <w:spacing w:after="0"/>
              <w:rPr>
                <w:sz w:val="15"/>
                <w:szCs w:val="15"/>
                <w:color w:val="auto"/>
              </w:rPr>
            </w:pPr>
          </w:p>
        </w:tc>
        <w:tc>
          <w:tcPr>
            <w:tcW w:w="3700" w:type="dxa"/>
            <w:vAlign w:val="bottom"/>
          </w:tcPr>
          <w:p>
            <w:pPr>
              <w:jc w:val="center"/>
              <w:ind w:right="2962"/>
              <w:spacing w:after="0"/>
              <w:rPr>
                <w:sz w:val="20"/>
                <w:szCs w:val="20"/>
                <w:color w:val="auto"/>
              </w:rPr>
            </w:pPr>
            <w:r>
              <w:rPr>
                <w:rFonts w:ascii="Courier New" w:cs="Courier New" w:eastAsia="Courier New" w:hAnsi="Courier New"/>
                <w:sz w:val="16"/>
                <w:szCs w:val="16"/>
                <w:color w:val="auto"/>
                <w:w w:val="95"/>
              </w:rPr>
              <w:t>8,825</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5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Kenneth E. Hill</w:t>
            </w:r>
          </w:p>
        </w:tc>
        <w:tc>
          <w:tcPr>
            <w:tcW w:w="1780" w:type="dxa"/>
            <w:vAlign w:val="bottom"/>
          </w:tcPr>
          <w:p>
            <w:pPr>
              <w:spacing w:after="0"/>
              <w:rPr>
                <w:sz w:val="15"/>
                <w:szCs w:val="15"/>
                <w:color w:val="auto"/>
              </w:rPr>
            </w:pPr>
          </w:p>
        </w:tc>
        <w:tc>
          <w:tcPr>
            <w:tcW w:w="3700" w:type="dxa"/>
            <w:vAlign w:val="bottom"/>
          </w:tcPr>
          <w:p>
            <w:pPr>
              <w:jc w:val="center"/>
              <w:ind w:right="2982"/>
              <w:spacing w:after="0"/>
              <w:rPr>
                <w:sz w:val="20"/>
                <w:szCs w:val="20"/>
                <w:color w:val="auto"/>
              </w:rPr>
            </w:pPr>
            <w:r>
              <w:rPr>
                <w:rFonts w:ascii="Courier New" w:cs="Courier New" w:eastAsia="Courier New" w:hAnsi="Courier New"/>
                <w:sz w:val="16"/>
                <w:szCs w:val="16"/>
                <w:color w:val="auto"/>
                <w:w w:val="97"/>
              </w:rPr>
              <w:t>---</w:t>
            </w:r>
          </w:p>
        </w:tc>
        <w:tc>
          <w:tcPr>
            <w:tcW w:w="2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William A. Zimmer</w:t>
            </w:r>
          </w:p>
        </w:tc>
        <w:tc>
          <w:tcPr>
            <w:tcW w:w="1780" w:type="dxa"/>
            <w:vAlign w:val="bottom"/>
          </w:tcPr>
          <w:p>
            <w:pPr>
              <w:spacing w:after="0"/>
              <w:rPr>
                <w:sz w:val="15"/>
                <w:szCs w:val="15"/>
                <w:color w:val="auto"/>
              </w:rPr>
            </w:pPr>
          </w:p>
        </w:tc>
        <w:tc>
          <w:tcPr>
            <w:tcW w:w="3700" w:type="dxa"/>
            <w:vAlign w:val="bottom"/>
          </w:tcPr>
          <w:p>
            <w:pPr>
              <w:jc w:val="center"/>
              <w:ind w:right="2962"/>
              <w:spacing w:after="0"/>
              <w:rPr>
                <w:sz w:val="20"/>
                <w:szCs w:val="20"/>
                <w:color w:val="auto"/>
              </w:rPr>
            </w:pPr>
            <w:r>
              <w:rPr>
                <w:rFonts w:ascii="Courier New" w:cs="Courier New" w:eastAsia="Courier New" w:hAnsi="Courier New"/>
                <w:sz w:val="16"/>
                <w:szCs w:val="16"/>
                <w:color w:val="auto"/>
                <w:w w:val="95"/>
              </w:rPr>
              <w:t>2,205</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5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Laurel L. Grammig</w:t>
            </w:r>
          </w:p>
        </w:tc>
        <w:tc>
          <w:tcPr>
            <w:tcW w:w="1780" w:type="dxa"/>
            <w:vAlign w:val="bottom"/>
          </w:tcPr>
          <w:p>
            <w:pPr>
              <w:spacing w:after="0"/>
              <w:rPr>
                <w:sz w:val="15"/>
                <w:szCs w:val="15"/>
                <w:color w:val="auto"/>
              </w:rPr>
            </w:pPr>
          </w:p>
        </w:tc>
        <w:tc>
          <w:tcPr>
            <w:tcW w:w="3700" w:type="dxa"/>
            <w:vAlign w:val="bottom"/>
          </w:tcPr>
          <w:p>
            <w:pPr>
              <w:jc w:val="center"/>
              <w:ind w:right="2962"/>
              <w:spacing w:after="0"/>
              <w:rPr>
                <w:sz w:val="20"/>
                <w:szCs w:val="20"/>
                <w:color w:val="auto"/>
              </w:rPr>
            </w:pPr>
            <w:r>
              <w:rPr>
                <w:rFonts w:ascii="Courier New" w:cs="Courier New" w:eastAsia="Courier New" w:hAnsi="Courier New"/>
                <w:sz w:val="16"/>
                <w:szCs w:val="16"/>
                <w:color w:val="auto"/>
                <w:w w:val="95"/>
              </w:rPr>
              <w:t>2,940</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5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James L. Olivier</w:t>
            </w:r>
          </w:p>
        </w:tc>
        <w:tc>
          <w:tcPr>
            <w:tcW w:w="1780" w:type="dxa"/>
            <w:vAlign w:val="bottom"/>
          </w:tcPr>
          <w:p>
            <w:pPr>
              <w:spacing w:after="0"/>
              <w:rPr>
                <w:sz w:val="15"/>
                <w:szCs w:val="15"/>
                <w:color w:val="auto"/>
              </w:rPr>
            </w:pPr>
          </w:p>
        </w:tc>
        <w:tc>
          <w:tcPr>
            <w:tcW w:w="3700" w:type="dxa"/>
            <w:vAlign w:val="bottom"/>
          </w:tcPr>
          <w:p>
            <w:pPr>
              <w:jc w:val="right"/>
              <w:ind w:right="2962"/>
              <w:spacing w:after="0"/>
              <w:rPr>
                <w:sz w:val="20"/>
                <w:szCs w:val="20"/>
                <w:color w:val="auto"/>
              </w:rPr>
            </w:pPr>
            <w:r>
              <w:rPr>
                <w:rFonts w:ascii="Courier New" w:cs="Courier New" w:eastAsia="Courier New" w:hAnsi="Courier New"/>
                <w:sz w:val="16"/>
                <w:szCs w:val="16"/>
                <w:color w:val="auto"/>
              </w:rPr>
              <w:t>1,470</w:t>
            </w:r>
          </w:p>
        </w:tc>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580" w:type="dxa"/>
            <w:vAlign w:val="bottom"/>
          </w:tcPr>
          <w:p>
            <w:pPr>
              <w:jc w:val="center"/>
              <w:ind w:right="842"/>
              <w:spacing w:after="0"/>
              <w:rPr>
                <w:sz w:val="20"/>
                <w:szCs w:val="20"/>
                <w:color w:val="auto"/>
              </w:rPr>
            </w:pPr>
            <w:r>
              <w:rPr>
                <w:rFonts w:ascii="Courier New" w:cs="Courier New" w:eastAsia="Courier New" w:hAnsi="Courier New"/>
                <w:sz w:val="16"/>
                <w:szCs w:val="16"/>
                <w:color w:val="auto"/>
                <w:w w:val="95"/>
              </w:rPr>
              <w:t>years</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________________</w:t>
            </w:r>
          </w:p>
        </w:tc>
        <w:tc>
          <w:tcPr>
            <w:tcW w:w="1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ind w:left="384" w:right="4200" w:hanging="384"/>
        <w:spacing w:after="0" w:line="254" w:lineRule="auto"/>
        <w:tabs>
          <w:tab w:leader="none" w:pos="75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shares of performance stock granted to the Named Executive Officers has vested as of the date of this Proxy Statement. In order for the grants described above to fully vest, the grantee would have to remain with the Company for a period of 15 years from the date of</w:t>
      </w:r>
    </w:p>
    <w:p>
      <w:pPr>
        <w:spacing w:after="0" w:line="2" w:lineRule="exact"/>
        <w:rPr>
          <w:rFonts w:ascii="Courier New" w:cs="Courier New" w:eastAsia="Courier New" w:hAnsi="Courier New"/>
          <w:sz w:val="15"/>
          <w:szCs w:val="15"/>
          <w:color w:val="auto"/>
        </w:rPr>
      </w:pPr>
    </w:p>
    <w:p>
      <w:pPr>
        <w:ind w:left="384" w:right="4680"/>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grant (subject to the exceptions set forth in footnote (3) below) and the Company's stock price would have to appreciate at a rate of 20% per year for the five-year period beginning on the grant date in 1998. For each 20% increase in the Company's stock price within such five-year period, dividends will be payable to the grantee on 20% of the shares granted to him or her and the grantee will have the power to vote such shares. The grantee will not have any of the other indicia of ownership (e.g., the right to sell or transfer the shares) until such shares are fully vested.</w:t>
      </w:r>
    </w:p>
    <w:p>
      <w:pPr>
        <w:spacing w:after="0" w:line="1" w:lineRule="exact"/>
        <w:rPr>
          <w:rFonts w:ascii="Courier New" w:cs="Courier New" w:eastAsia="Courier New" w:hAnsi="Courier New"/>
          <w:sz w:val="15"/>
          <w:szCs w:val="15"/>
          <w:color w:val="auto"/>
        </w:rPr>
      </w:pPr>
    </w:p>
    <w:p>
      <w:pPr>
        <w:ind w:left="744" w:hanging="744"/>
        <w:spacing w:after="0"/>
        <w:tabs>
          <w:tab w:leader="none" w:pos="7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values of the grants to Mr. Henderson, Mr. Zimmer,</w:t>
      </w:r>
    </w:p>
    <w:p>
      <w:pPr>
        <w:ind w:left="384"/>
        <w:spacing w:after="0" w:line="237" w:lineRule="auto"/>
        <w:rPr>
          <w:sz w:val="20"/>
          <w:szCs w:val="20"/>
          <w:color w:val="auto"/>
        </w:rPr>
      </w:pPr>
      <w:r>
        <w:rPr>
          <w:rFonts w:ascii="Courier New" w:cs="Courier New" w:eastAsia="Courier New" w:hAnsi="Courier New"/>
          <w:sz w:val="16"/>
          <w:szCs w:val="16"/>
          <w:color w:val="auto"/>
        </w:rPr>
        <w:t>Ms. Grammig and Mr. Olivier on the date of grant were $300,050,</w:t>
      </w:r>
    </w:p>
    <w:p>
      <w:pPr>
        <w:spacing w:after="0" w:line="5" w:lineRule="exact"/>
        <w:rPr>
          <w:sz w:val="20"/>
          <w:szCs w:val="20"/>
          <w:color w:val="auto"/>
        </w:rPr>
      </w:pPr>
    </w:p>
    <w:p>
      <w:pPr>
        <w:ind w:left="384" w:right="4780"/>
        <w:spacing w:after="0" w:line="254" w:lineRule="auto"/>
        <w:rPr>
          <w:sz w:val="20"/>
          <w:szCs w:val="20"/>
          <w:color w:val="auto"/>
        </w:rPr>
      </w:pPr>
      <w:r>
        <w:rPr>
          <w:rFonts w:ascii="Courier New" w:cs="Courier New" w:eastAsia="Courier New" w:hAnsi="Courier New"/>
          <w:sz w:val="15"/>
          <w:szCs w:val="15"/>
          <w:color w:val="auto"/>
        </w:rPr>
        <w:t>$74,970, $99,960, and $49,980, respectively. These values represent the number of shares granted multiplied by the closing market price</w:t>
      </w:r>
    </w:p>
    <w:p>
      <w:pPr>
        <w:spacing w:after="0" w:line="1" w:lineRule="exact"/>
        <w:rPr>
          <w:sz w:val="20"/>
          <w:szCs w:val="20"/>
          <w:color w:val="auto"/>
        </w:rPr>
      </w:pPr>
    </w:p>
    <w:p>
      <w:pPr>
        <w:ind w:left="384" w:right="4300"/>
        <w:spacing w:after="0" w:line="237" w:lineRule="auto"/>
        <w:rPr>
          <w:sz w:val="20"/>
          <w:szCs w:val="20"/>
          <w:color w:val="auto"/>
        </w:rPr>
      </w:pPr>
      <w:r>
        <w:rPr>
          <w:rFonts w:ascii="Courier New" w:cs="Courier New" w:eastAsia="Courier New" w:hAnsi="Courier New"/>
          <w:sz w:val="16"/>
          <w:szCs w:val="16"/>
          <w:color w:val="auto"/>
        </w:rPr>
        <w:t>of the Company's common stock on the New York Stock Exchange on the date of grant. The aggregate number of shares of performance stock granted to the Named Executive Officers as of December 31, 1998 were 23,825 for Mr. Henderson, 4,935 for Mr.</w:t>
      </w:r>
    </w:p>
    <w:p>
      <w:pPr>
        <w:spacing w:after="0" w:line="200" w:lineRule="exact"/>
        <w:rPr>
          <w:sz w:val="20"/>
          <w:szCs w:val="20"/>
          <w:color w:val="auto"/>
        </w:rPr>
      </w:pPr>
    </w:p>
    <w:p>
      <w:pPr>
        <w:spacing w:after="0" w:line="347" w:lineRule="exact"/>
        <w:rPr>
          <w:sz w:val="20"/>
          <w:szCs w:val="20"/>
          <w:color w:val="auto"/>
        </w:rPr>
      </w:pPr>
    </w:p>
    <w:p>
      <w:pPr>
        <w:ind w:left="384" w:right="4780"/>
        <w:spacing w:after="0" w:line="237" w:lineRule="auto"/>
        <w:rPr>
          <w:sz w:val="20"/>
          <w:szCs w:val="20"/>
          <w:color w:val="auto"/>
        </w:rPr>
      </w:pPr>
      <w:r>
        <w:rPr>
          <w:rFonts w:ascii="Courier New" w:cs="Courier New" w:eastAsia="Courier New" w:hAnsi="Courier New"/>
          <w:sz w:val="16"/>
          <w:szCs w:val="16"/>
          <w:color w:val="auto"/>
        </w:rPr>
        <w:t>Zimmer, 5,940 for Ms. Grammig and 2,835 for Mr. Olivier. The dollar values of all shares of performance stock granted to the Named Executive Officers as of December 31, 1998 were $832,386 for Mr. Henderson, $172,417 for Mr. Zimmer, $207,529 for Ms. Grammig and $99,048 for Mr. Olivier.</w:t>
      </w:r>
    </w:p>
    <w:p>
      <w:pPr>
        <w:spacing w:after="0" w:line="7" w:lineRule="exact"/>
        <w:rPr>
          <w:sz w:val="20"/>
          <w:szCs w:val="20"/>
          <w:color w:val="auto"/>
        </w:rPr>
      </w:pPr>
    </w:p>
    <w:p>
      <w:pPr>
        <w:ind w:left="384" w:right="4200" w:hanging="384"/>
        <w:spacing w:after="0" w:line="254" w:lineRule="auto"/>
        <w:tabs>
          <w:tab w:leader="none" w:pos="75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grantee's employment with the Company were to terminate before the end of the 15-year vesting period, such grantee's interest in his or her shares would be forfeited unless (i) the grantee has attained age</w:t>
      </w:r>
    </w:p>
    <w:p>
      <w:pPr>
        <w:spacing w:after="0" w:line="1" w:lineRule="exact"/>
        <w:rPr>
          <w:rFonts w:ascii="Courier New" w:cs="Courier New" w:eastAsia="Courier New" w:hAnsi="Courier New"/>
          <w:sz w:val="15"/>
          <w:szCs w:val="15"/>
          <w:color w:val="auto"/>
        </w:rPr>
      </w:pPr>
    </w:p>
    <w:p>
      <w:pPr>
        <w:ind w:left="384" w:right="4300"/>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64, (ii) the grantee's employment with the Company terminates as a result of his or her death or disability, or (iii) the Compensation Committee, in its sole and absolute discretion, waives the conditions of the grant of performance stock.</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Employment and Deferred Compensation Agreements</w:t>
      </w:r>
    </w:p>
    <w:p>
      <w:pPr>
        <w:spacing w:after="0" w:line="185" w:lineRule="exact"/>
        <w:rPr>
          <w:sz w:val="20"/>
          <w:szCs w:val="20"/>
          <w:color w:val="auto"/>
        </w:rPr>
      </w:pPr>
    </w:p>
    <w:p>
      <w:pPr>
        <w:ind w:left="4" w:right="4480" w:firstLine="750"/>
        <w:spacing w:after="0" w:line="254" w:lineRule="auto"/>
        <w:rPr>
          <w:sz w:val="20"/>
          <w:szCs w:val="20"/>
          <w:color w:val="auto"/>
        </w:rPr>
      </w:pPr>
      <w:r>
        <w:rPr>
          <w:rFonts w:ascii="Courier New" w:cs="Courier New" w:eastAsia="Courier New" w:hAnsi="Courier New"/>
          <w:sz w:val="15"/>
          <w:szCs w:val="15"/>
          <w:color w:val="auto"/>
        </w:rPr>
        <w:t>On April 28, 1993, J. Hyatt Brown and Jim W. Henderson each entered into similar employment agreements with the Company. Each agreement</w:t>
      </w:r>
    </w:p>
    <w:p>
      <w:pPr>
        <w:spacing w:after="0" w:line="1" w:lineRule="exact"/>
        <w:rPr>
          <w:sz w:val="20"/>
          <w:szCs w:val="20"/>
          <w:color w:val="auto"/>
        </w:rPr>
      </w:pPr>
    </w:p>
    <w:p>
      <w:pPr>
        <w:ind w:left="4" w:right="4960"/>
        <w:spacing w:after="0" w:line="257" w:lineRule="auto"/>
        <w:rPr>
          <w:sz w:val="20"/>
          <w:szCs w:val="20"/>
          <w:color w:val="auto"/>
        </w:rPr>
      </w:pPr>
      <w:r>
        <w:rPr>
          <w:rFonts w:ascii="Courier New" w:cs="Courier New" w:eastAsia="Courier New" w:hAnsi="Courier New"/>
          <w:sz w:val="15"/>
          <w:szCs w:val="15"/>
          <w:color w:val="auto"/>
        </w:rPr>
        <w:t>may be terminated by either party upon 30 days advance written notice. Compensation under these agreements is at amounts agreed upon between the Company and such employee from time to time. Additionally, for a period of three years following the termination of employment, each</w:t>
      </w:r>
    </w:p>
    <w:p>
      <w:pPr>
        <w:sectPr>
          <w:pgSz w:w="11900" w:h="16838" w:orient="portrait"/>
          <w:cols w:equalWidth="0" w:num="1">
            <w:col w:w="11524"/>
          </w:cols>
          <w:pgMar w:left="236" w:top="137" w:right="139" w:bottom="0" w:gutter="0" w:footer="0" w:header="0"/>
        </w:sectPr>
      </w:pPr>
    </w:p>
    <w:bookmarkStart w:id="6" w:name="page7"/>
    <w:bookmarkEnd w:id="6"/>
    <w:p>
      <w:pPr>
        <w:ind w:right="3559"/>
        <w:spacing w:after="0" w:line="236" w:lineRule="auto"/>
        <w:rPr>
          <w:sz w:val="20"/>
          <w:szCs w:val="20"/>
          <w:color w:val="auto"/>
        </w:rPr>
      </w:pPr>
      <w:r>
        <w:rPr>
          <w:rFonts w:ascii="Courier New" w:cs="Courier New" w:eastAsia="Courier New" w:hAnsi="Courier New"/>
          <w:sz w:val="16"/>
          <w:szCs w:val="16"/>
          <w:color w:val="auto"/>
        </w:rPr>
        <w:t>agreement prohibits the employee from directly or indirectly soliciting or servicing the Company's customers.</w:t>
      </w:r>
    </w:p>
    <w:p>
      <w:pPr>
        <w:spacing w:after="0" w:line="185" w:lineRule="exact"/>
        <w:rPr>
          <w:sz w:val="20"/>
          <w:szCs w:val="20"/>
          <w:color w:val="auto"/>
        </w:rPr>
      </w:pPr>
    </w:p>
    <w:p>
      <w:pPr>
        <w:ind w:right="3179" w:firstLine="750"/>
        <w:spacing w:after="0" w:line="254" w:lineRule="auto"/>
        <w:rPr>
          <w:sz w:val="20"/>
          <w:szCs w:val="20"/>
          <w:color w:val="auto"/>
        </w:rPr>
      </w:pPr>
      <w:r>
        <w:rPr>
          <w:rFonts w:ascii="Courier New" w:cs="Courier New" w:eastAsia="Courier New" w:hAnsi="Courier New"/>
          <w:sz w:val="15"/>
          <w:szCs w:val="15"/>
          <w:color w:val="auto"/>
        </w:rPr>
        <w:t>Brown &amp; Brown, Inc., presently a subsidiary of the Company, entered into a deferred compensation agreement with Kenneth E. Hill, dated</w:t>
      </w:r>
    </w:p>
    <w:p>
      <w:pPr>
        <w:spacing w:after="0" w:line="1" w:lineRule="exact"/>
        <w:rPr>
          <w:sz w:val="20"/>
          <w:szCs w:val="20"/>
          <w:color w:val="auto"/>
        </w:rPr>
      </w:pPr>
    </w:p>
    <w:p>
      <w:pPr>
        <w:ind w:right="3659"/>
        <w:spacing w:after="0" w:line="257" w:lineRule="auto"/>
        <w:rPr>
          <w:sz w:val="20"/>
          <w:szCs w:val="20"/>
          <w:color w:val="auto"/>
        </w:rPr>
      </w:pPr>
      <w:r>
        <w:rPr>
          <w:rFonts w:ascii="Courier New" w:cs="Courier New" w:eastAsia="Courier New" w:hAnsi="Courier New"/>
          <w:sz w:val="15"/>
          <w:szCs w:val="15"/>
          <w:color w:val="auto"/>
        </w:rPr>
        <w:t>April 27, 1993. That agreement was superseded by a new agreement entered into by the parties in April 1998. The new agreement provides that the Company will pay Mr. Hill (or his beneficiaries, in the event of his death) $276,792 annually for ten years beginning June 1, 1998.</w:t>
      </w:r>
    </w:p>
    <w:p>
      <w:pPr>
        <w:spacing w:after="0" w:line="174" w:lineRule="exact"/>
        <w:rPr>
          <w:sz w:val="20"/>
          <w:szCs w:val="20"/>
          <w:color w:val="auto"/>
        </w:rPr>
      </w:pPr>
    </w:p>
    <w:p>
      <w:pPr>
        <w:ind w:right="2999" w:firstLine="750"/>
        <w:spacing w:after="0" w:line="254" w:lineRule="auto"/>
        <w:rPr>
          <w:sz w:val="20"/>
          <w:szCs w:val="20"/>
          <w:color w:val="auto"/>
        </w:rPr>
      </w:pPr>
      <w:r>
        <w:rPr>
          <w:rFonts w:ascii="Courier New" w:cs="Courier New" w:eastAsia="Courier New" w:hAnsi="Courier New"/>
          <w:sz w:val="15"/>
          <w:szCs w:val="15"/>
          <w:color w:val="auto"/>
        </w:rPr>
        <w:t>Mr. Hill also entered into a seven-year employment agreement in 1998, which provides that Mr. Hill will receive an annual salary of $250,000 commencing on May 1, 1998. His salary shall increase by $10,000 each</w:t>
      </w:r>
    </w:p>
    <w:p>
      <w:pPr>
        <w:spacing w:after="0" w:line="2" w:lineRule="exact"/>
        <w:rPr>
          <w:sz w:val="20"/>
          <w:szCs w:val="20"/>
          <w:color w:val="auto"/>
        </w:rPr>
      </w:pPr>
    </w:p>
    <w:p>
      <w:pPr>
        <w:ind w:right="3659"/>
        <w:spacing w:after="0" w:line="254" w:lineRule="auto"/>
        <w:rPr>
          <w:sz w:val="20"/>
          <w:szCs w:val="20"/>
          <w:color w:val="auto"/>
        </w:rPr>
      </w:pPr>
      <w:r>
        <w:rPr>
          <w:rFonts w:ascii="Courier New" w:cs="Courier New" w:eastAsia="Courier New" w:hAnsi="Courier New"/>
          <w:sz w:val="15"/>
          <w:szCs w:val="15"/>
          <w:color w:val="auto"/>
        </w:rPr>
        <w:t>year during the term of the agreement. The Company agreed to purchase and maintain a life insurance policy on Mr. Hill, payable to his beneficiaries, in an amount representing the balance of the unpaid annual salary payments should he die before the end of the term of</w:t>
      </w:r>
    </w:p>
    <w:p>
      <w:pPr>
        <w:spacing w:after="0" w:line="2" w:lineRule="exact"/>
        <w:rPr>
          <w:sz w:val="20"/>
          <w:szCs w:val="20"/>
          <w:color w:val="auto"/>
        </w:rPr>
      </w:pPr>
    </w:p>
    <w:p>
      <w:pPr>
        <w:ind w:right="3479"/>
        <w:spacing w:after="0" w:line="256" w:lineRule="auto"/>
        <w:rPr>
          <w:sz w:val="20"/>
          <w:szCs w:val="20"/>
          <w:color w:val="auto"/>
        </w:rPr>
      </w:pPr>
      <w:r>
        <w:rPr>
          <w:rFonts w:ascii="Courier New" w:cs="Courier New" w:eastAsia="Courier New" w:hAnsi="Courier New"/>
          <w:sz w:val="15"/>
          <w:szCs w:val="15"/>
          <w:color w:val="auto"/>
        </w:rPr>
        <w:t>the agreement. The Company also agreed to provide Mr. Hill's spouse and dependents up to $10,000 per year for use in purchasing health insurance if Mr. Hill dies before April 30, 2002 for each year during the term of the agreement that they would not be eligible to purchase continuation health coverage under the Company's medical plan and the terms of the Consolidated Omnibus Budget Reconciliation Act of 1985 (COBRA).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5" w:lineRule="exact"/>
        <w:rPr>
          <w:sz w:val="20"/>
          <w:szCs w:val="20"/>
          <w:color w:val="auto"/>
        </w:rPr>
      </w:pPr>
    </w:p>
    <w:p>
      <w:pPr>
        <w:ind w:right="3099" w:firstLine="750"/>
        <w:spacing w:after="0" w:line="237" w:lineRule="auto"/>
        <w:rPr>
          <w:sz w:val="20"/>
          <w:szCs w:val="20"/>
          <w:color w:val="auto"/>
        </w:rPr>
      </w:pPr>
      <w:r>
        <w:rPr>
          <w:rFonts w:ascii="Courier New" w:cs="Courier New" w:eastAsia="Courier New" w:hAnsi="Courier New"/>
          <w:sz w:val="16"/>
          <w:szCs w:val="16"/>
          <w:color w:val="auto"/>
        </w:rPr>
        <w:t>The members of the Company's Compensation Committee during 1998 were Samuel P. Bell, III (Chairman), J. Hyatt Brown, Bradley Currey, Jr., Theodore J. Hoepner, David H. Hughes and Jan E. Smith. Mr. Brown is</w:t>
      </w:r>
    </w:p>
    <w:p>
      <w:pPr>
        <w:spacing w:after="0"/>
        <w:rPr>
          <w:sz w:val="20"/>
          <w:szCs w:val="20"/>
          <w:color w:val="auto"/>
        </w:rPr>
      </w:pPr>
      <w:r>
        <w:rPr>
          <w:rFonts w:ascii="Courier New" w:cs="Courier New" w:eastAsia="Courier New" w:hAnsi="Courier New"/>
          <w:sz w:val="16"/>
          <w:szCs w:val="16"/>
          <w:color w:val="auto"/>
        </w:rPr>
        <w:t>the Company's Chairman, President and Chief Executive Officer.</w:t>
      </w:r>
    </w:p>
    <w:p>
      <w:pPr>
        <w:spacing w:after="0" w:line="184" w:lineRule="exact"/>
        <w:rPr>
          <w:sz w:val="20"/>
          <w:szCs w:val="20"/>
          <w:color w:val="auto"/>
        </w:rPr>
      </w:pPr>
    </w:p>
    <w:p>
      <w:pPr>
        <w:ind w:right="2899" w:firstLine="750"/>
        <w:spacing w:after="0" w:line="254" w:lineRule="auto"/>
        <w:rPr>
          <w:sz w:val="20"/>
          <w:szCs w:val="20"/>
          <w:color w:val="auto"/>
        </w:rPr>
      </w:pPr>
      <w:r>
        <w:rPr>
          <w:rFonts w:ascii="Courier New" w:cs="Courier New" w:eastAsia="Courier New" w:hAnsi="Courier New"/>
          <w:sz w:val="15"/>
          <w:szCs w:val="15"/>
          <w:color w:val="auto"/>
        </w:rPr>
        <w:t>Samuel P. Bell, III is a partner in the law firm of Pennington, Moore, Wilkinson, Bell &amp; Dunbar, P.A. and serves as Of Counsel to the law firm</w:t>
      </w:r>
    </w:p>
    <w:p>
      <w:pPr>
        <w:spacing w:after="0" w:line="1" w:lineRule="exact"/>
        <w:rPr>
          <w:sz w:val="20"/>
          <w:szCs w:val="20"/>
          <w:color w:val="auto"/>
        </w:rPr>
      </w:pPr>
    </w:p>
    <w:p>
      <w:pPr>
        <w:ind w:right="3839"/>
        <w:spacing w:after="0" w:line="237" w:lineRule="auto"/>
        <w:rPr>
          <w:sz w:val="20"/>
          <w:szCs w:val="20"/>
          <w:color w:val="auto"/>
        </w:rPr>
      </w:pPr>
      <w:r>
        <w:rPr>
          <w:rFonts w:ascii="Courier New" w:cs="Courier New" w:eastAsia="Courier New" w:hAnsi="Courier New"/>
          <w:sz w:val="16"/>
          <w:szCs w:val="16"/>
          <w:color w:val="auto"/>
        </w:rPr>
        <w:t>of Cobb Cole &amp; Bell. Each of these firms performed services for the Company in 1998 and each is expected to continue to perform legal services for the Company during 1999.</w:t>
      </w:r>
    </w:p>
    <w:p>
      <w:pPr>
        <w:spacing w:after="0" w:line="200" w:lineRule="exact"/>
        <w:rPr>
          <w:sz w:val="20"/>
          <w:szCs w:val="20"/>
          <w:color w:val="auto"/>
        </w:rPr>
      </w:pPr>
    </w:p>
    <w:p>
      <w:pPr>
        <w:spacing w:after="0" w:line="345" w:lineRule="exact"/>
        <w:rPr>
          <w:sz w:val="20"/>
          <w:szCs w:val="20"/>
          <w:color w:val="auto"/>
        </w:rPr>
      </w:pPr>
    </w:p>
    <w:p>
      <w:pPr>
        <w:ind w:right="2819" w:firstLine="750"/>
        <w:spacing w:after="0" w:line="236" w:lineRule="auto"/>
        <w:rPr>
          <w:sz w:val="20"/>
          <w:szCs w:val="20"/>
          <w:color w:val="auto"/>
        </w:rPr>
      </w:pPr>
      <w:r>
        <w:rPr>
          <w:rFonts w:ascii="Courier New" w:cs="Courier New" w:eastAsia="Courier New" w:hAnsi="Courier New"/>
          <w:sz w:val="16"/>
          <w:szCs w:val="16"/>
          <w:color w:val="auto"/>
        </w:rPr>
        <w:t>J. Hyatt Brown is a significant shareholder and a director of Rock-Tenn Company, which is a customer of the Company. Rock-Tenn's Chairman and</w:t>
      </w:r>
    </w:p>
    <w:p>
      <w:pPr>
        <w:spacing w:after="0" w:line="4" w:lineRule="exact"/>
        <w:rPr>
          <w:sz w:val="20"/>
          <w:szCs w:val="20"/>
          <w:color w:val="auto"/>
        </w:rPr>
      </w:pPr>
    </w:p>
    <w:p>
      <w:pPr>
        <w:ind w:right="4039"/>
        <w:spacing w:after="0" w:line="263" w:lineRule="auto"/>
        <w:rPr>
          <w:sz w:val="20"/>
          <w:szCs w:val="20"/>
          <w:color w:val="auto"/>
        </w:rPr>
      </w:pPr>
      <w:r>
        <w:rPr>
          <w:rFonts w:ascii="Courier New" w:cs="Courier New" w:eastAsia="Courier New" w:hAnsi="Courier New"/>
          <w:sz w:val="15"/>
          <w:szCs w:val="15"/>
          <w:color w:val="auto"/>
        </w:rPr>
        <w:t>Chief Executive Officer, Bradley Currey, Jr., is a director of the Company and a member of the Company's Compensation Committee.</w:t>
      </w:r>
    </w:p>
    <w:p>
      <w:pPr>
        <w:spacing w:after="0" w:line="169" w:lineRule="exact"/>
        <w:rPr>
          <w:sz w:val="20"/>
          <w:szCs w:val="20"/>
          <w:color w:val="auto"/>
        </w:rPr>
      </w:pPr>
    </w:p>
    <w:p>
      <w:pPr>
        <w:ind w:right="2999" w:firstLine="750"/>
        <w:spacing w:after="0" w:line="237" w:lineRule="auto"/>
        <w:rPr>
          <w:sz w:val="20"/>
          <w:szCs w:val="20"/>
          <w:color w:val="auto"/>
        </w:rPr>
      </w:pPr>
      <w:r>
        <w:rPr>
          <w:rFonts w:ascii="Courier New" w:cs="Courier New" w:eastAsia="Courier New" w:hAnsi="Courier New"/>
          <w:sz w:val="16"/>
          <w:szCs w:val="16"/>
          <w:color w:val="auto"/>
        </w:rPr>
        <w:t>Theodore J. Hoepner is the Chairman of the Board, President and Chief Executive Officer of SunTrust Banks of Florida, Inc., which is the parent company of SunTrust Bank, Central Florida, N.A. In 1998, the Company increased its existing $10 million line of credit with SunTrust Bank, Central Florida, N.A. to $50 million. The Company expects to continue to use SunTrust Bank, Central Florida, N.A. during 1999 for some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management requirements. J. Hyatt Brown is a director of SunTrust</w:t>
      </w:r>
    </w:p>
    <w:p>
      <w:pPr>
        <w:spacing w:after="0"/>
        <w:rPr>
          <w:sz w:val="20"/>
          <w:szCs w:val="20"/>
          <w:color w:val="auto"/>
        </w:rPr>
      </w:pPr>
      <w:r>
        <w:rPr>
          <w:rFonts w:ascii="Courier New" w:cs="Courier New" w:eastAsia="Courier New" w:hAnsi="Courier New"/>
          <w:sz w:val="16"/>
          <w:szCs w:val="16"/>
          <w:color w:val="auto"/>
        </w:rPr>
        <w:t>Banks, Inc., the parent company of SunTrust Banks of Florida, Inc., and</w:t>
      </w:r>
    </w:p>
    <w:p>
      <w:pPr>
        <w:spacing w:after="0"/>
        <w:tabs>
          <w:tab w:leader="none" w:pos="5420" w:val="left"/>
        </w:tabs>
        <w:rPr>
          <w:sz w:val="20"/>
          <w:szCs w:val="20"/>
          <w:color w:val="auto"/>
        </w:rPr>
      </w:pPr>
      <w:r>
        <w:rPr>
          <w:rFonts w:ascii="Courier New" w:cs="Courier New" w:eastAsia="Courier New" w:hAnsi="Courier New"/>
          <w:sz w:val="16"/>
          <w:szCs w:val="16"/>
          <w:color w:val="auto"/>
        </w:rPr>
        <w:t>a director of SunTrust Banks, East Central Florida, N.A.</w:t>
      </w:r>
      <w:r>
        <w:rPr>
          <w:sz w:val="20"/>
          <w:szCs w:val="20"/>
          <w:color w:val="auto"/>
        </w:rPr>
        <w:tab/>
      </w:r>
      <w:r>
        <w:rPr>
          <w:rFonts w:ascii="Courier New" w:cs="Courier New" w:eastAsia="Courier New" w:hAnsi="Courier New"/>
          <w:sz w:val="15"/>
          <w:szCs w:val="15"/>
          <w:color w:val="auto"/>
        </w:rPr>
        <w:t>David H. Hughes</w:t>
      </w:r>
    </w:p>
    <w:p>
      <w:pPr>
        <w:spacing w:after="0"/>
        <w:rPr>
          <w:sz w:val="20"/>
          <w:szCs w:val="20"/>
          <w:color w:val="auto"/>
        </w:rPr>
      </w:pPr>
      <w:r>
        <w:rPr>
          <w:rFonts w:ascii="Courier New" w:cs="Courier New" w:eastAsia="Courier New" w:hAnsi="Courier New"/>
          <w:sz w:val="16"/>
          <w:szCs w:val="16"/>
          <w:color w:val="auto"/>
        </w:rPr>
        <w:t>serves on the Board of Directors of SunTrust Banks, Inc., and Jan E.</w:t>
      </w:r>
    </w:p>
    <w:p>
      <w:pPr>
        <w:spacing w:after="0" w:line="238" w:lineRule="auto"/>
        <w:rPr>
          <w:sz w:val="20"/>
          <w:szCs w:val="20"/>
          <w:color w:val="auto"/>
        </w:rPr>
      </w:pPr>
      <w:r>
        <w:rPr>
          <w:rFonts w:ascii="Courier New" w:cs="Courier New" w:eastAsia="Courier New" w:hAnsi="Courier New"/>
          <w:sz w:val="16"/>
          <w:szCs w:val="16"/>
          <w:color w:val="auto"/>
        </w:rPr>
        <w:t>Smith serves on the Board of Directors of SunTrust Bank, Gulf Coast.</w:t>
      </w:r>
    </w:p>
    <w:p>
      <w:pPr>
        <w:spacing w:after="0" w:line="200" w:lineRule="exact"/>
        <w:rPr>
          <w:sz w:val="20"/>
          <w:szCs w:val="20"/>
          <w:color w:val="auto"/>
        </w:rPr>
      </w:pPr>
    </w:p>
    <w:p>
      <w:pPr>
        <w:spacing w:after="0" w:line="346"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Board Compensation Committee Report on Executive Compensation and the Performance Graph shall not be incorporated by reference into any such filings.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Compensation Committee Report on Executive Compensation</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The Company's overall compensation philosophy is as follows:</w:t>
      </w:r>
    </w:p>
    <w:p>
      <w:pPr>
        <w:spacing w:after="0" w:line="185" w:lineRule="exact"/>
        <w:rPr>
          <w:sz w:val="20"/>
          <w:szCs w:val="20"/>
          <w:color w:val="auto"/>
        </w:rPr>
      </w:pPr>
    </w:p>
    <w:p>
      <w:pPr>
        <w:ind w:left="460" w:right="3379" w:hanging="276"/>
        <w:spacing w:after="0" w:line="236" w:lineRule="auto"/>
        <w:tabs>
          <w:tab w:leader="none" w:pos="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high-quality people, which is crucial to both the short-term and long-term success of the Company;</w:t>
      </w:r>
    </w:p>
    <w:p>
      <w:pPr>
        <w:spacing w:after="0" w:line="184" w:lineRule="exact"/>
        <w:rPr>
          <w:rFonts w:ascii="Courier New" w:cs="Courier New" w:eastAsia="Courier New" w:hAnsi="Courier New"/>
          <w:sz w:val="16"/>
          <w:szCs w:val="16"/>
          <w:color w:val="auto"/>
        </w:rPr>
      </w:pPr>
    </w:p>
    <w:p>
      <w:pPr>
        <w:ind w:left="460" w:right="4039" w:hanging="276"/>
        <w:spacing w:after="0" w:line="236" w:lineRule="auto"/>
        <w:tabs>
          <w:tab w:leader="none" w:pos="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Reinforce strategic performance objectives through the use of incentive compensation programs; and</w:t>
      </w:r>
    </w:p>
    <w:p>
      <w:pPr>
        <w:spacing w:after="0" w:line="184" w:lineRule="exact"/>
        <w:rPr>
          <w:rFonts w:ascii="Courier New" w:cs="Courier New" w:eastAsia="Courier New" w:hAnsi="Courier New"/>
          <w:sz w:val="16"/>
          <w:szCs w:val="16"/>
          <w:color w:val="auto"/>
        </w:rPr>
      </w:pPr>
    </w:p>
    <w:p>
      <w:pPr>
        <w:ind w:left="460" w:right="3479" w:hanging="276"/>
        <w:spacing w:after="0" w:line="237" w:lineRule="auto"/>
        <w:tabs>
          <w:tab w:leader="none" w:pos="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 mutuality of interest between the executive officers and shareholders through compensation structures that share the rewards and risks of strategic decision-making.</w:t>
      </w:r>
    </w:p>
    <w:p>
      <w:pPr>
        <w:spacing w:after="0" w:line="185" w:lineRule="exact"/>
        <w:rPr>
          <w:sz w:val="20"/>
          <w:szCs w:val="20"/>
          <w:color w:val="auto"/>
        </w:rPr>
      </w:pPr>
    </w:p>
    <w:p>
      <w:pPr>
        <w:ind w:right="3179" w:firstLine="750"/>
        <w:spacing w:after="0" w:line="254" w:lineRule="auto"/>
        <w:rPr>
          <w:sz w:val="20"/>
          <w:szCs w:val="20"/>
          <w:color w:val="auto"/>
        </w:rPr>
      </w:pPr>
      <w:r>
        <w:rPr>
          <w:rFonts w:ascii="Courier New" w:cs="Courier New" w:eastAsia="Courier New" w:hAnsi="Courier New"/>
          <w:sz w:val="15"/>
          <w:szCs w:val="15"/>
          <w:color w:val="auto"/>
        </w:rPr>
        <w:t>Base Compensation. Salary levels for officers other than the Chief Executive Officer are determined by the Chief Executive Officer each</w:t>
      </w:r>
    </w:p>
    <w:p>
      <w:pPr>
        <w:spacing w:after="0" w:line="1" w:lineRule="exact"/>
        <w:rPr>
          <w:sz w:val="20"/>
          <w:szCs w:val="20"/>
          <w:color w:val="auto"/>
        </w:rPr>
      </w:pPr>
    </w:p>
    <w:p>
      <w:pPr>
        <w:ind w:right="3559"/>
        <w:spacing w:after="0" w:line="238" w:lineRule="auto"/>
        <w:rPr>
          <w:sz w:val="20"/>
          <w:szCs w:val="20"/>
          <w:color w:val="auto"/>
        </w:rPr>
      </w:pPr>
      <w:r>
        <w:rPr>
          <w:rFonts w:ascii="Courier New" w:cs="Courier New" w:eastAsia="Courier New" w:hAnsi="Courier New"/>
          <w:sz w:val="16"/>
          <w:szCs w:val="16"/>
          <w:color w:val="auto"/>
        </w:rPr>
        <w:t>year during the first quarter based upon the qualitative performance of each officer during the previous year and guidelines approved by the Compensation Committee. If an officer has had no change in duties, the percentage of annual salary increases for such officer generally has been approximately 5% of the officer's base salary, although it is expected that salary increases in 1999 will generally be approximately 2 1/2%. Exceptional performance or a change in the officer's responsibilities may merit a larger increase.</w:t>
      </w:r>
    </w:p>
    <w:p>
      <w:pPr>
        <w:sectPr>
          <w:pgSz w:w="11900" w:h="16838" w:orient="portrait"/>
          <w:cols w:equalWidth="0" w:num="1">
            <w:col w:w="10219"/>
          </w:cols>
          <w:pgMar w:left="240" w:top="142" w:right="1440" w:bottom="0" w:gutter="0" w:footer="0" w:header="0"/>
        </w:sectPr>
      </w:pPr>
    </w:p>
    <w:bookmarkStart w:id="7" w:name="page8"/>
    <w:bookmarkEnd w:id="7"/>
    <w:p>
      <w:pPr>
        <w:ind w:left="4" w:right="3000" w:firstLine="750"/>
        <w:spacing w:after="0" w:line="238" w:lineRule="auto"/>
        <w:rPr>
          <w:sz w:val="20"/>
          <w:szCs w:val="20"/>
          <w:color w:val="auto"/>
        </w:rPr>
      </w:pPr>
      <w:r>
        <w:rPr>
          <w:rFonts w:ascii="Courier New" w:cs="Courier New" w:eastAsia="Courier New" w:hAnsi="Courier New"/>
          <w:sz w:val="16"/>
          <w:szCs w:val="16"/>
          <w:color w:val="auto"/>
        </w:rPr>
        <w:t>Annual Bonuses. Bonuses for managers of the Company's Retail Division profit centers are established by the profit center manager from a bonus pool allocated to that manager's profit center through a pre-determined formula. For 1998, in each Retail Division profit center, the aggregate annual bonuses to be allocated among the employees of that profit center ranged from 3% to 12% of that profit center's operating profit before interest, amortization and profit center bonus. The highest bonus levels are not met until the profit center's operating profit percentage</w:t>
      </w:r>
    </w:p>
    <w:p>
      <w:pPr>
        <w:spacing w:after="0" w:line="5" w:lineRule="exact"/>
        <w:rPr>
          <w:sz w:val="20"/>
          <w:szCs w:val="20"/>
          <w:color w:val="auto"/>
        </w:rPr>
      </w:pPr>
    </w:p>
    <w:p>
      <w:pPr>
        <w:ind w:left="4" w:right="3480"/>
        <w:spacing w:after="0" w:line="238" w:lineRule="auto"/>
        <w:rPr>
          <w:sz w:val="20"/>
          <w:szCs w:val="20"/>
          <w:color w:val="auto"/>
        </w:rPr>
      </w:pPr>
      <w:r>
        <w:rPr>
          <w:rFonts w:ascii="Courier New" w:cs="Courier New" w:eastAsia="Courier New" w:hAnsi="Courier New"/>
          <w:sz w:val="16"/>
          <w:szCs w:val="16"/>
          <w:color w:val="auto"/>
        </w:rPr>
        <w:t>is equal to or greater than 28%. Other divisions of the Company have similar objective measures of bonus potential based on achievement of targeted operating or pre-tax goals. The annual bonus for Mr. Henderson, who, in addition to other duties, served as the profit center manager for the Daytona Beach retail operation, was established based on a subjective allocation of the aggregate profit center bonus earned by the Daytona Beach retail profit center.</w:t>
      </w:r>
    </w:p>
    <w:p>
      <w:pPr>
        <w:spacing w:after="0" w:line="185" w:lineRule="exact"/>
        <w:rPr>
          <w:sz w:val="20"/>
          <w:szCs w:val="20"/>
          <w:color w:val="auto"/>
        </w:rPr>
      </w:pPr>
    </w:p>
    <w:p>
      <w:pPr>
        <w:ind w:left="4" w:right="2720" w:firstLine="750"/>
        <w:spacing w:after="0" w:line="237" w:lineRule="auto"/>
        <w:rPr>
          <w:sz w:val="20"/>
          <w:szCs w:val="20"/>
          <w:color w:val="auto"/>
        </w:rPr>
      </w:pPr>
      <w:r>
        <w:rPr>
          <w:rFonts w:ascii="Courier New" w:cs="Courier New" w:eastAsia="Courier New" w:hAnsi="Courier New"/>
          <w:sz w:val="16"/>
          <w:szCs w:val="16"/>
          <w:color w:val="auto"/>
        </w:rPr>
        <w:t>The bonuses for the executive officers who are not profit center managers are determined by the Chief Executive Officer based primarily on objective criteria, such as a percentage of the officer's salary, the earnings growth of the Company as a whole, and a subjective analysis of the</w:t>
      </w:r>
    </w:p>
    <w:p>
      <w:pPr>
        <w:spacing w:after="0" w:line="200" w:lineRule="exact"/>
        <w:rPr>
          <w:sz w:val="20"/>
          <w:szCs w:val="20"/>
          <w:color w:val="auto"/>
        </w:rPr>
      </w:pPr>
    </w:p>
    <w:p>
      <w:pPr>
        <w:spacing w:after="0" w:line="347" w:lineRule="exact"/>
        <w:rPr>
          <w:sz w:val="20"/>
          <w:szCs w:val="20"/>
          <w:color w:val="auto"/>
        </w:rPr>
      </w:pPr>
    </w:p>
    <w:p>
      <w:pPr>
        <w:ind w:left="4" w:right="3760"/>
        <w:spacing w:after="0" w:line="236" w:lineRule="auto"/>
        <w:rPr>
          <w:sz w:val="20"/>
          <w:szCs w:val="20"/>
          <w:color w:val="auto"/>
        </w:rPr>
      </w:pPr>
      <w:r>
        <w:rPr>
          <w:rFonts w:ascii="Courier New" w:cs="Courier New" w:eastAsia="Courier New" w:hAnsi="Courier New"/>
          <w:sz w:val="16"/>
          <w:szCs w:val="16"/>
          <w:color w:val="auto"/>
        </w:rPr>
        <w:t>officer's duties and performance. The proposed bonuses are reviewed by the Committee and either approved or revised.</w:t>
      </w:r>
    </w:p>
    <w:p>
      <w:pPr>
        <w:spacing w:after="0" w:line="185" w:lineRule="exact"/>
        <w:rPr>
          <w:sz w:val="20"/>
          <w:szCs w:val="20"/>
          <w:color w:val="auto"/>
        </w:rPr>
      </w:pPr>
    </w:p>
    <w:p>
      <w:pPr>
        <w:ind w:left="4" w:right="3100" w:firstLine="750"/>
        <w:spacing w:after="0" w:line="238" w:lineRule="auto"/>
        <w:rPr>
          <w:sz w:val="20"/>
          <w:szCs w:val="20"/>
          <w:color w:val="auto"/>
        </w:rPr>
      </w:pPr>
      <w:r>
        <w:rPr>
          <w:rFonts w:ascii="Courier New" w:cs="Courier New" w:eastAsia="Courier New" w:hAnsi="Courier New"/>
          <w:sz w:val="16"/>
          <w:szCs w:val="16"/>
          <w:color w:val="auto"/>
        </w:rPr>
        <w:t>Long-Term Compensation. The Committee may also grant incentive stock options and/or shares of performance stock to officers and other key employees based upon salary levels, sales production levels and performance evaluations. No stock options were granted to executive officers in 1998. Grants of performance stock were made in 1998 to certain of the Named Executive Officers, as well as to other non-executive employees of the Company. See "Executive Compensation - Long-Term Incentive Plans - Awards in Last Fiscal Year."</w:t>
      </w:r>
    </w:p>
    <w:p>
      <w:pPr>
        <w:spacing w:after="0" w:line="185" w:lineRule="exact"/>
        <w:rPr>
          <w:sz w:val="20"/>
          <w:szCs w:val="20"/>
          <w:color w:val="auto"/>
        </w:rPr>
      </w:pPr>
    </w:p>
    <w:p>
      <w:pPr>
        <w:ind w:left="4" w:right="3280" w:firstLine="750"/>
        <w:spacing w:after="0" w:line="237" w:lineRule="auto"/>
        <w:rPr>
          <w:sz w:val="20"/>
          <w:szCs w:val="20"/>
          <w:color w:val="auto"/>
        </w:rPr>
      </w:pPr>
      <w:r>
        <w:rPr>
          <w:rFonts w:ascii="Courier New" w:cs="Courier New" w:eastAsia="Courier New" w:hAnsi="Courier New"/>
          <w:sz w:val="16"/>
          <w:szCs w:val="16"/>
          <w:color w:val="auto"/>
        </w:rPr>
        <w:t>CEO Compensation. With respect to the salary and bonus of J. Hyatt Brown, the Chairman, President and Chief Executive Officer of the Company, the Compensation Committee annually sets these amounts by reference to the general operating performance of the Company. The performance criteria most closely examined by the Committee are improvements in the Company's earnings per share and net income, as</w:t>
      </w:r>
    </w:p>
    <w:p>
      <w:pPr>
        <w:spacing w:after="0" w:line="8" w:lineRule="exact"/>
        <w:rPr>
          <w:sz w:val="20"/>
          <w:szCs w:val="20"/>
          <w:color w:val="auto"/>
        </w:rPr>
      </w:pPr>
    </w:p>
    <w:p>
      <w:pPr>
        <w:ind w:left="4" w:right="3580"/>
        <w:spacing w:after="0" w:line="238" w:lineRule="auto"/>
        <w:rPr>
          <w:sz w:val="20"/>
          <w:szCs w:val="20"/>
          <w:color w:val="auto"/>
        </w:rPr>
      </w:pPr>
      <w:r>
        <w:rPr>
          <w:rFonts w:ascii="Courier New" w:cs="Courier New" w:eastAsia="Courier New" w:hAnsi="Courier New"/>
          <w:sz w:val="16"/>
          <w:szCs w:val="16"/>
          <w:color w:val="auto"/>
        </w:rPr>
        <w:t>well as the continuing growth of the Company's business. The Committee also considers salary levels of chief executive officers in companies similar to the Company and makes adjustments believed appropriate based upon the differences in size of the peer companies as compared to the Company. The Committee reports the salary and bonus amounts recommended for the Chief Executive Officer to the full Board of Directors and responds to questions, if any. At that time, the Board may change salary levels or bonus amounts.</w:t>
      </w:r>
    </w:p>
    <w:p>
      <w:pPr>
        <w:spacing w:after="0" w:line="185" w:lineRule="exact"/>
        <w:rPr>
          <w:sz w:val="20"/>
          <w:szCs w:val="20"/>
          <w:color w:val="auto"/>
        </w:rPr>
      </w:pPr>
    </w:p>
    <w:p>
      <w:pPr>
        <w:ind w:left="4" w:right="3100" w:firstLine="750"/>
        <w:spacing w:after="0" w:line="237" w:lineRule="auto"/>
        <w:rPr>
          <w:sz w:val="20"/>
          <w:szCs w:val="20"/>
          <w:color w:val="auto"/>
        </w:rPr>
      </w:pPr>
      <w:r>
        <w:rPr>
          <w:rFonts w:ascii="Courier New" w:cs="Courier New" w:eastAsia="Courier New" w:hAnsi="Courier New"/>
          <w:sz w:val="16"/>
          <w:szCs w:val="16"/>
          <w:color w:val="auto"/>
        </w:rPr>
        <w:t>The $253,973 bonus recommended by the Committee (excluding Mr. Brown, who did not participate in this determination) and approved by the Board (excluding Mr. Brown) is 16% higher than Mr. Brown's 1997 bonus. This increase reflects the 16% increase in the Company's earnings per share over 1997, as originally reported.</w:t>
      </w:r>
    </w:p>
    <w:p>
      <w:pPr>
        <w:spacing w:after="0" w:line="187" w:lineRule="exact"/>
        <w:rPr>
          <w:sz w:val="20"/>
          <w:szCs w:val="20"/>
          <w:color w:val="auto"/>
        </w:rPr>
      </w:pPr>
    </w:p>
    <w:p>
      <w:pPr>
        <w:ind w:left="4" w:right="3580" w:firstLine="750"/>
        <w:spacing w:after="0" w:line="237" w:lineRule="auto"/>
        <w:rPr>
          <w:sz w:val="20"/>
          <w:szCs w:val="20"/>
          <w:color w:val="auto"/>
        </w:rPr>
      </w:pPr>
      <w:r>
        <w:rPr>
          <w:rFonts w:ascii="Courier New" w:cs="Courier New" w:eastAsia="Courier New" w:hAnsi="Courier New"/>
          <w:sz w:val="16"/>
          <w:szCs w:val="16"/>
          <w:color w:val="auto"/>
        </w:rPr>
        <w:t>The financial performance of the Company during 1998 was at the expected budgeted levels, and the Committee took this into consideration in establishing compensation levels.</w:t>
      </w:r>
    </w:p>
    <w:p>
      <w:pPr>
        <w:spacing w:after="0" w:line="180" w:lineRule="exact"/>
        <w:rPr>
          <w:sz w:val="20"/>
          <w:szCs w:val="20"/>
          <w:color w:val="auto"/>
        </w:rPr>
      </w:pPr>
    </w:p>
    <w:p>
      <w:pPr>
        <w:ind w:left="7504"/>
        <w:spacing w:after="0"/>
        <w:rPr>
          <w:sz w:val="20"/>
          <w:szCs w:val="20"/>
          <w:color w:val="auto"/>
        </w:rPr>
      </w:pPr>
      <w:r>
        <w:rPr>
          <w:rFonts w:ascii="Courier New" w:cs="Courier New" w:eastAsia="Courier New" w:hAnsi="Courier New"/>
          <w:sz w:val="16"/>
          <w:szCs w:val="16"/>
          <w:color w:val="auto"/>
        </w:rPr>
        <w:t>COMPENSATION COMMITTEE</w:t>
      </w:r>
    </w:p>
    <w:p>
      <w:pPr>
        <w:spacing w:after="0" w:line="185" w:lineRule="exact"/>
        <w:rPr>
          <w:sz w:val="20"/>
          <w:szCs w:val="20"/>
          <w:color w:val="auto"/>
        </w:rPr>
      </w:pPr>
    </w:p>
    <w:p>
      <w:pPr>
        <w:ind w:left="7504"/>
        <w:spacing w:after="0"/>
        <w:rPr>
          <w:sz w:val="20"/>
          <w:szCs w:val="20"/>
          <w:color w:val="auto"/>
        </w:rPr>
      </w:pPr>
      <w:r>
        <w:rPr>
          <w:rFonts w:ascii="Courier New" w:cs="Courier New" w:eastAsia="Courier New" w:hAnsi="Courier New"/>
          <w:sz w:val="15"/>
          <w:szCs w:val="15"/>
          <w:color w:val="auto"/>
        </w:rPr>
        <w:t>Samuel P. Bell, III (Chairman)</w:t>
      </w:r>
    </w:p>
    <w:p>
      <w:pPr>
        <w:spacing w:after="0" w:line="5" w:lineRule="exact"/>
        <w:rPr>
          <w:sz w:val="20"/>
          <w:szCs w:val="20"/>
          <w:color w:val="auto"/>
        </w:rPr>
      </w:pPr>
    </w:p>
    <w:p>
      <w:pPr>
        <w:ind w:left="7504"/>
        <w:spacing w:after="0"/>
        <w:rPr>
          <w:sz w:val="20"/>
          <w:szCs w:val="20"/>
          <w:color w:val="auto"/>
        </w:rPr>
      </w:pPr>
      <w:r>
        <w:rPr>
          <w:rFonts w:ascii="Courier New" w:cs="Courier New" w:eastAsia="Courier New" w:hAnsi="Courier New"/>
          <w:sz w:val="16"/>
          <w:szCs w:val="16"/>
          <w:color w:val="auto"/>
        </w:rPr>
        <w:t>J. Hyatt Brown</w:t>
      </w:r>
    </w:p>
    <w:p>
      <w:pPr>
        <w:ind w:left="7504"/>
        <w:spacing w:after="0"/>
        <w:rPr>
          <w:sz w:val="20"/>
          <w:szCs w:val="20"/>
          <w:color w:val="auto"/>
        </w:rPr>
      </w:pPr>
      <w:r>
        <w:rPr>
          <w:rFonts w:ascii="Courier New" w:cs="Courier New" w:eastAsia="Courier New" w:hAnsi="Courier New"/>
          <w:sz w:val="16"/>
          <w:szCs w:val="16"/>
          <w:color w:val="auto"/>
        </w:rPr>
        <w:t>Bradley Currey, Jr.</w:t>
      </w:r>
    </w:p>
    <w:p>
      <w:pPr>
        <w:ind w:left="7504"/>
        <w:spacing w:after="0" w:line="237" w:lineRule="auto"/>
        <w:rPr>
          <w:sz w:val="20"/>
          <w:szCs w:val="20"/>
          <w:color w:val="auto"/>
        </w:rPr>
      </w:pPr>
      <w:r>
        <w:rPr>
          <w:rFonts w:ascii="Courier New" w:cs="Courier New" w:eastAsia="Courier New" w:hAnsi="Courier New"/>
          <w:sz w:val="16"/>
          <w:szCs w:val="16"/>
          <w:color w:val="auto"/>
        </w:rPr>
        <w:t>Theodore J. Hoepner</w:t>
      </w:r>
    </w:p>
    <w:p>
      <w:pPr>
        <w:ind w:left="7504"/>
        <w:spacing w:after="0"/>
        <w:rPr>
          <w:sz w:val="20"/>
          <w:szCs w:val="20"/>
          <w:color w:val="auto"/>
        </w:rPr>
      </w:pPr>
      <w:r>
        <w:rPr>
          <w:rFonts w:ascii="Courier New" w:cs="Courier New" w:eastAsia="Courier New" w:hAnsi="Courier New"/>
          <w:sz w:val="16"/>
          <w:szCs w:val="16"/>
          <w:color w:val="auto"/>
        </w:rPr>
        <w:t>David H. Hughes</w:t>
      </w:r>
    </w:p>
    <w:p>
      <w:pPr>
        <w:ind w:left="7504"/>
        <w:spacing w:after="0" w:line="238" w:lineRule="auto"/>
        <w:rPr>
          <w:sz w:val="20"/>
          <w:szCs w:val="20"/>
          <w:color w:val="auto"/>
        </w:rPr>
      </w:pPr>
      <w:r>
        <w:rPr>
          <w:rFonts w:ascii="Courier New" w:cs="Courier New" w:eastAsia="Courier New" w:hAnsi="Courier New"/>
          <w:sz w:val="16"/>
          <w:szCs w:val="16"/>
          <w:color w:val="auto"/>
        </w:rPr>
        <w:t>Toni Jennings</w:t>
      </w:r>
    </w:p>
    <w:p>
      <w:pPr>
        <w:ind w:left="7504"/>
        <w:spacing w:after="0"/>
        <w:rPr>
          <w:sz w:val="20"/>
          <w:szCs w:val="20"/>
          <w:color w:val="auto"/>
        </w:rPr>
      </w:pPr>
      <w:r>
        <w:rPr>
          <w:rFonts w:ascii="Courier New" w:cs="Courier New" w:eastAsia="Courier New" w:hAnsi="Courier New"/>
          <w:sz w:val="16"/>
          <w:szCs w:val="16"/>
          <w:color w:val="auto"/>
        </w:rPr>
        <w:t>Jan E. Smith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left="4" w:right="3280" w:firstLine="844"/>
        <w:spacing w:after="0" w:line="254" w:lineRule="auto"/>
        <w:rPr>
          <w:sz w:val="20"/>
          <w:szCs w:val="20"/>
          <w:color w:val="auto"/>
        </w:rPr>
      </w:pPr>
      <w:r>
        <w:rPr>
          <w:rFonts w:ascii="Courier New" w:cs="Courier New" w:eastAsia="Courier New" w:hAnsi="Courier New"/>
          <w:sz w:val="15"/>
          <w:szCs w:val="15"/>
          <w:color w:val="auto"/>
        </w:rPr>
        <w:t>The following graph is a comparison of five-year cumulative total returns for the Company's common stock as compared with the cumulative total return for the Standard &amp; Poor's 500 Index, and a group of peer insurance broker and agency companies (Aon Corporation, Arthur J. Gallagher</w:t>
      </w:r>
    </w:p>
    <w:p>
      <w:pPr>
        <w:ind w:left="184" w:hanging="184"/>
        <w:spacing w:after="0" w:line="236" w:lineRule="auto"/>
        <w:tabs>
          <w:tab w:leader="none" w:pos="1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Hilb, Rogal and Hamilton Company, and Marsh &amp; McLennan Companies,</w:t>
      </w:r>
    </w:p>
    <w:p>
      <w:pPr>
        <w:spacing w:after="0" w:line="4" w:lineRule="exact"/>
        <w:rPr>
          <w:rFonts w:ascii="Courier New" w:cs="Courier New" w:eastAsia="Courier New" w:hAnsi="Courier New"/>
          <w:sz w:val="16"/>
          <w:szCs w:val="16"/>
          <w:color w:val="auto"/>
        </w:rPr>
      </w:pPr>
    </w:p>
    <w:p>
      <w:pPr>
        <w:ind w:left="4" w:right="328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 The returns of the companies have been weighted according to their respective stock market capitalizations as of January 1, 1998, for purposes of arriving at a peer group average. The total return calculations are based upon an assumed $100 investment on December 31, 1993, with all dividends reinvested.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624" w:type="dxa"/>
        <w:tblCellMar>
          <w:top w:w="0" w:type="dxa"/>
          <w:left w:w="0" w:type="dxa"/>
          <w:bottom w:w="0" w:type="dxa"/>
          <w:right w:w="0" w:type="dxa"/>
        </w:tblCellMar>
      </w:tblPr>
      <w:tr>
        <w:trPr>
          <w:trHeight w:val="181"/>
        </w:trPr>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1994</w:t>
            </w:r>
          </w:p>
        </w:tc>
        <w:tc>
          <w:tcPr>
            <w:tcW w:w="8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1995</w:t>
            </w:r>
          </w:p>
        </w:tc>
        <w:tc>
          <w:tcPr>
            <w:tcW w:w="70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____   ____</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____</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____</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____</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____</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ectPr>
          <w:pgSz w:w="11900" w:h="16838" w:orient="portrait"/>
          <w:cols w:equalWidth="0" w:num="1">
            <w:col w:w="10324"/>
          </w:cols>
          <w:pgMar w:left="236" w:top="142" w:right="1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Poe</w:t>
            </w:r>
          </w:p>
        </w:tc>
        <w:tc>
          <w:tcPr>
            <w:tcW w:w="2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&amp; Brown, Inc.</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124.03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144.25</w:t>
            </w:r>
          </w:p>
        </w:tc>
        <w:tc>
          <w:tcPr>
            <w:tcW w:w="18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156.19</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260.75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307.94</w:t>
            </w:r>
          </w:p>
        </w:tc>
      </w:tr>
      <w:tr>
        <w:trPr>
          <w:trHeight w:val="361"/>
        </w:trPr>
        <w:tc>
          <w:tcPr>
            <w:tcW w:w="32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Index</w:t>
            </w:r>
          </w:p>
        </w:tc>
        <w:tc>
          <w:tcPr>
            <w:tcW w:w="12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100</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98.46</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132.05</w:t>
            </w:r>
          </w:p>
        </w:tc>
        <w:tc>
          <w:tcPr>
            <w:tcW w:w="18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158.80  208.05</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263.53</w:t>
            </w:r>
          </w:p>
        </w:tc>
        <w:tc>
          <w:tcPr>
            <w:tcW w:w="660" w:type="dxa"/>
            <w:vAlign w:val="bottom"/>
          </w:tcPr>
          <w:p>
            <w:pPr>
              <w:spacing w:after="0"/>
              <w:rPr>
                <w:sz w:val="24"/>
                <w:szCs w:val="24"/>
                <w:color w:val="auto"/>
              </w:rPr>
            </w:pPr>
          </w:p>
        </w:tc>
      </w:tr>
      <w:tr>
        <w:trPr>
          <w:trHeight w:val="361"/>
        </w:trPr>
        <w:tc>
          <w:tcPr>
            <w:tcW w:w="2480" w:type="dxa"/>
            <w:vAlign w:val="bottom"/>
            <w:gridSpan w:val="3"/>
          </w:tcPr>
          <w:p>
            <w:pPr>
              <w:spacing w:after="0"/>
              <w:rPr>
                <w:sz w:val="20"/>
                <w:szCs w:val="20"/>
                <w:color w:val="auto"/>
              </w:rPr>
            </w:pPr>
            <w:r>
              <w:rPr>
                <w:rFonts w:ascii="Courier New" w:cs="Courier New" w:eastAsia="Courier New" w:hAnsi="Courier New"/>
                <w:sz w:val="16"/>
                <w:szCs w:val="16"/>
                <w:color w:val="auto"/>
              </w:rPr>
              <w:t>Peer Group of Insurance</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Agents</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and Brokers</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101.62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135.68</w:t>
            </w:r>
          </w:p>
        </w:tc>
        <w:tc>
          <w:tcPr>
            <w:tcW w:w="18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165.90</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235.62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253.50</w:t>
            </w:r>
          </w:p>
        </w:tc>
      </w:tr>
    </w:tbl>
    <w:p>
      <w:pPr>
        <w:spacing w:after="0" w:line="200" w:lineRule="exact"/>
        <w:rPr>
          <w:sz w:val="20"/>
          <w:szCs w:val="20"/>
          <w:color w:val="auto"/>
        </w:rPr>
      </w:pPr>
    </w:p>
    <w:p>
      <w:pPr>
        <w:spacing w:after="0" w:line="34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The Company cautions that the stock price performance shown in the graph should not be considered indicative of potential future stock price performance.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1 - ELECTION OF DIRECTORS</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The eight nominees for election as directors at the Meeting are J. Hyatt Brown, Samuel P. Bell, III, Bradley Currey, Jr., Jim W. Henderson, Theodore J. Hoepner, David H. Hughes, Toni Jennings and Jan E. Smith.</w:t>
      </w:r>
    </w:p>
    <w:p>
      <w:pPr>
        <w:spacing w:after="0"/>
        <w:rPr>
          <w:sz w:val="20"/>
          <w:szCs w:val="20"/>
          <w:color w:val="auto"/>
        </w:rPr>
      </w:pPr>
      <w:r>
        <w:rPr>
          <w:rFonts w:ascii="Courier New" w:cs="Courier New" w:eastAsia="Courier New" w:hAnsi="Courier New"/>
          <w:sz w:val="16"/>
          <w:szCs w:val="16"/>
          <w:color w:val="auto"/>
        </w:rPr>
        <w:t>Information concerning each of the nominees is set forth under the caption</w:t>
      </w:r>
    </w:p>
    <w:p>
      <w:pPr>
        <w:spacing w:after="0" w:line="237" w:lineRule="auto"/>
        <w:rPr>
          <w:sz w:val="20"/>
          <w:szCs w:val="20"/>
          <w:color w:val="auto"/>
        </w:rPr>
      </w:pPr>
      <w:r>
        <w:rPr>
          <w:rFonts w:ascii="Courier New" w:cs="Courier New" w:eastAsia="Courier New" w:hAnsi="Courier New"/>
          <w:sz w:val="16"/>
          <w:szCs w:val="16"/>
          <w:color w:val="auto"/>
        </w:rPr>
        <w:t>"Management - Directors and Executive Officers." All nominees are now</w:t>
      </w:r>
    </w:p>
    <w:p>
      <w:pPr>
        <w:spacing w:after="0"/>
        <w:tabs>
          <w:tab w:leader="none" w:pos="3360" w:val="left"/>
        </w:tabs>
        <w:rPr>
          <w:sz w:val="20"/>
          <w:szCs w:val="20"/>
          <w:color w:val="auto"/>
        </w:rPr>
      </w:pPr>
      <w:r>
        <w:rPr>
          <w:rFonts w:ascii="Courier New" w:cs="Courier New" w:eastAsia="Courier New" w:hAnsi="Courier New"/>
          <w:sz w:val="16"/>
          <w:szCs w:val="16"/>
          <w:color w:val="auto"/>
        </w:rPr>
        <w:t>members of the Board of Directors.</w:t>
      </w:r>
      <w:r>
        <w:rPr>
          <w:sz w:val="20"/>
          <w:szCs w:val="20"/>
          <w:color w:val="auto"/>
        </w:rPr>
        <w:tab/>
      </w:r>
      <w:r>
        <w:rPr>
          <w:rFonts w:ascii="Courier New" w:cs="Courier New" w:eastAsia="Courier New" w:hAnsi="Courier New"/>
          <w:sz w:val="15"/>
          <w:szCs w:val="15"/>
          <w:color w:val="auto"/>
        </w:rPr>
        <w:t>If elected, each of the nominees</w:t>
      </w:r>
    </w:p>
    <w:p>
      <w:pPr>
        <w:spacing w:after="0" w:line="238" w:lineRule="auto"/>
        <w:rPr>
          <w:sz w:val="20"/>
          <w:szCs w:val="20"/>
          <w:color w:val="auto"/>
        </w:rPr>
      </w:pPr>
      <w:r>
        <w:rPr>
          <w:rFonts w:ascii="Courier New" w:cs="Courier New" w:eastAsia="Courier New" w:hAnsi="Courier New"/>
          <w:sz w:val="16"/>
          <w:szCs w:val="16"/>
          <w:color w:val="auto"/>
        </w:rPr>
        <w:t>will serve a one-year term until the next Annual Meeting of Shareholders.</w:t>
      </w:r>
    </w:p>
    <w:p>
      <w:pPr>
        <w:spacing w:after="0" w:line="185" w:lineRule="exact"/>
        <w:rPr>
          <w:sz w:val="20"/>
          <w:szCs w:val="20"/>
          <w:color w:val="auto"/>
        </w:rPr>
      </w:pPr>
    </w:p>
    <w:p>
      <w:pPr>
        <w:ind w:right="2999" w:firstLine="750"/>
        <w:spacing w:after="0" w:line="238" w:lineRule="auto"/>
        <w:rPr>
          <w:sz w:val="20"/>
          <w:szCs w:val="20"/>
          <w:color w:val="auto"/>
        </w:rPr>
      </w:pPr>
      <w:r>
        <w:rPr>
          <w:rFonts w:ascii="Courier New" w:cs="Courier New" w:eastAsia="Courier New" w:hAnsi="Courier New"/>
          <w:sz w:val="16"/>
          <w:szCs w:val="16"/>
          <w:color w:val="auto"/>
        </w:rPr>
        <w:t>Approval of the election of directors will require a plurality of the votes cast at the Meeting, provided a quorum is present. Unless otherwise indicated, votes will be cast pursuant to the accompanying proxy FOR the election of these nominees. Should any nominee become unable or unwilling to accept nomination or election for any reason, it is expected that the resulting vacancy will not immediately be filled. The Board has no reason to believe that any of the nominees will be unable or unwilling to serve if elected.</w:t>
      </w:r>
    </w:p>
    <w:p>
      <w:pPr>
        <w:spacing w:after="0" w:line="200" w:lineRule="exact"/>
        <w:rPr>
          <w:sz w:val="20"/>
          <w:szCs w:val="20"/>
          <w:color w:val="auto"/>
        </w:rPr>
      </w:pPr>
    </w:p>
    <w:p>
      <w:pPr>
        <w:spacing w:after="0" w:line="34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PROPOSAL 2 - AMENDMENT TO ARTICLES OF INCORPORATION</w:t>
      </w:r>
    </w:p>
    <w:p>
      <w:pPr>
        <w:ind w:left="2060"/>
        <w:spacing w:after="0"/>
        <w:rPr>
          <w:sz w:val="20"/>
          <w:szCs w:val="20"/>
          <w:color w:val="auto"/>
        </w:rPr>
      </w:pPr>
      <w:r>
        <w:rPr>
          <w:rFonts w:ascii="Courier New" w:cs="Courier New" w:eastAsia="Courier New" w:hAnsi="Courier New"/>
          <w:sz w:val="16"/>
          <w:szCs w:val="16"/>
          <w:color w:val="auto"/>
        </w:rPr>
        <w:t>TO CHANGE THE COMPANY'S CORPORATE NAME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Proposed Amendment</w:t>
      </w:r>
    </w:p>
    <w:p>
      <w:pPr>
        <w:spacing w:after="0" w:line="185" w:lineRule="exact"/>
        <w:rPr>
          <w:sz w:val="20"/>
          <w:szCs w:val="20"/>
          <w:color w:val="auto"/>
        </w:rPr>
      </w:pPr>
    </w:p>
    <w:p>
      <w:pPr>
        <w:ind w:right="2899" w:firstLine="750"/>
        <w:spacing w:after="0" w:line="236" w:lineRule="auto"/>
        <w:rPr>
          <w:sz w:val="20"/>
          <w:szCs w:val="20"/>
          <w:color w:val="auto"/>
        </w:rPr>
      </w:pPr>
      <w:r>
        <w:rPr>
          <w:rFonts w:ascii="Courier New" w:cs="Courier New" w:eastAsia="Courier New" w:hAnsi="Courier New"/>
          <w:sz w:val="16"/>
          <w:szCs w:val="16"/>
          <w:color w:val="auto"/>
        </w:rPr>
        <w:t>The Board of Directors of the Company has approved an amendment to the Company's Articles of Incorporation to change the name of the Company</w:t>
      </w:r>
    </w:p>
    <w:p>
      <w:pPr>
        <w:spacing w:after="0" w:line="4" w:lineRule="exact"/>
        <w:rPr>
          <w:sz w:val="20"/>
          <w:szCs w:val="20"/>
          <w:color w:val="auto"/>
        </w:rPr>
      </w:pPr>
    </w:p>
    <w:p>
      <w:pPr>
        <w:ind w:right="3279"/>
        <w:spacing w:after="0" w:line="259" w:lineRule="auto"/>
        <w:rPr>
          <w:sz w:val="20"/>
          <w:szCs w:val="20"/>
          <w:color w:val="auto"/>
        </w:rPr>
      </w:pPr>
      <w:r>
        <w:rPr>
          <w:rFonts w:ascii="Courier New" w:cs="Courier New" w:eastAsia="Courier New" w:hAnsi="Courier New"/>
          <w:sz w:val="15"/>
          <w:szCs w:val="15"/>
          <w:color w:val="auto"/>
        </w:rPr>
        <w:t>from "Poe &amp; Brown, Inc." to "Brown &amp; Brown, Inc." The Board of Directors has directed that such proposed amendment be submitted to the shareholders of the Company at the Meeting for their approval and adoption.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Proposed Amendment</w:t>
      </w:r>
    </w:p>
    <w:p>
      <w:pPr>
        <w:spacing w:after="0" w:line="185" w:lineRule="exact"/>
        <w:rPr>
          <w:sz w:val="20"/>
          <w:szCs w:val="20"/>
          <w:color w:val="auto"/>
        </w:rPr>
      </w:pPr>
    </w:p>
    <w:p>
      <w:pPr>
        <w:ind w:right="2619" w:firstLine="750"/>
        <w:spacing w:after="0" w:line="236" w:lineRule="auto"/>
        <w:rPr>
          <w:sz w:val="20"/>
          <w:szCs w:val="20"/>
          <w:color w:val="auto"/>
        </w:rPr>
      </w:pPr>
      <w:r>
        <w:rPr>
          <w:rFonts w:ascii="Courier New" w:cs="Courier New" w:eastAsia="Courier New" w:hAnsi="Courier New"/>
          <w:sz w:val="16"/>
          <w:szCs w:val="16"/>
          <w:color w:val="auto"/>
        </w:rPr>
        <w:t>In 1993, the Company entered into a business combination transaction with Brown &amp; Brown, Inc. in which the Company's corporate name was changed from</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6"/>
          <w:szCs w:val="16"/>
          <w:color w:val="auto"/>
        </w:rPr>
        <w:t>"Poe &amp; Associates, Inc." to "Poe &amp; Brown, Inc." Brown &amp; Brown, Inc. continued as a subsidiary of the Company, but its operations essentially were transferred to the Company.</w:t>
      </w:r>
    </w:p>
    <w:p>
      <w:pPr>
        <w:spacing w:after="0" w:line="185" w:lineRule="exact"/>
        <w:rPr>
          <w:sz w:val="20"/>
          <w:szCs w:val="20"/>
          <w:color w:val="auto"/>
        </w:rPr>
      </w:pPr>
    </w:p>
    <w:p>
      <w:pPr>
        <w:ind w:right="3099" w:firstLine="750"/>
        <w:spacing w:after="0" w:line="237" w:lineRule="auto"/>
        <w:rPr>
          <w:sz w:val="20"/>
          <w:szCs w:val="20"/>
          <w:color w:val="auto"/>
        </w:rPr>
      </w:pPr>
      <w:r>
        <w:rPr>
          <w:rFonts w:ascii="Courier New" w:cs="Courier New" w:eastAsia="Courier New" w:hAnsi="Courier New"/>
          <w:sz w:val="16"/>
          <w:szCs w:val="16"/>
          <w:color w:val="auto"/>
        </w:rPr>
        <w:t>In 1994 and 1995, the Poe family liquidated substantially all of its ownership interest in the Company and Poe family members resigned from their positions in the Company. The Board of Directors believes that</w:t>
      </w:r>
    </w:p>
    <w:p>
      <w:pPr>
        <w:spacing w:after="0" w:line="4"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the "Brown &amp; Brown" name continues to have significant value and name recognition. For the foregoing reasons, the Board of Directors believes that changing the name of the Company to "Brown &amp; Brown, Inc." will better reflect the Company's current culture and management, and will be beneficial to the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And Board Recommendation</w:t>
      </w:r>
    </w:p>
    <w:p>
      <w:pPr>
        <w:spacing w:after="0" w:line="185" w:lineRule="exact"/>
        <w:rPr>
          <w:sz w:val="20"/>
          <w:szCs w:val="20"/>
          <w:color w:val="auto"/>
        </w:rPr>
      </w:pPr>
    </w:p>
    <w:p>
      <w:pPr>
        <w:ind w:right="3179" w:firstLine="750"/>
        <w:spacing w:after="0" w:line="237" w:lineRule="auto"/>
        <w:rPr>
          <w:sz w:val="20"/>
          <w:szCs w:val="20"/>
          <w:color w:val="auto"/>
        </w:rPr>
      </w:pPr>
      <w:r>
        <w:rPr>
          <w:rFonts w:ascii="Courier New" w:cs="Courier New" w:eastAsia="Courier New" w:hAnsi="Courier New"/>
          <w:sz w:val="16"/>
          <w:szCs w:val="16"/>
          <w:color w:val="auto"/>
        </w:rPr>
        <w:t>Approval of the proposed amendment requires the affirmative vote of owners of a majority of the outstanding shares of the Company's common stock entitled to vote in person or by proxy at the Meeting, at which a quorum is present and voting. The Board of Directors unanimously approved the amendment and recommends that shareholders vote FOR the proposal to amend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INFORMATION CONCERNING INDEPENDENT CERTIFIED PUBLIC ACCOUNTANTS</w:t>
      </w:r>
    </w:p>
    <w:p>
      <w:pPr>
        <w:spacing w:after="0" w:line="185" w:lineRule="exact"/>
        <w:rPr>
          <w:sz w:val="20"/>
          <w:szCs w:val="20"/>
          <w:color w:val="auto"/>
        </w:rPr>
      </w:pPr>
    </w:p>
    <w:p>
      <w:pPr>
        <w:ind w:right="2719" w:firstLine="750"/>
        <w:spacing w:after="0" w:line="254" w:lineRule="auto"/>
        <w:rPr>
          <w:sz w:val="20"/>
          <w:szCs w:val="20"/>
          <w:color w:val="auto"/>
        </w:rPr>
      </w:pPr>
      <w:r>
        <w:rPr>
          <w:rFonts w:ascii="Courier New" w:cs="Courier New" w:eastAsia="Courier New" w:hAnsi="Courier New"/>
          <w:sz w:val="15"/>
          <w:szCs w:val="15"/>
          <w:color w:val="auto"/>
        </w:rPr>
        <w:t>Representatives of Arthur Andersen LLP, the Company's independent public auditors, are expected to be present at the Meeting with the opportunity</w:t>
      </w:r>
    </w:p>
    <w:p>
      <w:pPr>
        <w:spacing w:after="0" w:line="1"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to make a statement if they desire to do so and to respond to appropriate questions posed by shareholders.</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PROPOSALS OF SHAREHOLDERS</w:t>
      </w:r>
    </w:p>
    <w:p>
      <w:pPr>
        <w:spacing w:after="0" w:line="185" w:lineRule="exact"/>
        <w:rPr>
          <w:sz w:val="20"/>
          <w:szCs w:val="20"/>
          <w:color w:val="auto"/>
        </w:rPr>
      </w:pPr>
    </w:p>
    <w:p>
      <w:pPr>
        <w:ind w:right="3099" w:firstLine="844"/>
        <w:spacing w:after="0" w:line="254" w:lineRule="auto"/>
        <w:rPr>
          <w:sz w:val="20"/>
          <w:szCs w:val="20"/>
          <w:color w:val="auto"/>
        </w:rPr>
      </w:pPr>
      <w:r>
        <w:rPr>
          <w:rFonts w:ascii="Courier New" w:cs="Courier New" w:eastAsia="Courier New" w:hAnsi="Courier New"/>
          <w:sz w:val="15"/>
          <w:szCs w:val="15"/>
          <w:color w:val="auto"/>
        </w:rPr>
        <w:t>Shareholders who intend to have a proposal considered for inclusion in the Company's proxy materials for presentation at the annual meeting</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5"/>
          <w:szCs w:val="15"/>
          <w:color w:val="auto"/>
        </w:rPr>
        <w:t>in 2000 must submit the proposal to the Company no later than November 24, 1999. Shareholders who intend to present a proposal at the annual meeting in 2000 without inclusion of such proposal in the Company's proxy materials are required to provide notice of such proposal to the Company no later</w:t>
      </w:r>
    </w:p>
    <w:p>
      <w:pPr>
        <w:sectPr>
          <w:pgSz w:w="11900" w:h="16838" w:orient="portrait"/>
          <w:cols w:equalWidth="0" w:num="1">
            <w:col w:w="10219"/>
          </w:cols>
          <w:pgMar w:left="240" w:top="317" w:right="1440" w:bottom="0" w:gutter="0" w:footer="0" w:header="0"/>
        </w:sectPr>
      </w:pPr>
    </w:p>
    <w:bookmarkStart w:id="9" w:name="page10"/>
    <w:bookmarkEnd w:id="9"/>
    <w:p>
      <w:pPr>
        <w:ind w:left="4"/>
        <w:spacing w:after="0"/>
        <w:tabs>
          <w:tab w:leader="none" w:pos="2223" w:val="left"/>
        </w:tabs>
        <w:rPr>
          <w:sz w:val="20"/>
          <w:szCs w:val="20"/>
          <w:color w:val="auto"/>
        </w:rPr>
      </w:pPr>
      <w:r>
        <w:rPr>
          <w:rFonts w:ascii="Courier New" w:cs="Courier New" w:eastAsia="Courier New" w:hAnsi="Courier New"/>
          <w:sz w:val="16"/>
          <w:szCs w:val="16"/>
          <w:color w:val="auto"/>
        </w:rPr>
        <w:t>than February 7, 2000.</w:t>
      </w:r>
      <w:r>
        <w:rPr>
          <w:sz w:val="20"/>
          <w:szCs w:val="20"/>
          <w:color w:val="auto"/>
        </w:rPr>
        <w:tab/>
      </w:r>
      <w:r>
        <w:rPr>
          <w:rFonts w:ascii="Courier New" w:cs="Courier New" w:eastAsia="Courier New" w:hAnsi="Courier New"/>
          <w:sz w:val="15"/>
          <w:szCs w:val="15"/>
          <w:color w:val="auto"/>
        </w:rPr>
        <w:t>The Company reserves the right to reject, rule</w:t>
      </w:r>
    </w:p>
    <w:p>
      <w:pPr>
        <w:ind w:left="4"/>
        <w:spacing w:after="0"/>
        <w:rPr>
          <w:sz w:val="20"/>
          <w:szCs w:val="20"/>
          <w:color w:val="auto"/>
        </w:rPr>
      </w:pPr>
      <w:r>
        <w:rPr>
          <w:rFonts w:ascii="Courier New" w:cs="Courier New" w:eastAsia="Courier New" w:hAnsi="Courier New"/>
          <w:sz w:val="16"/>
          <w:szCs w:val="16"/>
          <w:color w:val="auto"/>
        </w:rPr>
        <w:t>out of order, or take other appropriate action with respect to any</w:t>
      </w:r>
    </w:p>
    <w:p>
      <w:pPr>
        <w:ind w:left="4"/>
        <w:spacing w:after="0" w:line="237" w:lineRule="auto"/>
        <w:rPr>
          <w:sz w:val="20"/>
          <w:szCs w:val="20"/>
          <w:color w:val="auto"/>
        </w:rPr>
      </w:pPr>
      <w:r>
        <w:rPr>
          <w:rFonts w:ascii="Courier New" w:cs="Courier New" w:eastAsia="Courier New" w:hAnsi="Courier New"/>
          <w:sz w:val="16"/>
          <w:szCs w:val="16"/>
          <w:color w:val="auto"/>
        </w:rPr>
        <w:t>proposal that does not comply with these and other applicable requirements.</w:t>
      </w:r>
    </w:p>
    <w:p>
      <w:pPr>
        <w:spacing w:after="0" w:line="180"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OTHER MATTERS</w:t>
      </w:r>
    </w:p>
    <w:p>
      <w:pPr>
        <w:spacing w:after="0" w:line="185" w:lineRule="exact"/>
        <w:rPr>
          <w:sz w:val="20"/>
          <w:szCs w:val="20"/>
          <w:color w:val="auto"/>
        </w:rPr>
      </w:pPr>
    </w:p>
    <w:p>
      <w:pPr>
        <w:ind w:left="4" w:right="3940" w:firstLine="844"/>
        <w:spacing w:after="0" w:line="237" w:lineRule="auto"/>
        <w:rPr>
          <w:sz w:val="20"/>
          <w:szCs w:val="20"/>
          <w:color w:val="auto"/>
        </w:rPr>
      </w:pPr>
      <w:r>
        <w:rPr>
          <w:rFonts w:ascii="Courier New" w:cs="Courier New" w:eastAsia="Courier New" w:hAnsi="Courier New"/>
          <w:sz w:val="16"/>
          <w:szCs w:val="16"/>
          <w:color w:val="auto"/>
        </w:rPr>
        <w:t>The Company will provide to any shareholder, upon the written request of such person, a copy of the Company's Annual Report on Form 10-K, including the financial statements and the schedules thereto, for its</w:t>
      </w:r>
    </w:p>
    <w:p>
      <w:pPr>
        <w:spacing w:after="0" w:line="4" w:lineRule="exact"/>
        <w:rPr>
          <w:sz w:val="20"/>
          <w:szCs w:val="20"/>
          <w:color w:val="auto"/>
        </w:rPr>
      </w:pPr>
    </w:p>
    <w:p>
      <w:pPr>
        <w:ind w:left="4" w:right="4420"/>
        <w:spacing w:after="0" w:line="238" w:lineRule="auto"/>
        <w:rPr>
          <w:sz w:val="20"/>
          <w:szCs w:val="20"/>
          <w:color w:val="auto"/>
        </w:rPr>
      </w:pPr>
      <w:r>
        <w:rPr>
          <w:rFonts w:ascii="Courier New" w:cs="Courier New" w:eastAsia="Courier New" w:hAnsi="Courier New"/>
          <w:sz w:val="16"/>
          <w:szCs w:val="16"/>
          <w:color w:val="auto"/>
        </w:rPr>
        <w:t>fiscal year ended December 31, 1998, as filed with the Securities and Exchange Commission pursuant to Rule 13a-1 under the Securities Exchange Act of 1934. Any such request should be directed to Poe &amp; Brown, Inc., 401 East Jackson Street, Suite 1700, Tampa, Florida 33602, Attention: Corporate Secretary. No charge will be made for copies of such annual report; however, a reasonable charge will be made for copies of the exhibits.</w:t>
      </w:r>
    </w:p>
    <w:p>
      <w:pPr>
        <w:spacing w:after="0" w:line="365" w:lineRule="exact"/>
        <w:rPr>
          <w:sz w:val="20"/>
          <w:szCs w:val="20"/>
          <w:color w:val="auto"/>
        </w:rPr>
      </w:pPr>
    </w:p>
    <w:p>
      <w:pPr>
        <w:ind w:left="7504"/>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6"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/S/ LAUREL L. GRAMMIG</w:t>
      </w:r>
    </w:p>
    <w:p>
      <w:pPr>
        <w:spacing w:after="0" w:line="179" w:lineRule="exact"/>
        <w:rPr>
          <w:sz w:val="20"/>
          <w:szCs w:val="20"/>
          <w:color w:val="auto"/>
        </w:rPr>
      </w:pPr>
    </w:p>
    <w:p>
      <w:pPr>
        <w:ind w:left="7504"/>
        <w:spacing w:after="0"/>
        <w:rPr>
          <w:sz w:val="20"/>
          <w:szCs w:val="20"/>
          <w:color w:val="auto"/>
        </w:rPr>
      </w:pPr>
      <w:r>
        <w:rPr>
          <w:rFonts w:ascii="Courier New" w:cs="Courier New" w:eastAsia="Courier New" w:hAnsi="Courier New"/>
          <w:sz w:val="16"/>
          <w:szCs w:val="16"/>
          <w:color w:val="auto"/>
        </w:rPr>
        <w:t>Laurel L. Grammig</w:t>
      </w:r>
    </w:p>
    <w:p>
      <w:pPr>
        <w:ind w:left="7504"/>
        <w:spacing w:after="0"/>
        <w:rPr>
          <w:sz w:val="20"/>
          <w:szCs w:val="20"/>
          <w:color w:val="auto"/>
        </w:rPr>
      </w:pPr>
      <w:r>
        <w:rPr>
          <w:rFonts w:ascii="Courier New" w:cs="Courier New" w:eastAsia="Courier New" w:hAnsi="Courier New"/>
          <w:sz w:val="16"/>
          <w:szCs w:val="16"/>
          <w:color w:val="auto"/>
        </w:rPr>
        <w:t>Secretary</w:t>
      </w:r>
    </w:p>
    <w:p>
      <w:pPr>
        <w:ind w:left="4"/>
        <w:spacing w:after="0" w:line="237" w:lineRule="auto"/>
        <w:rPr>
          <w:sz w:val="20"/>
          <w:szCs w:val="20"/>
          <w:color w:val="auto"/>
        </w:rPr>
      </w:pPr>
      <w:r>
        <w:rPr>
          <w:rFonts w:ascii="Courier New" w:cs="Courier New" w:eastAsia="Courier New" w:hAnsi="Courier New"/>
          <w:sz w:val="16"/>
          <w:szCs w:val="16"/>
          <w:color w:val="auto"/>
        </w:rPr>
        <w:t>Tampa, Florida</w:t>
      </w:r>
    </w:p>
    <w:p>
      <w:pPr>
        <w:ind w:left="4"/>
        <w:spacing w:after="0"/>
        <w:rPr>
          <w:sz w:val="20"/>
          <w:szCs w:val="20"/>
          <w:color w:val="auto"/>
        </w:rPr>
      </w:pPr>
      <w:r>
        <w:rPr>
          <w:rFonts w:ascii="Courier New" w:cs="Courier New" w:eastAsia="Courier New" w:hAnsi="Courier New"/>
          <w:sz w:val="16"/>
          <w:szCs w:val="16"/>
          <w:color w:val="auto"/>
        </w:rPr>
        <w:t>March 15, 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POE &amp; BROWN, INC.</w:t>
      </w:r>
    </w:p>
    <w:p>
      <w:pPr>
        <w:sectPr>
          <w:pgSz w:w="11900" w:h="16838" w:orient="portrait"/>
          <w:cols w:equalWidth="0" w:num="1">
            <w:col w:w="11264"/>
          </w:cols>
          <w:pgMar w:left="236" w:top="137" w:right="399" w:bottom="0" w:gutter="0" w:footer="0" w:header="0"/>
        </w:sectPr>
      </w:pP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220 South Ridgewood Avenue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Daytona Beach, Florida 32114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East Jackson Street, Suite 1700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Tampa, Florida 33602</w:t>
      </w:r>
    </w:p>
    <w:p>
      <w:pPr>
        <w:spacing w:after="0" w:line="185" w:lineRule="exact"/>
        <w:rPr>
          <w:sz w:val="20"/>
          <w:szCs w:val="20"/>
          <w:color w:val="auto"/>
        </w:rPr>
      </w:pPr>
    </w:p>
    <w:p>
      <w:pPr>
        <w:sectPr>
          <w:pgSz w:w="11900" w:h="16838" w:orient="portrait"/>
          <w:cols w:equalWidth="0" w:num="2">
            <w:col w:w="5284" w:space="720"/>
            <w:col w:w="5260"/>
          </w:cols>
          <w:pgMar w:left="236" w:top="137" w:right="399" w:bottom="0" w:gutter="0" w:footer="0" w:header="0"/>
          <w:type w:val="continuous"/>
        </w:sectPr>
      </w:pPr>
    </w:p>
    <w:p>
      <w:pPr>
        <w:ind w:left="3004"/>
        <w:spacing w:after="0"/>
        <w:rPr>
          <w:sz w:val="20"/>
          <w:szCs w:val="20"/>
          <w:color w:val="auto"/>
        </w:rPr>
      </w:pPr>
      <w:r>
        <w:rPr>
          <w:rFonts w:ascii="Courier New" w:cs="Courier New" w:eastAsia="Courier New" w:hAnsi="Courier New"/>
          <w:sz w:val="15"/>
          <w:szCs w:val="15"/>
          <w:color w:val="auto"/>
        </w:rPr>
        <w:t>PROXY</w:t>
      </w:r>
    </w:p>
    <w:p>
      <w:pPr>
        <w:sectPr>
          <w:pgSz w:w="11900" w:h="16838" w:orient="portrait"/>
          <w:cols w:equalWidth="0" w:num="1">
            <w:col w:w="11264"/>
          </w:cols>
          <w:pgMar w:left="236" w:top="137" w:right="399" w:bottom="0" w:gutter="0" w:footer="0" w:header="0"/>
          <w:type w:val="continuous"/>
        </w:sectPr>
      </w:pPr>
    </w:p>
    <w:p>
      <w:pPr>
        <w:spacing w:after="0" w:line="186"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85" w:lineRule="exact"/>
        <w:rPr>
          <w:sz w:val="20"/>
          <w:szCs w:val="20"/>
          <w:color w:val="auto"/>
        </w:rPr>
      </w:pPr>
    </w:p>
    <w:p>
      <w:pPr>
        <w:ind w:left="4" w:right="3860" w:firstLine="750"/>
        <w:spacing w:after="0" w:line="237" w:lineRule="auto"/>
        <w:rPr>
          <w:sz w:val="20"/>
          <w:szCs w:val="20"/>
          <w:color w:val="auto"/>
        </w:rPr>
      </w:pPr>
      <w:r>
        <w:rPr>
          <w:rFonts w:ascii="Courier New" w:cs="Courier New" w:eastAsia="Courier New" w:hAnsi="Courier New"/>
          <w:sz w:val="16"/>
          <w:szCs w:val="16"/>
          <w:color w:val="auto"/>
        </w:rPr>
        <w:t>The undersigned hereby appoints Laurel L. Grammig and James L. Olivier, or either of them, as Proxies, each with the power to appoint his or her substitute, and hereby authorizes them or their substitutes to represent</w:t>
      </w:r>
    </w:p>
    <w:p>
      <w:pPr>
        <w:spacing w:after="0" w:line="4" w:lineRule="exact"/>
        <w:rPr>
          <w:sz w:val="20"/>
          <w:szCs w:val="20"/>
          <w:color w:val="auto"/>
        </w:rPr>
      </w:pPr>
    </w:p>
    <w:p>
      <w:pPr>
        <w:ind w:left="4" w:right="4420"/>
        <w:spacing w:after="0" w:line="237" w:lineRule="auto"/>
        <w:rPr>
          <w:sz w:val="20"/>
          <w:szCs w:val="20"/>
          <w:color w:val="auto"/>
        </w:rPr>
      </w:pPr>
      <w:r>
        <w:rPr>
          <w:rFonts w:ascii="Courier New" w:cs="Courier New" w:eastAsia="Courier New" w:hAnsi="Courier New"/>
          <w:sz w:val="16"/>
          <w:szCs w:val="16"/>
          <w:color w:val="auto"/>
        </w:rPr>
        <w:t>and to vote, as designated below, all the shares of common stock of Poe &amp; Brown, Inc. held of record by the undersigned on March 5, 1999, at the Annual Meeting of Shareholders to be held on April 28, 1999, or any adjournments thereof.</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2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3"/>
              </w:rPr>
              <w:t>1.</w:t>
            </w:r>
          </w:p>
        </w:tc>
        <w:tc>
          <w:tcPr>
            <w:tcW w:w="2440" w:type="dxa"/>
            <w:vAlign w:val="bottom"/>
          </w:tcPr>
          <w:p>
            <w:pPr>
              <w:ind w:left="320"/>
              <w:spacing w:after="0"/>
              <w:rPr>
                <w:sz w:val="20"/>
                <w:szCs w:val="20"/>
                <w:color w:val="auto"/>
              </w:rPr>
            </w:pPr>
            <w:r>
              <w:rPr>
                <w:rFonts w:ascii="Courier New" w:cs="Courier New" w:eastAsia="Courier New" w:hAnsi="Courier New"/>
                <w:sz w:val="16"/>
                <w:szCs w:val="16"/>
                <w:color w:val="auto"/>
              </w:rPr>
              <w:t>ELECTION OF DIRECTORS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all nominees listed below</w:t>
            </w:r>
          </w:p>
        </w:tc>
        <w:tc>
          <w:tcPr>
            <w:tcW w:w="2860" w:type="dxa"/>
            <w:vAlign w:val="bottom"/>
          </w:tcPr>
          <w:p>
            <w:pPr>
              <w:ind w:left="40"/>
              <w:spacing w:after="0"/>
              <w:rPr>
                <w:sz w:val="20"/>
                <w:szCs w:val="20"/>
                <w:color w:val="auto"/>
              </w:rPr>
            </w:pPr>
            <w:r>
              <w:rPr>
                <w:rFonts w:ascii="Courier New" w:cs="Courier New" w:eastAsia="Courier New" w:hAnsi="Courier New"/>
                <w:sz w:val="16"/>
                <w:szCs w:val="16"/>
                <w:color w:val="auto"/>
              </w:rPr>
              <w:t>WITHHOLD AUTHORITY</w:t>
            </w:r>
          </w:p>
        </w:tc>
      </w:tr>
      <w:tr>
        <w:trPr>
          <w:trHeight w:val="180"/>
        </w:trPr>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w w:val="98"/>
              </w:rPr>
              <w:t>as marked to the</w:t>
            </w:r>
          </w:p>
        </w:tc>
        <w:tc>
          <w:tcPr>
            <w:tcW w:w="2860" w:type="dxa"/>
            <w:vAlign w:val="bottom"/>
          </w:tcPr>
          <w:p>
            <w:pPr>
              <w:ind w:left="1460"/>
              <w:spacing w:after="0"/>
              <w:rPr>
                <w:sz w:val="20"/>
                <w:szCs w:val="20"/>
                <w:color w:val="auto"/>
              </w:rPr>
            </w:pPr>
            <w:r>
              <w:rPr>
                <w:rFonts w:ascii="Courier New" w:cs="Courier New" w:eastAsia="Courier New" w:hAnsi="Courier New"/>
                <w:sz w:val="16"/>
                <w:szCs w:val="16"/>
                <w:color w:val="auto"/>
                <w:w w:val="95"/>
              </w:rPr>
              <w:t>to vote for all</w:t>
            </w:r>
          </w:p>
        </w:tc>
      </w:tr>
      <w:tr>
        <w:trPr>
          <w:trHeight w:val="180"/>
        </w:trPr>
        <w:tc>
          <w:tcPr>
            <w:tcW w:w="52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contrary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below)  ___</w:t>
            </w:r>
          </w:p>
        </w:tc>
        <w:tc>
          <w:tcPr>
            <w:tcW w:w="446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nominees listed</w:t>
            </w:r>
          </w:p>
        </w:tc>
      </w:tr>
      <w:tr>
        <w:trPr>
          <w:trHeight w:val="180"/>
        </w:trPr>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6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below ___</w:t>
            </w:r>
          </w:p>
        </w:tc>
      </w:tr>
    </w:tbl>
    <w:p>
      <w:pPr>
        <w:spacing w:after="0" w:line="185" w:lineRule="exact"/>
        <w:rPr>
          <w:sz w:val="20"/>
          <w:szCs w:val="20"/>
          <w:color w:val="auto"/>
        </w:rPr>
      </w:pPr>
    </w:p>
    <w:p>
      <w:pPr>
        <w:ind w:left="104" w:right="4600" w:hanging="93"/>
        <w:spacing w:after="0" w:line="236" w:lineRule="auto"/>
        <w:rPr>
          <w:sz w:val="20"/>
          <w:szCs w:val="20"/>
          <w:color w:val="auto"/>
        </w:rPr>
      </w:pPr>
      <w:r>
        <w:rPr>
          <w:rFonts w:ascii="Courier New" w:cs="Courier New" w:eastAsia="Courier New" w:hAnsi="Courier New"/>
          <w:sz w:val="16"/>
          <w:szCs w:val="16"/>
          <w:color w:val="auto"/>
        </w:rPr>
        <w:t>(INSTRUCTION: To withhold authority to vote for any individual nominee, strike a line through the nominee's name in the list below)</w:t>
      </w:r>
    </w:p>
    <w:p>
      <w:pPr>
        <w:spacing w:after="0" w:line="185" w:lineRule="exact"/>
        <w:rPr>
          <w:sz w:val="20"/>
          <w:szCs w:val="20"/>
          <w:color w:val="auto"/>
        </w:rPr>
      </w:pPr>
    </w:p>
    <w:p>
      <w:pPr>
        <w:ind w:left="384" w:right="5160" w:firstLine="375"/>
        <w:spacing w:after="0" w:line="237" w:lineRule="auto"/>
        <w:rPr>
          <w:sz w:val="20"/>
          <w:szCs w:val="20"/>
          <w:color w:val="auto"/>
        </w:rPr>
      </w:pPr>
      <w:r>
        <w:rPr>
          <w:rFonts w:ascii="Courier New" w:cs="Courier New" w:eastAsia="Courier New" w:hAnsi="Courier New"/>
          <w:sz w:val="16"/>
          <w:szCs w:val="16"/>
          <w:color w:val="auto"/>
        </w:rPr>
        <w:t>J. Hyatt Brown; Samuel P. Bell, III; Bradley Currey, Jr.; Jim W. Henderson; Theodore J. Hoepner; David H. Hughes; Toni Jennings; Jan E. Smith</w:t>
      </w:r>
    </w:p>
    <w:p>
      <w:pPr>
        <w:spacing w:after="0" w:line="185" w:lineRule="exact"/>
        <w:rPr>
          <w:sz w:val="20"/>
          <w:szCs w:val="20"/>
          <w:color w:val="auto"/>
        </w:rPr>
      </w:pPr>
    </w:p>
    <w:p>
      <w:pPr>
        <w:ind w:left="384" w:right="3760" w:hanging="384"/>
        <w:spacing w:after="0" w:line="236" w:lineRule="auto"/>
        <w:tabs>
          <w:tab w:leader="none" w:pos="8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AMEND THE COMPANY'S ARTICLES OF INCORPORATION TO CHANGE THE CORPORATE NAME TO "BROWN &amp; BROWN, INC."</w:t>
      </w:r>
    </w:p>
    <w:p>
      <w:pPr>
        <w:spacing w:after="0" w:line="180" w:lineRule="exact"/>
        <w:rPr>
          <w:sz w:val="20"/>
          <w:szCs w:val="20"/>
          <w:color w:val="auto"/>
        </w:rPr>
      </w:pPr>
    </w:p>
    <w:p>
      <w:pPr>
        <w:ind w:left="844"/>
        <w:spacing w:after="0"/>
        <w:tabs>
          <w:tab w:leader="none" w:pos="1283" w:val="left"/>
          <w:tab w:leader="none" w:pos="2803" w:val="left"/>
          <w:tab w:leader="none" w:pos="4763" w:val="left"/>
        </w:tabs>
        <w:rPr>
          <w:sz w:val="20"/>
          <w:szCs w:val="20"/>
          <w:color w:val="auto"/>
        </w:rPr>
      </w:pPr>
      <w:r>
        <w:rPr>
          <w:rFonts w:ascii="Courier New" w:cs="Courier New" w:eastAsia="Courier New" w:hAnsi="Courier New"/>
          <w:sz w:val="16"/>
          <w:szCs w:val="16"/>
          <w:color w:val="auto"/>
        </w:rPr>
        <w:t>___</w:t>
        <w:tab/>
        <w:t>FOR</w:t>
      </w:r>
      <w:r>
        <w:rPr>
          <w:sz w:val="20"/>
          <w:szCs w:val="20"/>
          <w:color w:val="auto"/>
        </w:rPr>
        <w:tab/>
      </w:r>
      <w:r>
        <w:rPr>
          <w:rFonts w:ascii="Courier New" w:cs="Courier New" w:eastAsia="Courier New" w:hAnsi="Courier New"/>
          <w:sz w:val="16"/>
          <w:szCs w:val="16"/>
          <w:color w:val="auto"/>
        </w:rPr>
        <w:t>___ AGAINST</w:t>
      </w:r>
      <w:r>
        <w:rPr>
          <w:sz w:val="20"/>
          <w:szCs w:val="20"/>
          <w:color w:val="auto"/>
        </w:rPr>
        <w:tab/>
      </w:r>
      <w:r>
        <w:rPr>
          <w:rFonts w:ascii="Courier New" w:cs="Courier New" w:eastAsia="Courier New" w:hAnsi="Courier New"/>
          <w:sz w:val="15"/>
          <w:szCs w:val="15"/>
          <w:color w:val="auto"/>
        </w:rPr>
        <w:t>___ ABSTAIN</w:t>
      </w:r>
    </w:p>
    <w:p>
      <w:pPr>
        <w:spacing w:after="0" w:line="185" w:lineRule="exact"/>
        <w:rPr>
          <w:sz w:val="20"/>
          <w:szCs w:val="20"/>
          <w:color w:val="auto"/>
        </w:rPr>
      </w:pPr>
    </w:p>
    <w:p>
      <w:pPr>
        <w:ind w:left="384" w:right="3860" w:hanging="384"/>
        <w:spacing w:after="0" w:line="236" w:lineRule="auto"/>
        <w:tabs>
          <w:tab w:leader="none" w:pos="8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pacing w:after="0" w:line="185" w:lineRule="exact"/>
        <w:rPr>
          <w:sz w:val="20"/>
          <w:szCs w:val="20"/>
          <w:color w:val="auto"/>
        </w:rPr>
      </w:pPr>
    </w:p>
    <w:p>
      <w:pPr>
        <w:ind w:left="384" w:right="3940" w:firstLine="375"/>
        <w:spacing w:after="0" w:line="237"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shareholder. If no direction is made, this proxy will be voted for Proposals 1 and 2.</w:t>
      </w:r>
    </w:p>
    <w:p>
      <w:pPr>
        <w:spacing w:after="0" w:line="185" w:lineRule="exact"/>
        <w:rPr>
          <w:sz w:val="20"/>
          <w:szCs w:val="20"/>
          <w:color w:val="auto"/>
        </w:rPr>
      </w:pPr>
    </w:p>
    <w:p>
      <w:pPr>
        <w:ind w:left="4" w:right="4040" w:firstLine="750"/>
        <w:spacing w:after="0" w:line="237" w:lineRule="auto"/>
        <w:rPr>
          <w:sz w:val="20"/>
          <w:szCs w:val="20"/>
          <w:color w:val="auto"/>
        </w:rPr>
      </w:pPr>
      <w:r>
        <w:rPr>
          <w:rFonts w:ascii="Courier New" w:cs="Courier New" w:eastAsia="Courier New" w:hAnsi="Courier New"/>
          <w:sz w:val="16"/>
          <w:szCs w:val="16"/>
          <w:color w:val="auto"/>
        </w:rPr>
        <w:t>Please sign exactly as name appears at left. When shares are held by joint tenants, both should sign. When signing as attorney, executor, administrator, trustee or guardian, please give full title as such. If</w:t>
      </w:r>
    </w:p>
    <w:p>
      <w:pPr>
        <w:spacing w:after="0" w:line="4" w:lineRule="exact"/>
        <w:rPr>
          <w:sz w:val="20"/>
          <w:szCs w:val="20"/>
          <w:color w:val="auto"/>
        </w:rPr>
      </w:pPr>
    </w:p>
    <w:p>
      <w:pPr>
        <w:ind w:left="4" w:right="4600"/>
        <w:spacing w:after="0" w:line="237" w:lineRule="auto"/>
        <w:rPr>
          <w:sz w:val="20"/>
          <w:szCs w:val="20"/>
          <w:color w:val="auto"/>
        </w:rPr>
      </w:pPr>
      <w:r>
        <w:rPr>
          <w:rFonts w:ascii="Courier New" w:cs="Courier New" w:eastAsia="Courier New" w:hAnsi="Courier New"/>
          <w:sz w:val="16"/>
          <w:szCs w:val="16"/>
          <w:color w:val="auto"/>
        </w:rPr>
        <w:t>a corporation, please sign in full corporate name by President or other authorized officer. If a partnership, please sign in partnership name by authorized person.</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DATED ______________________, 1999</w:t>
      </w:r>
    </w:p>
    <w:p>
      <w:pPr>
        <w:spacing w:after="0" w:line="185" w:lineRule="exact"/>
        <w:rPr>
          <w:sz w:val="20"/>
          <w:szCs w:val="20"/>
          <w:color w:val="auto"/>
        </w:rPr>
      </w:pPr>
    </w:p>
    <w:p>
      <w:pPr>
        <w:ind w:left="8064"/>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Signature</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__________________________________</w:t>
      </w:r>
    </w:p>
    <w:p>
      <w:pPr>
        <w:ind w:left="3744"/>
        <w:spacing w:after="0"/>
        <w:rPr>
          <w:sz w:val="20"/>
          <w:szCs w:val="20"/>
          <w:color w:val="auto"/>
        </w:rPr>
      </w:pPr>
      <w:r>
        <w:rPr>
          <w:rFonts w:ascii="Courier New" w:cs="Courier New" w:eastAsia="Courier New" w:hAnsi="Courier New"/>
          <w:sz w:val="16"/>
          <w:szCs w:val="16"/>
          <w:color w:val="auto"/>
        </w:rPr>
        <w:t>Signature if held jointly</w:t>
      </w:r>
    </w:p>
    <w:p>
      <w:pPr>
        <w:spacing w:after="0" w:line="35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PLEASE MARK, SIGN, DATE AND RETURN THE</w:t>
      </w:r>
    </w:p>
    <w:p>
      <w:pPr>
        <w:ind w:left="3464"/>
        <w:spacing w:after="0"/>
        <w:rPr>
          <w:sz w:val="20"/>
          <w:szCs w:val="20"/>
          <w:color w:val="auto"/>
        </w:rPr>
      </w:pPr>
      <w:r>
        <w:rPr>
          <w:rFonts w:ascii="Courier New" w:cs="Courier New" w:eastAsia="Courier New" w:hAnsi="Courier New"/>
          <w:sz w:val="16"/>
          <w:szCs w:val="16"/>
          <w:color w:val="auto"/>
        </w:rPr>
        <w:t>PROXY CARD PROMPTLY USING THE ENCLOSED</w:t>
      </w:r>
    </w:p>
    <w:p>
      <w:pPr>
        <w:ind w:left="3464"/>
        <w:spacing w:after="0" w:line="237" w:lineRule="auto"/>
        <w:rPr>
          <w:sz w:val="20"/>
          <w:szCs w:val="20"/>
          <w:color w:val="auto"/>
        </w:rPr>
      </w:pPr>
      <w:r>
        <w:rPr>
          <w:rFonts w:ascii="Courier New" w:cs="Courier New" w:eastAsia="Courier New" w:hAnsi="Courier New"/>
          <w:sz w:val="16"/>
          <w:szCs w:val="16"/>
          <w:color w:val="auto"/>
        </w:rPr>
        <w:t>ENVELOPE.</w:t>
      </w:r>
    </w:p>
    <w:p>
      <w:pPr>
        <w:sectPr>
          <w:pgSz w:w="11900" w:h="16838" w:orient="portrait"/>
          <w:cols w:equalWidth="0" w:num="1">
            <w:col w:w="11264"/>
          </w:cols>
          <w:pgMar w:left="236" w:top="137" w:right="399" w:bottom="0" w:gutter="0" w:footer="0" w:header="0"/>
          <w:type w:val="continuous"/>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2"/>
    </w:lvl>
  </w:abstractNum>
  <w:abstractNum w:abstractNumId="1">
    <w:nsid w:val="41B71EF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
    <w:nsid w:val="79E2A9E3"/>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amp;"/>
      <w:numFmt w:val="bullet"/>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2020-02-22T07:01:58Z</dcterms:created>
  <dcterms:modified xsi:type="dcterms:W3CDTF">2020-02-22T07:01:58Z</dcterms:modified>
</cp:coreProperties>
</file>