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0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rPr>
              <w:t>COMMISSION</w:t>
            </w:r>
          </w:p>
        </w:tc>
        <w:tc>
          <w:tcPr>
            <w:tcW w:w="6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15"/>
                <w:szCs w:val="15"/>
                <w:color w:val="auto"/>
                <w:w w:val="99"/>
              </w:rPr>
              <w:t>Washington, D.C. 20549</w:t>
            </w:r>
          </w:p>
        </w:tc>
        <w:tc>
          <w:tcPr>
            <w:tcW w:w="6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0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60" w:type="dxa"/>
            <w:vAlign w:val="bottom"/>
          </w:tcPr>
          <w:p>
            <w:pPr>
              <w:spacing w:after="0"/>
              <w:rPr>
                <w:sz w:val="5"/>
                <w:szCs w:val="5"/>
                <w:color w:val="auto"/>
              </w:rPr>
            </w:pPr>
          </w:p>
        </w:tc>
        <w:tc>
          <w:tcPr>
            <w:tcW w:w="124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4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5581015</wp:posOffset>
            </wp:positionH>
            <wp:positionV relativeFrom="paragraph">
              <wp:posOffset>-758825</wp:posOffset>
            </wp:positionV>
            <wp:extent cx="1340485"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0485" cy="930910"/>
                    </a:xfrm>
                    <a:prstGeom prst="rect">
                      <a:avLst/>
                    </a:prstGeom>
                    <a:noFill/>
                  </pic:spPr>
                </pic:pic>
              </a:graphicData>
            </a:graphic>
          </wp:anchor>
        </w:drawing>
      </w:r>
    </w:p>
    <w:p>
      <w:pPr>
        <w:spacing w:after="0" w:line="30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4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060" w:type="dxa"/>
            <w:vAlign w:val="bottom"/>
            <w:gridSpan w:val="2"/>
            <w:vMerge w:val="restart"/>
          </w:tcPr>
          <w:p>
            <w:pPr>
              <w:spacing w:after="0"/>
              <w:rPr>
                <w:rFonts w:ascii="Arial" w:cs="Arial" w:eastAsia="Arial" w:hAnsi="Arial"/>
                <w:sz w:val="24"/>
                <w:szCs w:val="24"/>
                <w:color w:val="0000EE"/>
              </w:rPr>
            </w:pPr>
            <w:hyperlink r:id="rId10">
              <w:r>
                <w:rPr>
                  <w:rFonts w:ascii="Arial" w:cs="Arial" w:eastAsia="Arial" w:hAnsi="Arial"/>
                  <w:sz w:val="24"/>
                  <w:szCs w:val="24"/>
                  <w:color w:val="0000EE"/>
                </w:rPr>
                <w:t>KRUMP PAUL J</w:t>
              </w:r>
            </w:hyperlink>
          </w:p>
        </w:tc>
        <w:tc>
          <w:tcPr>
            <w:tcW w:w="1540" w:type="dxa"/>
            <w:vAlign w:val="bottom"/>
          </w:tcPr>
          <w:p>
            <w:pPr>
              <w:ind w:left="160"/>
              <w:spacing w:after="0" w:line="139" w:lineRule="exact"/>
              <w:rPr>
                <w:sz w:val="20"/>
                <w:szCs w:val="20"/>
                <w:color w:val="auto"/>
              </w:rPr>
            </w:pPr>
            <w:r>
              <w:rPr>
                <w:rFonts w:ascii="Arial" w:cs="Arial" w:eastAsia="Arial" w:hAnsi="Arial"/>
                <w:sz w:val="15"/>
                <w:szCs w:val="15"/>
                <w:color w:val="auto"/>
                <w:w w:val="99"/>
              </w:rPr>
              <w:t>Requiring Statement</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3060" w:type="dxa"/>
            <w:vAlign w:val="bottom"/>
            <w:gridSpan w:val="2"/>
            <w:vMerge w:val="continue"/>
          </w:tcPr>
          <w:p>
            <w:pPr>
              <w:spacing w:after="0"/>
              <w:rPr>
                <w:sz w:val="13"/>
                <w:szCs w:val="13"/>
                <w:color w:val="auto"/>
              </w:rPr>
            </w:pPr>
          </w:p>
        </w:tc>
        <w:tc>
          <w:tcPr>
            <w:tcW w:w="1540" w:type="dxa"/>
            <w:vAlign w:val="bottom"/>
          </w:tcPr>
          <w:p>
            <w:pPr>
              <w:ind w:left="16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40" w:type="dxa"/>
            <w:vAlign w:val="bottom"/>
            <w:tcBorders>
              <w:top w:val="single" w:sz="8" w:color="0000EE"/>
              <w:bottom w:val="single" w:sz="8" w:color="9A9A9A"/>
            </w:tcBorders>
          </w:tcPr>
          <w:p>
            <w:pPr>
              <w:spacing w:after="0"/>
              <w:rPr>
                <w:sz w:val="17"/>
                <w:szCs w:val="17"/>
                <w:color w:val="auto"/>
              </w:rPr>
            </w:pPr>
          </w:p>
        </w:tc>
        <w:tc>
          <w:tcPr>
            <w:tcW w:w="1420" w:type="dxa"/>
            <w:vAlign w:val="bottom"/>
            <w:tcBorders>
              <w:bottom w:val="single" w:sz="8" w:color="9A9A9A"/>
            </w:tcBorders>
          </w:tcPr>
          <w:p>
            <w:pPr>
              <w:spacing w:after="0"/>
              <w:rPr>
                <w:sz w:val="17"/>
                <w:szCs w:val="17"/>
                <w:color w:val="auto"/>
              </w:rPr>
            </w:pPr>
          </w:p>
        </w:tc>
        <w:tc>
          <w:tcPr>
            <w:tcW w:w="1540" w:type="dxa"/>
            <w:vAlign w:val="bottom"/>
          </w:tcPr>
          <w:p>
            <w:pPr>
              <w:ind w:left="160"/>
              <w:spacing w:after="0" w:line="190" w:lineRule="exact"/>
              <w:rPr>
                <w:sz w:val="20"/>
                <w:szCs w:val="20"/>
                <w:color w:val="auto"/>
              </w:rPr>
            </w:pPr>
            <w:r>
              <w:rPr>
                <w:rFonts w:ascii="Arial" w:cs="Arial" w:eastAsia="Arial" w:hAnsi="Arial"/>
                <w:sz w:val="20"/>
                <w:szCs w:val="20"/>
                <w:color w:val="0000FF"/>
              </w:rPr>
              <w:t>06/13/2023</w:t>
            </w:r>
          </w:p>
        </w:tc>
        <w:tc>
          <w:tcPr>
            <w:tcW w:w="0" w:type="dxa"/>
            <w:vAlign w:val="bottom"/>
          </w:tcPr>
          <w:p>
            <w:pPr>
              <w:spacing w:after="0"/>
              <w:rPr>
                <w:sz w:val="1"/>
                <w:szCs w:val="1"/>
                <w:color w:val="auto"/>
              </w:rPr>
            </w:pPr>
          </w:p>
        </w:tc>
      </w:tr>
    </w:tbl>
    <w:p>
      <w:pPr>
        <w:spacing w:after="0" w:line="154" w:lineRule="exact"/>
        <w:rPr>
          <w:sz w:val="24"/>
          <w:szCs w:val="24"/>
          <w:color w:val="auto"/>
        </w:rPr>
      </w:pPr>
    </w:p>
    <w:tbl>
      <w:tblPr>
        <w:tblLayout w:type="fixed"/>
        <w:tblInd w:w="100" w:type="dxa"/>
        <w:tblCellMar>
          <w:top w:w="0" w:type="dxa"/>
          <w:left w:w="0" w:type="dxa"/>
          <w:bottom w:w="0" w:type="dxa"/>
          <w:right w:w="0" w:type="dxa"/>
        </w:tblCellMar>
      </w:tblPr>
      <w:tr>
        <w:trPr>
          <w:trHeight w:val="190"/>
        </w:trPr>
        <w:tc>
          <w:tcPr>
            <w:tcW w:w="1020" w:type="dxa"/>
            <w:vAlign w:val="bottom"/>
          </w:tcPr>
          <w:p>
            <w:pPr>
              <w:ind w:left="40"/>
              <w:spacing w:after="0"/>
              <w:rPr>
                <w:sz w:val="20"/>
                <w:szCs w:val="20"/>
                <w:color w:val="auto"/>
              </w:rPr>
            </w:pPr>
            <w:r>
              <w:rPr>
                <w:rFonts w:ascii="Arial" w:cs="Arial" w:eastAsia="Arial" w:hAnsi="Arial"/>
                <w:sz w:val="15"/>
                <w:szCs w:val="15"/>
                <w:color w:val="auto"/>
              </w:rPr>
              <w:t>(Last)</w:t>
            </w:r>
          </w:p>
        </w:tc>
        <w:tc>
          <w:tcPr>
            <w:tcW w:w="780" w:type="dxa"/>
            <w:vAlign w:val="bottom"/>
          </w:tcPr>
          <w:p>
            <w:pPr>
              <w:ind w:left="4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300 NORTH BEACH STREET</w:t>
            </w:r>
          </w:p>
        </w:tc>
      </w:tr>
      <w:tr>
        <w:trPr>
          <w:trHeight w:val="237"/>
        </w:trPr>
        <w:tc>
          <w:tcPr>
            <w:tcW w:w="1020" w:type="dxa"/>
            <w:vAlign w:val="bottom"/>
            <w:tcBorders>
              <w:bottom w:val="single" w:sz="8" w:color="9A9A9A"/>
            </w:tcBorders>
          </w:tcPr>
          <w:p>
            <w:pPr>
              <w:spacing w:after="0"/>
              <w:rPr>
                <w:sz w:val="20"/>
                <w:szCs w:val="20"/>
                <w:color w:val="auto"/>
              </w:rPr>
            </w:pPr>
          </w:p>
        </w:tc>
        <w:tc>
          <w:tcPr>
            <w:tcW w:w="78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299"/>
        </w:trPr>
        <w:tc>
          <w:tcPr>
            <w:tcW w:w="102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1"/>
        </w:trPr>
        <w:tc>
          <w:tcPr>
            <w:tcW w:w="1020" w:type="dxa"/>
            <w:vAlign w:val="bottom"/>
          </w:tcPr>
          <w:p>
            <w:pPr>
              <w:ind w:left="40"/>
              <w:spacing w:after="0"/>
              <w:rPr>
                <w:sz w:val="20"/>
                <w:szCs w:val="20"/>
                <w:color w:val="auto"/>
              </w:rPr>
            </w:pPr>
            <w:r>
              <w:rPr>
                <w:rFonts w:ascii="Arial" w:cs="Arial" w:eastAsia="Arial" w:hAnsi="Arial"/>
                <w:sz w:val="20"/>
                <w:szCs w:val="20"/>
                <w:color w:val="0000FF"/>
                <w:w w:val="99"/>
              </w:rPr>
              <w:t>DAYTONA</w:t>
            </w:r>
          </w:p>
        </w:tc>
        <w:tc>
          <w:tcPr>
            <w:tcW w:w="780" w:type="dxa"/>
            <w:vAlign w:val="bottom"/>
          </w:tcPr>
          <w:p>
            <w:pPr>
              <w:ind w:left="40"/>
              <w:spacing w:after="0"/>
              <w:rPr>
                <w:sz w:val="20"/>
                <w:szCs w:val="20"/>
                <w:color w:val="auto"/>
              </w:rPr>
            </w:pPr>
            <w:r>
              <w:rPr>
                <w:rFonts w:ascii="Arial" w:cs="Arial" w:eastAsia="Arial" w:hAnsi="Arial"/>
                <w:sz w:val="20"/>
                <w:szCs w:val="20"/>
                <w:color w:val="0000FF"/>
              </w:rPr>
              <w:t>FL</w:t>
            </w:r>
          </w:p>
        </w:tc>
        <w:tc>
          <w:tcPr>
            <w:tcW w:w="1300" w:type="dxa"/>
            <w:vAlign w:val="bottom"/>
          </w:tcPr>
          <w:p>
            <w:pPr>
              <w:ind w:left="300"/>
              <w:spacing w:after="0"/>
              <w:rPr>
                <w:sz w:val="20"/>
                <w:szCs w:val="20"/>
                <w:color w:val="auto"/>
              </w:rPr>
            </w:pPr>
            <w:r>
              <w:rPr>
                <w:rFonts w:ascii="Arial" w:cs="Arial" w:eastAsia="Arial" w:hAnsi="Arial"/>
                <w:sz w:val="20"/>
                <w:szCs w:val="20"/>
                <w:color w:val="0000FF"/>
              </w:rPr>
              <w:t>32114</w:t>
            </w:r>
          </w:p>
        </w:tc>
      </w:tr>
      <w:tr>
        <w:trPr>
          <w:trHeight w:val="248"/>
        </w:trPr>
        <w:tc>
          <w:tcPr>
            <w:tcW w:w="1020" w:type="dxa"/>
            <w:vAlign w:val="bottom"/>
          </w:tcPr>
          <w:p>
            <w:pPr>
              <w:ind w:left="40"/>
              <w:spacing w:after="0"/>
              <w:rPr>
                <w:sz w:val="20"/>
                <w:szCs w:val="20"/>
                <w:color w:val="auto"/>
              </w:rPr>
            </w:pPr>
            <w:r>
              <w:rPr>
                <w:rFonts w:ascii="Arial" w:cs="Arial" w:eastAsia="Arial" w:hAnsi="Arial"/>
                <w:sz w:val="20"/>
                <w:szCs w:val="20"/>
                <w:color w:val="0000FF"/>
              </w:rPr>
              <w:t>BEACH</w:t>
            </w:r>
          </w:p>
        </w:tc>
        <w:tc>
          <w:tcPr>
            <w:tcW w:w="7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107"/>
        </w:trPr>
        <w:tc>
          <w:tcPr>
            <w:tcW w:w="10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r>
      <w:tr>
        <w:trPr>
          <w:trHeight w:val="344"/>
        </w:trPr>
        <w:tc>
          <w:tcPr>
            <w:tcW w:w="1020" w:type="dxa"/>
            <w:vAlign w:val="bottom"/>
          </w:tcPr>
          <w:p>
            <w:pPr>
              <w:ind w:left="40"/>
              <w:spacing w:after="0"/>
              <w:rPr>
                <w:sz w:val="20"/>
                <w:szCs w:val="20"/>
                <w:color w:val="auto"/>
              </w:rPr>
            </w:pPr>
            <w:r>
              <w:rPr>
                <w:rFonts w:ascii="Arial" w:cs="Arial" w:eastAsia="Arial" w:hAnsi="Arial"/>
                <w:sz w:val="15"/>
                <w:szCs w:val="15"/>
                <w:color w:val="auto"/>
              </w:rPr>
              <w:t>(City)</w:t>
            </w:r>
          </w:p>
        </w:tc>
        <w:tc>
          <w:tcPr>
            <w:tcW w:w="780" w:type="dxa"/>
            <w:vAlign w:val="bottom"/>
          </w:tcPr>
          <w:p>
            <w:pPr>
              <w:ind w:left="4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BROWN &amp; BROWN,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BRO</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720" w:type="dxa"/>
            <w:vAlign w:val="bottom"/>
            <w:gridSpan w:val="2"/>
          </w:tcPr>
          <w:p>
            <w:pPr>
              <w:ind w:left="80"/>
              <w:spacing w:after="0"/>
              <w:rPr>
                <w:sz w:val="20"/>
                <w:szCs w:val="20"/>
                <w:color w:val="auto"/>
              </w:rPr>
            </w:pPr>
            <w:r>
              <w:rPr>
                <w:rFonts w:ascii="Arial" w:cs="Arial" w:eastAsia="Arial" w:hAnsi="Arial"/>
                <w:sz w:val="15"/>
                <w:szCs w:val="15"/>
                <w:color w:val="auto"/>
              </w:rPr>
              <w:t>5. If Amendment, Date of Original</w:t>
            </w:r>
          </w:p>
        </w:tc>
      </w:tr>
      <w:tr>
        <w:trPr>
          <w:trHeight w:val="165"/>
        </w:trPr>
        <w:tc>
          <w:tcPr>
            <w:tcW w:w="176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40" w:type="dxa"/>
            <w:vAlign w:val="bottom"/>
          </w:tcPr>
          <w:p>
            <w:pPr>
              <w:spacing w:after="0"/>
              <w:rPr>
                <w:sz w:val="14"/>
                <w:szCs w:val="14"/>
                <w:color w:val="auto"/>
              </w:rPr>
            </w:pP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color w:val="auto"/>
              </w:rPr>
              <w:t>Filed (Month/Day/Year)</w:t>
            </w:r>
          </w:p>
        </w:tc>
      </w:tr>
      <w:tr>
        <w:trPr>
          <w:trHeight w:val="190"/>
        </w:trPr>
        <w:tc>
          <w:tcPr>
            <w:tcW w:w="1760" w:type="dxa"/>
            <w:vAlign w:val="bottom"/>
          </w:tcPr>
          <w:p>
            <w:pPr>
              <w:spacing w:after="0"/>
              <w:rPr>
                <w:sz w:val="20"/>
                <w:szCs w:val="20"/>
                <w:color w:val="auto"/>
              </w:rPr>
            </w:pPr>
            <w:r>
              <w:rPr>
                <w:rFonts w:ascii="Arial" w:cs="Arial" w:eastAsia="Arial" w:hAnsi="Arial"/>
                <w:sz w:val="15"/>
                <w:szCs w:val="15"/>
                <w:color w:val="auto"/>
              </w:rPr>
              <w:t>(Check all applicable)</w:t>
            </w:r>
          </w:p>
        </w:tc>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269"/>
        </w:trPr>
        <w:tc>
          <w:tcPr>
            <w:tcW w:w="1760" w:type="dxa"/>
            <w:vAlign w:val="bottom"/>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40" w:type="dxa"/>
            <w:vAlign w:val="bottom"/>
          </w:tcPr>
          <w:p>
            <w:pPr>
              <w:ind w:left="300"/>
              <w:spacing w:after="0"/>
              <w:rPr>
                <w:sz w:val="20"/>
                <w:szCs w:val="20"/>
                <w:color w:val="auto"/>
              </w:rPr>
            </w:pPr>
            <w:r>
              <w:rPr>
                <w:rFonts w:ascii="Arial" w:cs="Arial" w:eastAsia="Arial" w:hAnsi="Arial"/>
                <w:sz w:val="15"/>
                <w:szCs w:val="15"/>
                <w:color w:val="auto"/>
              </w:rPr>
              <w:t>10% Owner</w:t>
            </w:r>
          </w:p>
        </w:tc>
        <w:tc>
          <w:tcPr>
            <w:tcW w:w="440" w:type="dxa"/>
            <w:vAlign w:val="bottom"/>
          </w:tcPr>
          <w:p>
            <w:pPr>
              <w:spacing w:after="0"/>
              <w:rPr>
                <w:sz w:val="23"/>
                <w:szCs w:val="23"/>
                <w:color w:val="auto"/>
              </w:rPr>
            </w:pPr>
          </w:p>
        </w:tc>
        <w:tc>
          <w:tcPr>
            <w:tcW w:w="2280" w:type="dxa"/>
            <w:vAlign w:val="bottom"/>
          </w:tcPr>
          <w:p>
            <w:pPr>
              <w:spacing w:after="0"/>
              <w:rPr>
                <w:sz w:val="23"/>
                <w:szCs w:val="23"/>
                <w:color w:val="auto"/>
              </w:rPr>
            </w:pPr>
          </w:p>
        </w:tc>
      </w:tr>
      <w:tr>
        <w:trPr>
          <w:trHeight w:val="216"/>
        </w:trPr>
        <w:tc>
          <w:tcPr>
            <w:tcW w:w="1760" w:type="dxa"/>
            <w:vAlign w:val="bottom"/>
          </w:tcPr>
          <w:p>
            <w:pPr>
              <w:ind w:left="520"/>
              <w:spacing w:after="0"/>
              <w:rPr>
                <w:sz w:val="20"/>
                <w:szCs w:val="20"/>
                <w:color w:val="auto"/>
              </w:rPr>
            </w:pPr>
            <w:r>
              <w:rPr>
                <w:rFonts w:ascii="Arial" w:cs="Arial" w:eastAsia="Arial" w:hAnsi="Arial"/>
                <w:sz w:val="15"/>
                <w:szCs w:val="15"/>
                <w:color w:val="auto"/>
              </w:rPr>
              <w:t>Officer (give</w:t>
            </w:r>
          </w:p>
        </w:tc>
        <w:tc>
          <w:tcPr>
            <w:tcW w:w="1440" w:type="dxa"/>
            <w:vAlign w:val="bottom"/>
          </w:tcPr>
          <w:p>
            <w:pPr>
              <w:ind w:left="300"/>
              <w:spacing w:after="0"/>
              <w:rPr>
                <w:sz w:val="20"/>
                <w:szCs w:val="20"/>
                <w:color w:val="auto"/>
              </w:rPr>
            </w:pPr>
            <w:r>
              <w:rPr>
                <w:rFonts w:ascii="Arial" w:cs="Arial" w:eastAsia="Arial" w:hAnsi="Arial"/>
                <w:sz w:val="15"/>
                <w:szCs w:val="15"/>
                <w:color w:val="auto"/>
              </w:rPr>
              <w:t>Other (specify</w:t>
            </w:r>
          </w:p>
        </w:tc>
        <w:tc>
          <w:tcPr>
            <w:tcW w:w="4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26"/>
        </w:trPr>
        <w:tc>
          <w:tcPr>
            <w:tcW w:w="176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40" w:type="dxa"/>
            <w:vAlign w:val="bottom"/>
          </w:tcPr>
          <w:p>
            <w:pPr>
              <w:ind w:left="300"/>
              <w:spacing w:after="0"/>
              <w:rPr>
                <w:sz w:val="20"/>
                <w:szCs w:val="20"/>
                <w:color w:val="auto"/>
              </w:rPr>
            </w:pPr>
            <w:r>
              <w:rPr>
                <w:rFonts w:ascii="Arial" w:cs="Arial" w:eastAsia="Arial" w:hAnsi="Arial"/>
                <w:sz w:val="15"/>
                <w:szCs w:val="15"/>
                <w:color w:val="auto"/>
              </w:rPr>
              <w:t>below)</w:t>
            </w:r>
          </w:p>
        </w:tc>
        <w:tc>
          <w:tcPr>
            <w:tcW w:w="44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r>
      <w:tr>
        <w:trPr>
          <w:trHeight w:val="209"/>
        </w:trPr>
        <w:tc>
          <w:tcPr>
            <w:tcW w:w="17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720" w:type="dxa"/>
            <w:vAlign w:val="bottom"/>
            <w:tcBorders>
              <w:top w:val="single" w:sz="8" w:color="2C2C2C"/>
            </w:tcBorders>
            <w:gridSpan w:val="2"/>
          </w:tcPr>
          <w:p>
            <w:pPr>
              <w:ind w:left="80"/>
              <w:spacing w:after="0"/>
              <w:rPr>
                <w:sz w:val="20"/>
                <w:szCs w:val="20"/>
                <w:color w:val="auto"/>
              </w:rPr>
            </w:pPr>
            <w:r>
              <w:rPr>
                <w:rFonts w:ascii="Arial" w:cs="Arial" w:eastAsia="Arial" w:hAnsi="Arial"/>
                <w:sz w:val="15"/>
                <w:szCs w:val="15"/>
                <w:color w:val="auto"/>
              </w:rPr>
              <w:t>6. Individual or Joint/Group Filing</w:t>
            </w:r>
          </w:p>
        </w:tc>
      </w:tr>
      <w:tr>
        <w:trPr>
          <w:trHeight w:val="190"/>
        </w:trPr>
        <w:tc>
          <w:tcPr>
            <w:tcW w:w="17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720" w:type="dxa"/>
            <w:vAlign w:val="bottom"/>
            <w:gridSpan w:val="2"/>
          </w:tcPr>
          <w:p>
            <w:pPr>
              <w:ind w:left="80"/>
              <w:spacing w:after="0"/>
              <w:rPr>
                <w:sz w:val="20"/>
                <w:szCs w:val="20"/>
                <w:color w:val="auto"/>
              </w:rPr>
            </w:pPr>
            <w:r>
              <w:rPr>
                <w:rFonts w:ascii="Arial" w:cs="Arial" w:eastAsia="Arial" w:hAnsi="Arial"/>
                <w:sz w:val="15"/>
                <w:szCs w:val="15"/>
                <w:color w:val="auto"/>
              </w:rPr>
              <w:t>(Check Applicable Line)</w:t>
            </w:r>
          </w:p>
        </w:tc>
      </w:tr>
      <w:tr>
        <w:trPr>
          <w:trHeight w:val="195"/>
        </w:trPr>
        <w:tc>
          <w:tcPr>
            <w:tcW w:w="17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0" w:type="dxa"/>
            <w:vAlign w:val="bottom"/>
          </w:tcPr>
          <w:p>
            <w:pPr>
              <w:ind w:left="220"/>
              <w:spacing w:after="0" w:line="195" w:lineRule="exact"/>
              <w:rPr>
                <w:sz w:val="20"/>
                <w:szCs w:val="20"/>
                <w:color w:val="auto"/>
              </w:rPr>
            </w:pPr>
            <w:r>
              <w:rPr>
                <w:rFonts w:ascii="Arial" w:cs="Arial" w:eastAsia="Arial" w:hAnsi="Arial"/>
                <w:sz w:val="20"/>
                <w:szCs w:val="20"/>
                <w:color w:val="0000FF"/>
              </w:rPr>
              <w:t>X</w:t>
            </w:r>
          </w:p>
        </w:tc>
        <w:tc>
          <w:tcPr>
            <w:tcW w:w="2280" w:type="dxa"/>
            <w:vAlign w:val="bottom"/>
          </w:tcPr>
          <w:p>
            <w:pPr>
              <w:ind w:left="80"/>
              <w:spacing w:after="0"/>
              <w:rPr>
                <w:sz w:val="20"/>
                <w:szCs w:val="20"/>
                <w:color w:val="auto"/>
              </w:rPr>
            </w:pPr>
            <w:r>
              <w:rPr>
                <w:rFonts w:ascii="Arial" w:cs="Arial" w:eastAsia="Arial" w:hAnsi="Arial"/>
                <w:sz w:val="15"/>
                <w:szCs w:val="15"/>
                <w:color w:val="auto"/>
              </w:rPr>
              <w:t>Form filed by One Reporting</w:t>
            </w:r>
          </w:p>
        </w:tc>
      </w:tr>
      <w:tr>
        <w:trPr>
          <w:trHeight w:val="190"/>
        </w:trPr>
        <w:tc>
          <w:tcPr>
            <w:tcW w:w="17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r>
    </w:tbl>
    <w:p>
      <w:pPr>
        <w:spacing w:after="0" w:line="25"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3"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198" w:lineRule="exact"/>
        <w:rPr>
          <w:sz w:val="24"/>
          <w:szCs w:val="24"/>
          <w:color w:val="auto"/>
        </w:rPr>
      </w:pPr>
    </w:p>
    <w:p>
      <w:pPr>
        <w:sectPr>
          <w:pgSz w:w="11900" w:h="16838" w:orient="portrait"/>
          <w:cols w:equalWidth="0" w:num="2">
            <w:col w:w="4740" w:space="260"/>
            <w:col w:w="5940"/>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2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2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6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3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600" w:type="dxa"/>
            <w:vAlign w:val="bottom"/>
          </w:tcPr>
          <w:p>
            <w:pPr>
              <w:spacing w:after="0"/>
              <w:rPr>
                <w:sz w:val="15"/>
                <w:szCs w:val="15"/>
                <w:color w:val="auto"/>
              </w:rPr>
            </w:pPr>
          </w:p>
        </w:tc>
        <w:tc>
          <w:tcPr>
            <w:tcW w:w="2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8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0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980" w:type="dxa"/>
            <w:vAlign w:val="bottom"/>
            <w:vMerge w:val="restart"/>
          </w:tcPr>
          <w:p>
            <w:pPr>
              <w:ind w:left="34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2"/>
            <w:vMerge w:val="continue"/>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5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98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80" w:type="dxa"/>
            <w:vAlign w:val="bottom"/>
          </w:tcPr>
          <w:p>
            <w:pPr>
              <w:ind w:left="34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60" w:type="dxa"/>
            <w:vAlign w:val="bottom"/>
          </w:tcPr>
          <w:p>
            <w:pPr>
              <w:spacing w:after="0"/>
              <w:rPr>
                <w:sz w:val="14"/>
                <w:szCs w:val="14"/>
                <w:color w:val="auto"/>
              </w:rPr>
            </w:pPr>
          </w:p>
        </w:tc>
        <w:tc>
          <w:tcPr>
            <w:tcW w:w="10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8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Expiration</w:t>
            </w:r>
          </w:p>
        </w:tc>
        <w:tc>
          <w:tcPr>
            <w:tcW w:w="1520" w:type="dxa"/>
            <w:vAlign w:val="bottom"/>
          </w:tcPr>
          <w:p>
            <w:pPr>
              <w:spacing w:after="0"/>
              <w:rPr>
                <w:sz w:val="14"/>
                <w:szCs w:val="14"/>
                <w:color w:val="auto"/>
              </w:rPr>
            </w:pPr>
          </w:p>
        </w:tc>
        <w:tc>
          <w:tcPr>
            <w:tcW w:w="980" w:type="dxa"/>
            <w:vAlign w:val="bottom"/>
          </w:tcPr>
          <w:p>
            <w:pPr>
              <w:ind w:left="340"/>
              <w:spacing w:after="0" w:line="161" w:lineRule="exact"/>
              <w:rPr>
                <w:sz w:val="20"/>
                <w:szCs w:val="20"/>
                <w:color w:val="auto"/>
              </w:rPr>
            </w:pPr>
            <w:r>
              <w:rPr>
                <w:rFonts w:ascii="Arial" w:cs="Arial" w:eastAsia="Arial" w:hAnsi="Arial"/>
                <w:sz w:val="15"/>
                <w:szCs w:val="15"/>
                <w:b w:val="1"/>
                <w:bCs w:val="1"/>
                <w:color w:val="auto"/>
              </w:rPr>
              <w:t>Number</w:t>
            </w: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5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80" w:type="dxa"/>
            <w:vAlign w:val="bottom"/>
          </w:tcPr>
          <w:p>
            <w:pPr>
              <w:ind w:left="340"/>
              <w:spacing w:after="0" w:line="165" w:lineRule="exact"/>
              <w:rPr>
                <w:sz w:val="20"/>
                <w:szCs w:val="20"/>
                <w:color w:val="auto"/>
              </w:rPr>
            </w:pPr>
            <w:r>
              <w:rPr>
                <w:rFonts w:ascii="Arial" w:cs="Arial" w:eastAsia="Arial" w:hAnsi="Arial"/>
                <w:sz w:val="15"/>
                <w:szCs w:val="15"/>
                <w:b w:val="1"/>
                <w:bCs w:val="1"/>
                <w:color w:val="auto"/>
              </w:rPr>
              <w:t>of</w:t>
            </w: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60"/>
              <w:spacing w:after="0"/>
              <w:rPr>
                <w:sz w:val="20"/>
                <w:szCs w:val="20"/>
                <w:color w:val="auto"/>
              </w:rPr>
            </w:pPr>
            <w:r>
              <w:rPr>
                <w:rFonts w:ascii="Arial" w:cs="Arial" w:eastAsia="Arial" w:hAnsi="Arial"/>
                <w:sz w:val="15"/>
                <w:szCs w:val="15"/>
                <w:b w:val="1"/>
                <w:bCs w:val="1"/>
                <w:color w:val="auto"/>
              </w:rPr>
              <w:t>Date</w:t>
            </w:r>
          </w:p>
        </w:tc>
        <w:tc>
          <w:tcPr>
            <w:tcW w:w="1520" w:type="dxa"/>
            <w:vAlign w:val="bottom"/>
            <w:vMerge w:val="continue"/>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5"/>
                <w:szCs w:val="15"/>
                <w:b w:val="1"/>
                <w:bCs w:val="1"/>
                <w:color w:val="auto"/>
              </w:rPr>
              <w:t>Shares</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31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6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6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60" w:type="dxa"/>
            <w:vAlign w:val="bottom"/>
          </w:tcPr>
          <w:p>
            <w:pPr>
              <w:ind w:left="40"/>
              <w:spacing w:after="0"/>
              <w:rPr>
                <w:sz w:val="20"/>
                <w:szCs w:val="20"/>
                <w:color w:val="auto"/>
              </w:rPr>
            </w:pPr>
            <w:r>
              <w:rPr>
                <w:rFonts w:ascii="Arial" w:cs="Arial" w:eastAsia="Arial" w:hAnsi="Arial"/>
                <w:sz w:val="15"/>
                <w:szCs w:val="15"/>
                <w:color w:val="008000"/>
              </w:rPr>
              <w:t>No securities are beneficially owned.</w:t>
            </w: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6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960" w:type="dxa"/>
            <w:vAlign w:val="bottom"/>
            <w:gridSpan w:val="3"/>
          </w:tcPr>
          <w:p>
            <w:pPr>
              <w:spacing w:after="0"/>
              <w:rPr>
                <w:sz w:val="20"/>
                <w:szCs w:val="20"/>
                <w:color w:val="auto"/>
              </w:rPr>
            </w:pPr>
            <w:r>
              <w:rPr>
                <w:rFonts w:ascii="Arial" w:cs="Arial" w:eastAsia="Arial" w:hAnsi="Arial"/>
                <w:sz w:val="20"/>
                <w:szCs w:val="20"/>
                <w:color w:val="0000FF"/>
              </w:rPr>
              <w:t>/s/ Paul J. Krump</w:t>
            </w:r>
          </w:p>
        </w:tc>
        <w:tc>
          <w:tcPr>
            <w:tcW w:w="1120" w:type="dxa"/>
            <w:vAlign w:val="bottom"/>
            <w:gridSpan w:val="3"/>
          </w:tcPr>
          <w:p>
            <w:pPr>
              <w:ind w:left="240"/>
              <w:spacing w:after="0"/>
              <w:rPr>
                <w:sz w:val="20"/>
                <w:szCs w:val="20"/>
                <w:color w:val="auto"/>
              </w:rPr>
            </w:pPr>
            <w:r>
              <w:rPr>
                <w:rFonts w:ascii="Arial" w:cs="Arial" w:eastAsia="Arial" w:hAnsi="Arial"/>
                <w:sz w:val="20"/>
                <w:szCs w:val="20"/>
                <w:color w:val="0000FF"/>
                <w:w w:val="85"/>
              </w:rPr>
              <w:t>06/20/2023</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96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40" w:type="dxa"/>
        <w:tblCellMar>
          <w:top w:w="0" w:type="dxa"/>
          <w:left w:w="0" w:type="dxa"/>
          <w:bottom w:w="0" w:type="dxa"/>
          <w:right w:w="0" w:type="dxa"/>
        </w:tblCellMar>
      </w:tblPr>
      <w:tr>
        <w:trPr>
          <w:trHeight w:val="190"/>
        </w:trPr>
        <w:tc>
          <w:tcPr>
            <w:tcW w:w="7860" w:type="dxa"/>
            <w:vAlign w:val="bottom"/>
            <w:vMerge w:val="restart"/>
          </w:tcPr>
          <w:p>
            <w:pPr>
              <w:ind w:left="6520"/>
              <w:spacing w:after="0"/>
              <w:rPr>
                <w:sz w:val="20"/>
                <w:szCs w:val="20"/>
                <w:color w:val="auto"/>
              </w:rPr>
            </w:pPr>
            <w:r>
              <w:rPr>
                <w:rFonts w:ascii="Arial" w:cs="Arial" w:eastAsia="Arial" w:hAnsi="Arial"/>
                <w:sz w:val="15"/>
                <w:szCs w:val="15"/>
                <w:color w:val="auto"/>
              </w:rPr>
              <w:t>Person</w:t>
            </w:r>
          </w:p>
        </w:tc>
        <w:tc>
          <w:tcPr>
            <w:tcW w:w="1180" w:type="dxa"/>
            <w:vAlign w:val="bottom"/>
          </w:tcPr>
          <w:p>
            <w:pPr>
              <w:ind w:left="8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65"/>
        </w:trPr>
        <w:tc>
          <w:tcPr>
            <w:tcW w:w="786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78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LIMITED POWER OF ATTORNEY</w:t>
      </w:r>
    </w:p>
    <w:p>
      <w:pPr>
        <w:spacing w:after="0" w:line="224" w:lineRule="exact"/>
        <w:rPr>
          <w:sz w:val="20"/>
          <w:szCs w:val="20"/>
          <w:color w:val="auto"/>
        </w:rPr>
      </w:pPr>
    </w:p>
    <w:p>
      <w:pPr>
        <w:jc w:val="both"/>
        <w:ind w:right="699"/>
        <w:spacing w:after="0" w:line="272" w:lineRule="auto"/>
        <w:rPr>
          <w:sz w:val="20"/>
          <w:szCs w:val="20"/>
          <w:color w:val="auto"/>
        </w:rPr>
      </w:pPr>
      <w:r>
        <w:rPr>
          <w:rFonts w:ascii="Courier New" w:cs="Courier New" w:eastAsia="Courier New" w:hAnsi="Courier New"/>
          <w:sz w:val="18"/>
          <w:szCs w:val="18"/>
          <w:color w:val="auto"/>
        </w:rPr>
        <w:t>This Limited Power-of-Attorney (the "Statement") confirms that the undersigned, Paul J. Krump (the "Insider"), has authorized and designated, and hereby makes, constitutes and appoints, David B. Lotz, Linnette Ramirez, and Anthony M.</w:t>
      </w:r>
    </w:p>
    <w:p>
      <w:pPr>
        <w:ind w:right="699"/>
        <w:spacing w:after="0" w:line="238" w:lineRule="auto"/>
        <w:rPr>
          <w:sz w:val="20"/>
          <w:szCs w:val="20"/>
          <w:color w:val="auto"/>
        </w:rPr>
      </w:pPr>
      <w:r>
        <w:rPr>
          <w:rFonts w:ascii="Courier New" w:cs="Courier New" w:eastAsia="Courier New" w:hAnsi="Courier New"/>
          <w:sz w:val="20"/>
          <w:szCs w:val="20"/>
          <w:color w:val="auto"/>
        </w:rPr>
        <w:t>Robinson, and each of them or either of them acting singly, and with full power of substitution and re- substitution, the Insider's true and lawful attorney-in-fact (each of the foregoing and their substitutes is referred to as an "Authorized Signer") with full power to act for the Insider and in the Insider's name, place and stead, in any and all capacities, to</w:t>
      </w:r>
    </w:p>
    <w:p>
      <w:pPr>
        <w:spacing w:after="0" w:line="2" w:lineRule="exact"/>
        <w:rPr>
          <w:sz w:val="20"/>
          <w:szCs w:val="20"/>
          <w:color w:val="auto"/>
        </w:rPr>
      </w:pPr>
    </w:p>
    <w:p>
      <w:pPr>
        <w:ind w:right="699"/>
        <w:spacing w:after="0" w:line="238" w:lineRule="auto"/>
        <w:tabs>
          <w:tab w:leader="none" w:pos="940"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submit to and file with the Securities and Exchange Commission ("SEC") a Form ID, including amendments thereto, and any other documents necessary or appropriate to obtain codes and passwords enabling the Insider to make electronic filings with the SEC of reports required or considered by the Authorized Signer to be advisable under Section 13 or Section 16 of the Securities Exchange Act of 1934 (the "Exchange Act") or any rule or regulation of the SEC;</w:t>
      </w:r>
    </w:p>
    <w:p>
      <w:pPr>
        <w:spacing w:after="0" w:line="3" w:lineRule="exact"/>
        <w:rPr>
          <w:rFonts w:ascii="Courier New" w:cs="Courier New" w:eastAsia="Courier New" w:hAnsi="Courier New"/>
          <w:sz w:val="20"/>
          <w:szCs w:val="20"/>
          <w:color w:val="auto"/>
        </w:rPr>
      </w:pPr>
    </w:p>
    <w:p>
      <w:pPr>
        <w:ind w:right="339"/>
        <w:spacing w:after="0" w:line="238" w:lineRule="auto"/>
        <w:tabs>
          <w:tab w:leader="none" w:pos="940"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submit to and file with the SEC, Brown &amp; Brown, Inc. (the "Company"), and/or any national securities exchange on which the Company's securities are listed any and all reports (including any amendments thereto) the Insider is required to file with the SEC, or which the Authorized Signer considers it advisable to file with the SEC, under Section 13 or Section 16 of the Exchange Act or any rule or regulation thereunder, or under Rule 144 under the Securities Act of 1933 ("Rule 144"), with respect to the any security of the Company, including any and all Forms 3, 4 and 5 (including any amendments thereto) ; and</w:t>
      </w:r>
    </w:p>
    <w:p>
      <w:pPr>
        <w:spacing w:after="0" w:line="3" w:lineRule="exact"/>
        <w:rPr>
          <w:rFonts w:ascii="Courier New" w:cs="Courier New" w:eastAsia="Courier New" w:hAnsi="Courier New"/>
          <w:sz w:val="20"/>
          <w:szCs w:val="20"/>
          <w:color w:val="auto"/>
        </w:rPr>
      </w:pPr>
    </w:p>
    <w:p>
      <w:pPr>
        <w:ind w:right="819"/>
        <w:spacing w:after="0" w:line="264" w:lineRule="auto"/>
        <w:tabs>
          <w:tab w:leader="none" w:pos="9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as the Insider's representative and on the Insider's behalf, information regarding transactions in the Company's equity securities from any third party, including the Company and any brokers, dealers, employee benefit plan administrators and trustees, and the Insider hereby authorizes any such third party to release any such information to the Authorized Signer.</w:t>
      </w:r>
    </w:p>
    <w:p>
      <w:pPr>
        <w:spacing w:after="0" w:line="4" w:lineRule="exact"/>
        <w:rPr>
          <w:rFonts w:ascii="Courier New" w:cs="Courier New" w:eastAsia="Courier New" w:hAnsi="Courier New"/>
          <w:sz w:val="18"/>
          <w:szCs w:val="18"/>
          <w:color w:val="auto"/>
        </w:rPr>
      </w:pPr>
    </w:p>
    <w:p>
      <w:pPr>
        <w:ind w:right="579"/>
        <w:spacing w:after="0" w:line="26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Insider acknowledges that: (a) this Statement authorizes, but does not require, the Authorized Signer to act in his or her discretion on information provided to such Authorized Signer without independent verification of such information; (b) any documents prepared or executed by the Authorized Signer on behalf of the Insider pursuant to this Statement will be in such form and will contain such information as the Authorized Signer, in his or her discretion, deems necessary or desirable; (c) neither the Company nor the Authorized Signer assumes any liability for the Insider's responsibility to comply with the requirements of Section 13 or Section 16 of the Exchange Act or Rule 144, any liability of the Insider for any failure to comply with such requirements, or any liability of the Insider for disgorgement of profits under Section 16(b) of the Exchange Act; and (d) this Statement does not relieve the Insider from responsibility for compliance with the Insider's obligations under Section 13 or Section 16 of the Exchange Act, including, without limitation, the reporting requirements under Section 13 or Section 16 of the Exchange Act.</w:t>
      </w:r>
    </w:p>
    <w:p>
      <w:pPr>
        <w:spacing w:after="0" w:line="212" w:lineRule="exact"/>
        <w:rPr>
          <w:rFonts w:ascii="Courier New" w:cs="Courier New" w:eastAsia="Courier New" w:hAnsi="Courier New"/>
          <w:sz w:val="18"/>
          <w:szCs w:val="18"/>
          <w:color w:val="auto"/>
        </w:rPr>
      </w:pPr>
    </w:p>
    <w:p>
      <w:pPr>
        <w:ind w:right="579"/>
        <w:spacing w:after="0" w:line="26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Insider hereby grants to the Authorized Signer full power and authority to do and perform each and every act and thing requisite, necessary or advisable to be done in connection with the foregoing, as fully, to all intents and purposes, as the Insider might or could do in person, hereby ratifying and confirming all that the Authorized Signer, or his or her substitute or substitutes, shall lawfully do or cause to be done by authority of this Statement.</w:t>
      </w:r>
    </w:p>
    <w:p>
      <w:pPr>
        <w:spacing w:after="0" w:line="4" w:lineRule="exact"/>
        <w:rPr>
          <w:rFonts w:ascii="Courier New" w:cs="Courier New" w:eastAsia="Courier New" w:hAnsi="Courier New"/>
          <w:sz w:val="18"/>
          <w:szCs w:val="18"/>
          <w:color w:val="auto"/>
        </w:rPr>
      </w:pPr>
    </w:p>
    <w:p>
      <w:pPr>
        <w:ind w:right="939"/>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The authority of the Authorized Signers under this Statement shall continue until the Insider is no longer required to file Forms 3, 4 and 5 or Schedules 13D or 13G or Forms 144 with regard to the Insider's ownership of, or transactions in, securities of the Company, unless earlier revoked by the Insider in writing delivered to the Authorized Signer. This Statement revokes all previous powers of attorney with respect to the subject matter of this Statement.</w:t>
      </w:r>
    </w:p>
    <w:p>
      <w:pPr>
        <w:spacing w:after="0" w:line="3" w:lineRule="exact"/>
        <w:rPr>
          <w:rFonts w:ascii="Courier New" w:cs="Courier New" w:eastAsia="Courier New" w:hAnsi="Courier New"/>
          <w:sz w:val="18"/>
          <w:szCs w:val="18"/>
          <w:color w:val="auto"/>
        </w:rPr>
      </w:pPr>
    </w:p>
    <w:p>
      <w:pPr>
        <w:ind w:right="819"/>
        <w:spacing w:after="0" w:line="266"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IN WITNESS WHEREOF, the Insider has executed this Statement as of the date set forth below.</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Date: June 20, 2023</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Paul J. Krump</w:t>
      </w:r>
    </w:p>
    <w:sectPr>
      <w:pgSz w:w="11900" w:h="16838" w:orient="portrait"/>
      <w:cols w:equalWidth="0" w:num="1">
        <w:col w:w="9979"/>
      </w:cols>
      <w:pgMar w:left="480" w:top="31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191204" TargetMode="External"/><Relationship Id="rId11" Type="http://schemas.openxmlformats.org/officeDocument/2006/relationships/hyperlink" Target="http://www.sec.gov/cgi-bin/browse-edgar?action=getcompany&amp;CIK=00000792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2023-06-20T16:08:37Z</dcterms:created>
  <dcterms:modified xsi:type="dcterms:W3CDTF">2023-06-20T16:08:37Z</dcterms:modified>
</cp:coreProperties>
</file>