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5"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215900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SCHEDULE 14A</w:t>
      </w:r>
    </w:p>
    <w:p>
      <w:pPr>
        <w:spacing w:after="0" w:line="180"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1"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215900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1"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1"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1"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0"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166" w:lineRule="exact"/>
        <w:rPr>
          <w:sz w:val="24"/>
          <w:szCs w:val="24"/>
          <w:color w:val="auto"/>
        </w:rPr>
      </w:pPr>
    </w:p>
    <w:p>
      <w:pPr>
        <w:jc w:val="center"/>
        <w:ind w:right="-960"/>
        <w:spacing w:after="0"/>
        <w:rPr>
          <w:sz w:val="20"/>
          <w:szCs w:val="20"/>
          <w:color w:val="auto"/>
        </w:rPr>
      </w:pPr>
      <w:r>
        <w:rPr>
          <w:rFonts w:ascii="Arial" w:cs="Arial" w:eastAsia="Arial" w:hAnsi="Arial"/>
          <w:sz w:val="39"/>
          <w:szCs w:val="39"/>
          <w:b w:val="1"/>
          <w:bCs w:val="1"/>
          <w:color w:val="auto"/>
        </w:rPr>
        <w:t>BROWN &amp; BROWN, INC.</w:t>
      </w:r>
    </w:p>
    <w:p>
      <w:pPr>
        <w:spacing w:after="0" w:line="39"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9"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8" w:lineRule="exact"/>
        <w:rPr>
          <w:sz w:val="24"/>
          <w:szCs w:val="24"/>
          <w:color w:val="auto"/>
        </w:rPr>
      </w:pPr>
    </w:p>
    <w:p>
      <w:pPr>
        <w:ind w:left="560" w:hanging="553"/>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1" w:lineRule="exact"/>
        <w:rPr>
          <w:sz w:val="24"/>
          <w:szCs w:val="24"/>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0" w:lineRule="exact"/>
        <w:rPr>
          <w:rFonts w:ascii="MS PGothic" w:cs="MS PGothic" w:eastAsia="MS PGothic" w:hAnsi="MS PGothic"/>
          <w:sz w:val="18"/>
          <w:szCs w:val="18"/>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41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435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143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760" w:type="dxa"/>
            <w:vAlign w:val="bottom"/>
          </w:tcPr>
          <w:p>
            <w:pPr>
              <w:spacing w:after="0"/>
              <w:rPr>
                <w:sz w:val="20"/>
                <w:szCs w:val="20"/>
                <w:color w:val="auto"/>
              </w:rPr>
            </w:pPr>
            <w:r>
              <w:rPr>
                <w:rFonts w:ascii="Arial" w:cs="Arial" w:eastAsia="Arial" w:hAnsi="Arial"/>
                <w:sz w:val="27"/>
                <w:szCs w:val="27"/>
                <w:b w:val="1"/>
                <w:bCs w:val="1"/>
                <w:color w:val="002856"/>
              </w:rPr>
              <w:t>Dear Fellow Shareholders:</w:t>
            </w:r>
          </w:p>
        </w:tc>
        <w:tc>
          <w:tcPr>
            <w:tcW w:w="460" w:type="dxa"/>
            <w:vAlign w:val="bottom"/>
            <w:vMerge w:val="restart"/>
          </w:tcPr>
          <w:p>
            <w:pPr>
              <w:ind w:left="300"/>
              <w:spacing w:after="0"/>
              <w:rPr>
                <w:sz w:val="20"/>
                <w:szCs w:val="20"/>
                <w:color w:val="auto"/>
              </w:rPr>
            </w:pPr>
            <w:r>
              <w:rPr>
                <w:rFonts w:ascii="Arial" w:cs="Arial" w:eastAsia="Arial" w:hAnsi="Arial"/>
                <w:sz w:val="16"/>
                <w:szCs w:val="16"/>
                <w:color w:val="auto"/>
                <w:w w:val="87"/>
              </w:rPr>
              <w:t> </w:t>
            </w:r>
          </w:p>
        </w:tc>
        <w:tc>
          <w:tcPr>
            <w:tcW w:w="20" w:type="dxa"/>
            <w:vAlign w:val="bottom"/>
          </w:tcPr>
          <w:p>
            <w:pPr>
              <w:spacing w:after="0"/>
              <w:rPr>
                <w:sz w:val="24"/>
                <w:szCs w:val="24"/>
                <w:color w:val="auto"/>
              </w:rPr>
            </w:pPr>
          </w:p>
        </w:tc>
        <w:tc>
          <w:tcPr>
            <w:tcW w:w="560" w:type="dxa"/>
            <w:vAlign w:val="bottom"/>
            <w:vMerge w:val="restart"/>
          </w:tcPr>
          <w:p>
            <w:pPr>
              <w:ind w:left="280"/>
              <w:spacing w:after="0"/>
              <w:rPr>
                <w:sz w:val="20"/>
                <w:szCs w:val="20"/>
                <w:color w:val="auto"/>
              </w:rPr>
            </w:pPr>
            <w:r>
              <w:rPr>
                <w:rFonts w:ascii="Arial" w:cs="Arial" w:eastAsia="Arial" w:hAnsi="Arial"/>
                <w:sz w:val="18"/>
                <w:szCs w:val="18"/>
                <w:color w:val="002856"/>
              </w:rPr>
              <w:t> </w:t>
            </w:r>
          </w:p>
        </w:tc>
        <w:tc>
          <w:tcPr>
            <w:tcW w:w="3080" w:type="dxa"/>
            <w:vAlign w:val="bottom"/>
            <w:gridSpan w:val="2"/>
            <w:vMerge w:val="restart"/>
          </w:tcPr>
          <w:p>
            <w:pPr>
              <w:ind w:left="220"/>
              <w:spacing w:after="0"/>
              <w:rPr>
                <w:sz w:val="20"/>
                <w:szCs w:val="20"/>
                <w:color w:val="auto"/>
              </w:rPr>
            </w:pPr>
            <w:r>
              <w:rPr>
                <w:rFonts w:ascii="Arial" w:cs="Arial" w:eastAsia="Arial" w:hAnsi="Arial"/>
                <w:sz w:val="18"/>
                <w:szCs w:val="18"/>
                <w:color w:val="002856"/>
              </w:rPr>
              <w:t>2023 Total Shareholder Return</w:t>
            </w:r>
          </w:p>
        </w:tc>
        <w:tc>
          <w:tcPr>
            <w:tcW w:w="0" w:type="dxa"/>
            <w:vAlign w:val="bottom"/>
          </w:tcPr>
          <w:p>
            <w:pPr>
              <w:spacing w:after="0"/>
              <w:rPr>
                <w:sz w:val="1"/>
                <w:szCs w:val="1"/>
                <w:color w:val="auto"/>
              </w:rPr>
            </w:pPr>
          </w:p>
        </w:tc>
      </w:tr>
      <w:tr>
        <w:trPr>
          <w:trHeight w:val="160"/>
        </w:trPr>
        <w:tc>
          <w:tcPr>
            <w:tcW w:w="67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 w:type="dxa"/>
            <w:vAlign w:val="bottom"/>
            <w:shd w:val="clear" w:color="auto" w:fill="C6093B"/>
          </w:tcPr>
          <w:p>
            <w:pPr>
              <w:spacing w:after="0"/>
              <w:rPr>
                <w:sz w:val="13"/>
                <w:szCs w:val="13"/>
                <w:color w:val="auto"/>
              </w:rPr>
            </w:pPr>
          </w:p>
        </w:tc>
        <w:tc>
          <w:tcPr>
            <w:tcW w:w="560" w:type="dxa"/>
            <w:vAlign w:val="bottom"/>
            <w:vMerge w:val="continue"/>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760" w:type="dxa"/>
            <w:vAlign w:val="bottom"/>
          </w:tcPr>
          <w:p>
            <w:pPr>
              <w:spacing w:after="0"/>
              <w:rPr>
                <w:sz w:val="20"/>
                <w:szCs w:val="20"/>
                <w:color w:val="auto"/>
              </w:rPr>
            </w:pPr>
            <w:r>
              <w:rPr>
                <w:rFonts w:ascii="Arial" w:cs="Arial" w:eastAsia="Arial" w:hAnsi="Arial"/>
                <w:sz w:val="16"/>
                <w:szCs w:val="16"/>
                <w:color w:val="auto"/>
              </w:rPr>
              <w:t>On behalf of Brown &amp; Brown, Inc.’s Board of Directors, we are pleased to invite you to</w:t>
            </w:r>
          </w:p>
        </w:tc>
        <w:tc>
          <w:tcPr>
            <w:tcW w:w="460" w:type="dxa"/>
            <w:vAlign w:val="bottom"/>
          </w:tcPr>
          <w:p>
            <w:pPr>
              <w:spacing w:after="0"/>
              <w:rPr>
                <w:sz w:val="24"/>
                <w:szCs w:val="24"/>
                <w:color w:val="auto"/>
              </w:rPr>
            </w:pPr>
          </w:p>
        </w:tc>
        <w:tc>
          <w:tcPr>
            <w:tcW w:w="20" w:type="dxa"/>
            <w:vAlign w:val="bottom"/>
            <w:shd w:val="clear" w:color="auto" w:fill="C6093B"/>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gridSpan w:val="2"/>
            <w:vMerge w:val="restart"/>
          </w:tcPr>
          <w:p>
            <w:pPr>
              <w:ind w:left="220"/>
              <w:spacing w:after="0" w:line="788" w:lineRule="exact"/>
              <w:rPr>
                <w:sz w:val="20"/>
                <w:szCs w:val="20"/>
                <w:color w:val="auto"/>
              </w:rPr>
            </w:pPr>
            <w:r>
              <w:rPr>
                <w:rFonts w:ascii="Arial" w:cs="Arial" w:eastAsia="Arial" w:hAnsi="Arial"/>
                <w:sz w:val="74"/>
                <w:szCs w:val="74"/>
                <w:b w:val="1"/>
                <w:bCs w:val="1"/>
                <w:color w:val="002856"/>
              </w:rPr>
              <w:t>+</w:t>
            </w:r>
          </w:p>
        </w:tc>
        <w:tc>
          <w:tcPr>
            <w:tcW w:w="0" w:type="dxa"/>
            <w:vAlign w:val="bottom"/>
          </w:tcPr>
          <w:p>
            <w:pPr>
              <w:spacing w:after="0"/>
              <w:rPr>
                <w:sz w:val="1"/>
                <w:szCs w:val="1"/>
                <w:color w:val="auto"/>
              </w:rPr>
            </w:pP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attend our Annual Meeting of Shareholders on Wednesday, May 8, 2024. Again this year,</w:t>
            </w:r>
          </w:p>
        </w:tc>
        <w:tc>
          <w:tcPr>
            <w:tcW w:w="460" w:type="dxa"/>
            <w:vAlign w:val="bottom"/>
          </w:tcPr>
          <w:p>
            <w:pPr>
              <w:spacing w:after="0"/>
              <w:rPr>
                <w:sz w:val="16"/>
                <w:szCs w:val="16"/>
                <w:color w:val="auto"/>
              </w:rPr>
            </w:pPr>
          </w:p>
        </w:tc>
        <w:tc>
          <w:tcPr>
            <w:tcW w:w="20" w:type="dxa"/>
            <w:vAlign w:val="bottom"/>
            <w:shd w:val="clear" w:color="auto" w:fill="C6093B"/>
          </w:tcPr>
          <w:p>
            <w:pPr>
              <w:spacing w:after="0"/>
              <w:rPr>
                <w:sz w:val="16"/>
                <w:szCs w:val="16"/>
                <w:color w:val="auto"/>
              </w:rPr>
            </w:pPr>
          </w:p>
        </w:tc>
        <w:tc>
          <w:tcPr>
            <w:tcW w:w="560" w:type="dxa"/>
            <w:vAlign w:val="bottom"/>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line="161" w:lineRule="exact"/>
              <w:rPr>
                <w:sz w:val="20"/>
                <w:szCs w:val="20"/>
                <w:color w:val="auto"/>
              </w:rPr>
            </w:pPr>
            <w:r>
              <w:rPr>
                <w:rFonts w:ascii="Arial" w:cs="Arial" w:eastAsia="Arial" w:hAnsi="Arial"/>
                <w:sz w:val="16"/>
                <w:szCs w:val="16"/>
                <w:color w:val="auto"/>
              </w:rPr>
              <w:t>we will hold the meeting virtually via a live audio webcast to make the meeting more</w:t>
            </w:r>
          </w:p>
        </w:tc>
        <w:tc>
          <w:tcPr>
            <w:tcW w:w="460" w:type="dxa"/>
            <w:vAlign w:val="bottom"/>
          </w:tcPr>
          <w:p>
            <w:pPr>
              <w:spacing w:after="0"/>
              <w:rPr>
                <w:sz w:val="14"/>
                <w:szCs w:val="14"/>
                <w:color w:val="auto"/>
              </w:rPr>
            </w:pPr>
          </w:p>
        </w:tc>
        <w:tc>
          <w:tcPr>
            <w:tcW w:w="20" w:type="dxa"/>
            <w:vAlign w:val="bottom"/>
            <w:shd w:val="clear" w:color="auto" w:fill="C6093B"/>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Arial" w:cs="Arial" w:eastAsia="Arial" w:hAnsi="Arial"/>
                <w:sz w:val="16"/>
                <w:szCs w:val="16"/>
                <w:color w:val="auto"/>
              </w:rPr>
              <w:t>accessible to our shareholders across the world, while minimizing the costs of an in-person</w:t>
            </w:r>
          </w:p>
        </w:tc>
        <w:tc>
          <w:tcPr>
            <w:tcW w:w="460" w:type="dxa"/>
            <w:vAlign w:val="bottom"/>
          </w:tcPr>
          <w:p>
            <w:pPr>
              <w:spacing w:after="0"/>
              <w:rPr>
                <w:sz w:val="18"/>
                <w:szCs w:val="18"/>
                <w:color w:val="auto"/>
              </w:rPr>
            </w:pPr>
          </w:p>
        </w:tc>
        <w:tc>
          <w:tcPr>
            <w:tcW w:w="20" w:type="dxa"/>
            <w:vAlign w:val="bottom"/>
            <w:shd w:val="clear" w:color="auto" w:fill="C6093B"/>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vMerge w:val="restart"/>
          </w:tcPr>
          <w:p>
            <w:pPr>
              <w:jc w:val="right"/>
              <w:ind w:right="762"/>
              <w:spacing w:after="0" w:line="399" w:lineRule="exact"/>
              <w:rPr>
                <w:sz w:val="20"/>
                <w:szCs w:val="20"/>
                <w:color w:val="auto"/>
              </w:rPr>
            </w:pPr>
            <w:r>
              <w:rPr>
                <w:rFonts w:ascii="Arial" w:cs="Arial" w:eastAsia="Arial" w:hAnsi="Arial"/>
                <w:sz w:val="46"/>
                <w:szCs w:val="46"/>
                <w:b w:val="1"/>
                <w:bCs w:val="1"/>
                <w:color w:val="002856"/>
              </w:rPr>
              <w:t>26</w:t>
            </w:r>
            <w:r>
              <w:rPr>
                <w:rFonts w:ascii="Arial" w:cs="Arial" w:eastAsia="Arial" w:hAnsi="Arial"/>
                <w:sz w:val="32"/>
                <w:szCs w:val="32"/>
                <w:b w:val="1"/>
                <w:bCs w:val="1"/>
                <w:color w:val="002856"/>
              </w:rPr>
              <w:t>%</w:t>
            </w:r>
          </w:p>
        </w:tc>
        <w:tc>
          <w:tcPr>
            <w:tcW w:w="0" w:type="dxa"/>
            <w:vAlign w:val="bottom"/>
          </w:tcPr>
          <w:p>
            <w:pPr>
              <w:spacing w:after="0"/>
              <w:rPr>
                <w:sz w:val="1"/>
                <w:szCs w:val="1"/>
                <w:color w:val="auto"/>
              </w:rPr>
            </w:pP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meeting. The attached Notice of Annual Meeting of Shareholders and Proxy Statement</w:t>
            </w:r>
          </w:p>
        </w:tc>
        <w:tc>
          <w:tcPr>
            <w:tcW w:w="460" w:type="dxa"/>
            <w:vAlign w:val="bottom"/>
          </w:tcPr>
          <w:p>
            <w:pPr>
              <w:spacing w:after="0"/>
              <w:rPr>
                <w:sz w:val="16"/>
                <w:szCs w:val="16"/>
                <w:color w:val="auto"/>
              </w:rPr>
            </w:pPr>
          </w:p>
        </w:tc>
        <w:tc>
          <w:tcPr>
            <w:tcW w:w="20" w:type="dxa"/>
            <w:vAlign w:val="bottom"/>
            <w:shd w:val="clear" w:color="auto" w:fill="C6093B"/>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include important information about the matters to be voted on at the meeting. The proxy</w:t>
            </w:r>
          </w:p>
        </w:tc>
        <w:tc>
          <w:tcPr>
            <w:tcW w:w="460" w:type="dxa"/>
            <w:vAlign w:val="bottom"/>
          </w:tcPr>
          <w:p>
            <w:pPr>
              <w:spacing w:after="0"/>
              <w:rPr>
                <w:sz w:val="16"/>
                <w:szCs w:val="16"/>
                <w:color w:val="auto"/>
              </w:rPr>
            </w:pPr>
          </w:p>
        </w:tc>
        <w:tc>
          <w:tcPr>
            <w:tcW w:w="20" w:type="dxa"/>
            <w:vAlign w:val="bottom"/>
            <w:shd w:val="clear" w:color="auto" w:fill="C6093B"/>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60" w:type="dxa"/>
            <w:vAlign w:val="bottom"/>
          </w:tcPr>
          <w:p>
            <w:pPr>
              <w:spacing w:after="0"/>
              <w:rPr>
                <w:sz w:val="20"/>
                <w:szCs w:val="20"/>
                <w:color w:val="auto"/>
              </w:rPr>
            </w:pPr>
            <w:r>
              <w:rPr>
                <w:rFonts w:ascii="Arial" w:cs="Arial" w:eastAsia="Arial" w:hAnsi="Arial"/>
                <w:sz w:val="16"/>
                <w:szCs w:val="16"/>
                <w:color w:val="auto"/>
              </w:rPr>
              <w:t>materials for the Annual Meeting, which include the Proxy Statement and 2023 Annual</w:t>
            </w:r>
          </w:p>
        </w:tc>
        <w:tc>
          <w:tcPr>
            <w:tcW w:w="460" w:type="dxa"/>
            <w:vAlign w:val="bottom"/>
          </w:tcPr>
          <w:p>
            <w:pPr>
              <w:spacing w:after="0"/>
              <w:rPr>
                <w:sz w:val="16"/>
                <w:szCs w:val="16"/>
                <w:color w:val="auto"/>
              </w:rPr>
            </w:pPr>
          </w:p>
        </w:tc>
        <w:tc>
          <w:tcPr>
            <w:tcW w:w="20" w:type="dxa"/>
            <w:vAlign w:val="bottom"/>
            <w:shd w:val="clear" w:color="auto" w:fill="C6093B"/>
          </w:tcPr>
          <w:p>
            <w:pPr>
              <w:spacing w:after="0"/>
              <w:rPr>
                <w:sz w:val="16"/>
                <w:szCs w:val="16"/>
                <w:color w:val="auto"/>
              </w:rPr>
            </w:pPr>
          </w:p>
        </w:tc>
        <w:tc>
          <w:tcPr>
            <w:tcW w:w="560" w:type="dxa"/>
            <w:vAlign w:val="bottom"/>
          </w:tcPr>
          <w:p>
            <w:pPr>
              <w:spacing w:after="0"/>
              <w:rPr>
                <w:sz w:val="16"/>
                <w:szCs w:val="16"/>
                <w:color w:val="auto"/>
              </w:rPr>
            </w:pPr>
          </w:p>
        </w:tc>
        <w:tc>
          <w:tcPr>
            <w:tcW w:w="3080" w:type="dxa"/>
            <w:vAlign w:val="bottom"/>
            <w:gridSpan w:val="2"/>
          </w:tcPr>
          <w:p>
            <w:pPr>
              <w:ind w:left="220"/>
              <w:spacing w:after="0"/>
              <w:rPr>
                <w:sz w:val="20"/>
                <w:szCs w:val="20"/>
                <w:color w:val="auto"/>
              </w:rPr>
            </w:pPr>
            <w:r>
              <w:rPr>
                <w:rFonts w:ascii="Arial" w:cs="Arial" w:eastAsia="Arial" w:hAnsi="Arial"/>
                <w:sz w:val="16"/>
                <w:szCs w:val="16"/>
                <w:b w:val="1"/>
                <w:bCs w:val="1"/>
                <w:color w:val="002856"/>
              </w:rPr>
              <w:t>Proxy Statement Highlights</w:t>
            </w:r>
          </w:p>
        </w:tc>
        <w:tc>
          <w:tcPr>
            <w:tcW w:w="0" w:type="dxa"/>
            <w:vAlign w:val="bottom"/>
          </w:tcPr>
          <w:p>
            <w:pPr>
              <w:spacing w:after="0"/>
              <w:rPr>
                <w:sz w:val="1"/>
                <w:szCs w:val="1"/>
                <w:color w:val="auto"/>
              </w:rPr>
            </w:pPr>
          </w:p>
        </w:tc>
      </w:tr>
      <w:tr>
        <w:trPr>
          <w:trHeight w:val="186"/>
        </w:trPr>
        <w:tc>
          <w:tcPr>
            <w:tcW w:w="6760" w:type="dxa"/>
            <w:vAlign w:val="bottom"/>
          </w:tcPr>
          <w:p>
            <w:pPr>
              <w:spacing w:after="0"/>
              <w:rPr>
                <w:sz w:val="20"/>
                <w:szCs w:val="20"/>
                <w:color w:val="auto"/>
              </w:rPr>
            </w:pPr>
            <w:r>
              <w:rPr>
                <w:rFonts w:ascii="Arial" w:cs="Arial" w:eastAsia="Arial" w:hAnsi="Arial"/>
                <w:sz w:val="16"/>
                <w:szCs w:val="16"/>
                <w:color w:val="auto"/>
              </w:rPr>
              <w:t>Report, are available online to expedite receipt of proxy materials while lowering the costs</w:t>
            </w:r>
          </w:p>
        </w:tc>
        <w:tc>
          <w:tcPr>
            <w:tcW w:w="460" w:type="dxa"/>
            <w:vAlign w:val="bottom"/>
          </w:tcPr>
          <w:p>
            <w:pPr>
              <w:spacing w:after="0"/>
              <w:rPr>
                <w:sz w:val="16"/>
                <w:szCs w:val="16"/>
                <w:color w:val="auto"/>
              </w:rPr>
            </w:pPr>
          </w:p>
        </w:tc>
        <w:tc>
          <w:tcPr>
            <w:tcW w:w="20" w:type="dxa"/>
            <w:vAlign w:val="bottom"/>
            <w:shd w:val="clear" w:color="auto" w:fill="C6093B"/>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1</w:t>
            </w:r>
          </w:p>
        </w:tc>
        <w:tc>
          <w:tcPr>
            <w:tcW w:w="2620" w:type="dxa"/>
            <w:vAlign w:val="bottom"/>
            <w:vMerge w:val="restart"/>
          </w:tcPr>
          <w:p>
            <w:pPr>
              <w:ind w:left="80"/>
              <w:spacing w:after="0"/>
              <w:rPr>
                <w:sz w:val="20"/>
                <w:szCs w:val="20"/>
                <w:color w:val="auto"/>
              </w:rPr>
            </w:pPr>
            <w:r>
              <w:rPr>
                <w:rFonts w:ascii="Arial" w:cs="Arial" w:eastAsia="Arial" w:hAnsi="Arial"/>
                <w:sz w:val="16"/>
                <w:szCs w:val="16"/>
                <w:color w:val="auto"/>
              </w:rPr>
              <w:t>Proxy Summary</w:t>
            </w:r>
          </w:p>
        </w:tc>
        <w:tc>
          <w:tcPr>
            <w:tcW w:w="0" w:type="dxa"/>
            <w:vAlign w:val="bottom"/>
          </w:tcPr>
          <w:p>
            <w:pPr>
              <w:spacing w:after="0"/>
              <w:rPr>
                <w:sz w:val="1"/>
                <w:szCs w:val="1"/>
                <w:color w:val="auto"/>
              </w:rPr>
            </w:pPr>
          </w:p>
        </w:tc>
      </w:tr>
      <w:tr>
        <w:trPr>
          <w:trHeight w:val="141"/>
        </w:trPr>
        <w:tc>
          <w:tcPr>
            <w:tcW w:w="6760" w:type="dxa"/>
            <w:vAlign w:val="bottom"/>
            <w:vMerge w:val="restart"/>
          </w:tcPr>
          <w:p>
            <w:pPr>
              <w:spacing w:after="0"/>
              <w:rPr>
                <w:sz w:val="20"/>
                <w:szCs w:val="20"/>
                <w:color w:val="auto"/>
              </w:rPr>
            </w:pPr>
            <w:r>
              <w:rPr>
                <w:rFonts w:ascii="Arial" w:cs="Arial" w:eastAsia="Arial" w:hAnsi="Arial"/>
                <w:sz w:val="16"/>
                <w:szCs w:val="16"/>
                <w:color w:val="auto"/>
              </w:rPr>
              <w:t>and reducing the environmental impact of the meeting.</w:t>
            </w:r>
          </w:p>
        </w:tc>
        <w:tc>
          <w:tcPr>
            <w:tcW w:w="460" w:type="dxa"/>
            <w:vAlign w:val="bottom"/>
          </w:tcPr>
          <w:p>
            <w:pPr>
              <w:spacing w:after="0"/>
              <w:rPr>
                <w:sz w:val="12"/>
                <w:szCs w:val="12"/>
                <w:color w:val="auto"/>
              </w:rPr>
            </w:pPr>
          </w:p>
        </w:tc>
        <w:tc>
          <w:tcPr>
            <w:tcW w:w="20" w:type="dxa"/>
            <w:vAlign w:val="bottom"/>
            <w:shd w:val="clear" w:color="auto" w:fill="C6093B"/>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6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shd w:val="clear" w:color="auto" w:fill="C6093B"/>
          </w:tcPr>
          <w:p>
            <w:pPr>
              <w:spacing w:after="0"/>
              <w:rPr>
                <w:sz w:val="6"/>
                <w:szCs w:val="6"/>
                <w:color w:val="auto"/>
              </w:rPr>
            </w:pPr>
          </w:p>
        </w:tc>
        <w:tc>
          <w:tcPr>
            <w:tcW w:w="560" w:type="dxa"/>
            <w:vAlign w:val="bottom"/>
          </w:tcPr>
          <w:p>
            <w:pPr>
              <w:spacing w:after="0"/>
              <w:rPr>
                <w:sz w:val="6"/>
                <w:szCs w:val="6"/>
                <w:color w:val="auto"/>
              </w:rPr>
            </w:pPr>
          </w:p>
        </w:tc>
        <w:tc>
          <w:tcPr>
            <w:tcW w:w="30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Board and Corporate Governance</w:t>
            </w:r>
          </w:p>
        </w:tc>
        <w:tc>
          <w:tcPr>
            <w:tcW w:w="0" w:type="dxa"/>
            <w:vAlign w:val="bottom"/>
          </w:tcPr>
          <w:p>
            <w:pPr>
              <w:spacing w:after="0"/>
              <w:rPr>
                <w:sz w:val="1"/>
                <w:szCs w:val="1"/>
                <w:color w:val="auto"/>
              </w:rPr>
            </w:pPr>
          </w:p>
        </w:tc>
      </w:tr>
      <w:tr>
        <w:trPr>
          <w:trHeight w:val="177"/>
        </w:trPr>
        <w:tc>
          <w:tcPr>
            <w:tcW w:w="6760" w:type="dxa"/>
            <w:vAlign w:val="bottom"/>
            <w:vMerge w:val="restart"/>
          </w:tcPr>
          <w:p>
            <w:pPr>
              <w:spacing w:after="0"/>
              <w:rPr>
                <w:sz w:val="20"/>
                <w:szCs w:val="20"/>
                <w:color w:val="auto"/>
              </w:rPr>
            </w:pPr>
            <w:r>
              <w:rPr>
                <w:rFonts w:ascii="Arial" w:cs="Arial" w:eastAsia="Arial" w:hAnsi="Arial"/>
                <w:sz w:val="16"/>
                <w:szCs w:val="16"/>
                <w:color w:val="auto"/>
              </w:rPr>
              <w:t>Fiscal 2023 was another outstanding year for Brown &amp; Brown, as we crossed our</w:t>
            </w:r>
          </w:p>
        </w:tc>
        <w:tc>
          <w:tcPr>
            <w:tcW w:w="460" w:type="dxa"/>
            <w:vAlign w:val="bottom"/>
          </w:tcPr>
          <w:p>
            <w:pPr>
              <w:spacing w:after="0"/>
              <w:rPr>
                <w:sz w:val="15"/>
                <w:szCs w:val="15"/>
                <w:color w:val="auto"/>
              </w:rPr>
            </w:pPr>
          </w:p>
        </w:tc>
        <w:tc>
          <w:tcPr>
            <w:tcW w:w="20" w:type="dxa"/>
            <w:vAlign w:val="bottom"/>
            <w:shd w:val="clear" w:color="auto" w:fill="C6093B"/>
          </w:tcPr>
          <w:p>
            <w:pPr>
              <w:spacing w:after="0"/>
              <w:rPr>
                <w:sz w:val="15"/>
                <w:szCs w:val="15"/>
                <w:color w:val="auto"/>
              </w:rPr>
            </w:pPr>
          </w:p>
        </w:tc>
        <w:tc>
          <w:tcPr>
            <w:tcW w:w="560" w:type="dxa"/>
            <w:vAlign w:val="bottom"/>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67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shd w:val="clear" w:color="auto" w:fill="C6093B"/>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20" w:type="dxa"/>
            <w:vAlign w:val="bottom"/>
            <w:vMerge w:val="restart"/>
          </w:tcPr>
          <w:p>
            <w:pPr>
              <w:ind w:left="80"/>
              <w:spacing w:after="0"/>
              <w:rPr>
                <w:sz w:val="20"/>
                <w:szCs w:val="20"/>
                <w:color w:val="auto"/>
              </w:rPr>
            </w:pPr>
            <w:r>
              <w:rPr>
                <w:rFonts w:ascii="Arial" w:cs="Arial" w:eastAsia="Arial" w:hAnsi="Arial"/>
                <w:sz w:val="16"/>
                <w:szCs w:val="16"/>
                <w:color w:val="auto"/>
              </w:rPr>
              <w:t>Matters</w:t>
            </w:r>
          </w:p>
        </w:tc>
        <w:tc>
          <w:tcPr>
            <w:tcW w:w="0" w:type="dxa"/>
            <w:vAlign w:val="bottom"/>
          </w:tcPr>
          <w:p>
            <w:pPr>
              <w:spacing w:after="0"/>
              <w:rPr>
                <w:sz w:val="1"/>
                <w:szCs w:val="1"/>
                <w:color w:val="auto"/>
              </w:rPr>
            </w:pPr>
          </w:p>
        </w:tc>
      </w:tr>
      <w:tr>
        <w:trPr>
          <w:trHeight w:val="104"/>
        </w:trPr>
        <w:tc>
          <w:tcPr>
            <w:tcW w:w="6760" w:type="dxa"/>
            <w:vAlign w:val="bottom"/>
            <w:vMerge w:val="restart"/>
          </w:tcPr>
          <w:p>
            <w:pPr>
              <w:spacing w:after="0"/>
              <w:rPr>
                <w:sz w:val="20"/>
                <w:szCs w:val="20"/>
                <w:color w:val="auto"/>
              </w:rPr>
            </w:pPr>
            <w:r>
              <w:rPr>
                <w:rFonts w:ascii="Arial" w:cs="Arial" w:eastAsia="Arial" w:hAnsi="Arial"/>
                <w:sz w:val="16"/>
                <w:szCs w:val="16"/>
                <w:color w:val="auto"/>
              </w:rPr>
              <w:t>intermediate goal of $4 billion of annual revenues, fueled by a combination of high-quality</w:t>
            </w:r>
          </w:p>
        </w:tc>
        <w:tc>
          <w:tcPr>
            <w:tcW w:w="460" w:type="dxa"/>
            <w:vAlign w:val="bottom"/>
          </w:tcPr>
          <w:p>
            <w:pPr>
              <w:spacing w:after="0"/>
              <w:rPr>
                <w:sz w:val="9"/>
                <w:szCs w:val="9"/>
                <w:color w:val="auto"/>
              </w:rPr>
            </w:pPr>
          </w:p>
        </w:tc>
        <w:tc>
          <w:tcPr>
            <w:tcW w:w="20" w:type="dxa"/>
            <w:vAlign w:val="bottom"/>
            <w:shd w:val="clear" w:color="auto" w:fill="C6093B"/>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shd w:val="clear" w:color="auto" w:fill="C6093B"/>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48</w:t>
            </w:r>
          </w:p>
        </w:tc>
        <w:tc>
          <w:tcPr>
            <w:tcW w:w="2620" w:type="dxa"/>
            <w:vAlign w:val="bottom"/>
            <w:vMerge w:val="restart"/>
          </w:tcPr>
          <w:p>
            <w:pPr>
              <w:ind w:left="80"/>
              <w:spacing w:after="0"/>
              <w:rPr>
                <w:sz w:val="20"/>
                <w:szCs w:val="20"/>
                <w:color w:val="auto"/>
              </w:rPr>
            </w:pPr>
            <w:r>
              <w:rPr>
                <w:rFonts w:ascii="Arial" w:cs="Arial" w:eastAsia="Arial" w:hAnsi="Arial"/>
                <w:sz w:val="16"/>
                <w:szCs w:val="16"/>
                <w:color w:val="auto"/>
              </w:rPr>
              <w:t>Executive Compensation Tables</w:t>
            </w:r>
          </w:p>
        </w:tc>
        <w:tc>
          <w:tcPr>
            <w:tcW w:w="0" w:type="dxa"/>
            <w:vAlign w:val="bottom"/>
          </w:tcPr>
          <w:p>
            <w:pPr>
              <w:spacing w:after="0"/>
              <w:rPr>
                <w:sz w:val="1"/>
                <w:szCs w:val="1"/>
                <w:color w:val="auto"/>
              </w:rPr>
            </w:pPr>
          </w:p>
        </w:tc>
      </w:tr>
      <w:tr>
        <w:trPr>
          <w:trHeight w:val="201"/>
        </w:trPr>
        <w:tc>
          <w:tcPr>
            <w:tcW w:w="6760" w:type="dxa"/>
            <w:vAlign w:val="bottom"/>
          </w:tcPr>
          <w:p>
            <w:pPr>
              <w:spacing w:after="0"/>
              <w:rPr>
                <w:sz w:val="20"/>
                <w:szCs w:val="20"/>
                <w:color w:val="auto"/>
              </w:rPr>
            </w:pPr>
            <w:r>
              <w:rPr>
                <w:rFonts w:ascii="Arial" w:cs="Arial" w:eastAsia="Arial" w:hAnsi="Arial"/>
                <w:sz w:val="16"/>
                <w:szCs w:val="16"/>
                <w:color w:val="auto"/>
              </w:rPr>
              <w:t>acquisitions and strong company-wide organic revenue growth. We remained focused on</w:t>
            </w:r>
          </w:p>
        </w:tc>
        <w:tc>
          <w:tcPr>
            <w:tcW w:w="460" w:type="dxa"/>
            <w:vAlign w:val="bottom"/>
          </w:tcPr>
          <w:p>
            <w:pPr>
              <w:spacing w:after="0"/>
              <w:rPr>
                <w:sz w:val="17"/>
                <w:szCs w:val="17"/>
                <w:color w:val="auto"/>
              </w:rPr>
            </w:pPr>
          </w:p>
        </w:tc>
        <w:tc>
          <w:tcPr>
            <w:tcW w:w="20" w:type="dxa"/>
            <w:vAlign w:val="bottom"/>
            <w:shd w:val="clear" w:color="auto" w:fill="C6093B"/>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760" w:type="dxa"/>
            <w:vAlign w:val="bottom"/>
          </w:tcPr>
          <w:p>
            <w:pPr>
              <w:spacing w:after="0" w:line="173" w:lineRule="exact"/>
              <w:rPr>
                <w:sz w:val="20"/>
                <w:szCs w:val="20"/>
                <w:color w:val="auto"/>
              </w:rPr>
            </w:pPr>
            <w:r>
              <w:rPr>
                <w:rFonts w:ascii="Arial" w:cs="Arial" w:eastAsia="Arial" w:hAnsi="Arial"/>
                <w:sz w:val="16"/>
                <w:szCs w:val="16"/>
                <w:color w:val="auto"/>
              </w:rPr>
              <w:t>growing profitably by expanding our industry-leading operating margins, and we increased</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r>
              <w:rPr>
                <w:rFonts w:ascii="Arial" w:cs="Arial" w:eastAsia="Arial" w:hAnsi="Arial"/>
                <w:sz w:val="16"/>
                <w:szCs w:val="16"/>
                <w:color w:val="auto"/>
              </w:rPr>
              <w:t>our annual cash provided by operations to a record high of over $1 billion.</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3"/>
          </w:tcPr>
          <w:p>
            <w:pPr>
              <w:ind w:left="280"/>
              <w:spacing w:after="0"/>
              <w:rPr>
                <w:sz w:val="20"/>
                <w:szCs w:val="20"/>
                <w:color w:val="auto"/>
              </w:rPr>
            </w:pPr>
            <w:r>
              <w:rPr>
                <w:rFonts w:ascii="Arial" w:cs="Arial" w:eastAsia="Arial" w:hAnsi="Arial"/>
                <w:sz w:val="16"/>
                <w:szCs w:val="16"/>
                <w:color w:val="auto"/>
              </w:rPr>
              <w:t>On behalf of our Board of Directors, our</w:t>
            </w: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6"/>
                <w:szCs w:val="16"/>
                <w:color w:val="auto"/>
              </w:rPr>
              <w:t>As part of our disciplined strategy to manage and allocate our capital for the long-term</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tcPr>
          <w:p>
            <w:pPr>
              <w:ind w:left="280"/>
              <w:spacing w:after="0"/>
              <w:rPr>
                <w:sz w:val="20"/>
                <w:szCs w:val="20"/>
                <w:color w:val="auto"/>
              </w:rPr>
            </w:pPr>
            <w:r>
              <w:rPr>
                <w:rFonts w:ascii="Arial" w:cs="Arial" w:eastAsia="Arial" w:hAnsi="Arial"/>
                <w:sz w:val="16"/>
                <w:szCs w:val="16"/>
                <w:color w:val="auto"/>
                <w:w w:val="99"/>
              </w:rPr>
              <w:t>leadership team and our teammates, thank you</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vMerge w:val="restart"/>
          </w:tcPr>
          <w:p>
            <w:pPr>
              <w:spacing w:after="0"/>
              <w:rPr>
                <w:sz w:val="20"/>
                <w:szCs w:val="20"/>
                <w:color w:val="auto"/>
              </w:rPr>
            </w:pPr>
            <w:r>
              <w:rPr>
                <w:rFonts w:ascii="Arial" w:cs="Arial" w:eastAsia="Arial" w:hAnsi="Arial"/>
                <w:sz w:val="16"/>
                <w:szCs w:val="16"/>
                <w:color w:val="auto"/>
              </w:rPr>
              <w:t>benefit of our shareholders, we completed 33 strategic acquisitions during the year with</w:t>
            </w:r>
          </w:p>
        </w:tc>
        <w:tc>
          <w:tcPr>
            <w:tcW w:w="3780" w:type="dxa"/>
            <w:vAlign w:val="bottom"/>
          </w:tcPr>
          <w:p>
            <w:pPr>
              <w:ind w:left="500"/>
              <w:spacing w:after="0" w:line="171" w:lineRule="exact"/>
              <w:rPr>
                <w:sz w:val="20"/>
                <w:szCs w:val="20"/>
                <w:color w:val="auto"/>
              </w:rPr>
            </w:pPr>
            <w:r>
              <w:rPr>
                <w:rFonts w:ascii="Arial" w:cs="Arial" w:eastAsia="Arial" w:hAnsi="Arial"/>
                <w:sz w:val="16"/>
                <w:szCs w:val="16"/>
                <w:color w:val="auto"/>
              </w:rPr>
              <w:t>for your investment in and commitment to</w:t>
            </w:r>
          </w:p>
        </w:tc>
        <w:tc>
          <w:tcPr>
            <w:tcW w:w="0" w:type="dxa"/>
            <w:vAlign w:val="bottom"/>
          </w:tcPr>
          <w:p>
            <w:pPr>
              <w:spacing w:after="0"/>
              <w:rPr>
                <w:sz w:val="1"/>
                <w:szCs w:val="1"/>
                <w:color w:val="auto"/>
              </w:rPr>
            </w:pPr>
          </w:p>
        </w:tc>
      </w:tr>
      <w:tr>
        <w:trPr>
          <w:trHeight w:val="67"/>
        </w:trPr>
        <w:tc>
          <w:tcPr>
            <w:tcW w:w="7020" w:type="dxa"/>
            <w:vAlign w:val="bottom"/>
            <w:vMerge w:val="continue"/>
          </w:tcPr>
          <w:p>
            <w:pPr>
              <w:spacing w:after="0"/>
              <w:rPr>
                <w:sz w:val="5"/>
                <w:szCs w:val="5"/>
                <w:color w:val="auto"/>
              </w:rPr>
            </w:pPr>
          </w:p>
        </w:tc>
        <w:tc>
          <w:tcPr>
            <w:tcW w:w="3780" w:type="dxa"/>
            <w:vAlign w:val="bottom"/>
            <w:vMerge w:val="restart"/>
          </w:tcPr>
          <w:p>
            <w:pPr>
              <w:ind w:left="500"/>
              <w:spacing w:after="0"/>
              <w:rPr>
                <w:sz w:val="20"/>
                <w:szCs w:val="20"/>
                <w:color w:val="auto"/>
              </w:rPr>
            </w:pPr>
            <w:r>
              <w:rPr>
                <w:rFonts w:ascii="Arial" w:cs="Arial" w:eastAsia="Arial" w:hAnsi="Arial"/>
                <w:sz w:val="16"/>
                <w:szCs w:val="16"/>
                <w:color w:val="auto"/>
                <w:w w:val="99"/>
              </w:rPr>
              <w:t>Brown &amp; Brown Insurance. We look forward to</w:t>
            </w:r>
          </w:p>
        </w:tc>
        <w:tc>
          <w:tcPr>
            <w:tcW w:w="0" w:type="dxa"/>
            <w:vAlign w:val="bottom"/>
          </w:tcPr>
          <w:p>
            <w:pPr>
              <w:spacing w:after="0"/>
              <w:rPr>
                <w:sz w:val="1"/>
                <w:szCs w:val="1"/>
                <w:color w:val="auto"/>
              </w:rPr>
            </w:pPr>
          </w:p>
        </w:tc>
      </w:tr>
      <w:tr>
        <w:trPr>
          <w:trHeight w:val="120"/>
        </w:trPr>
        <w:tc>
          <w:tcPr>
            <w:tcW w:w="7020" w:type="dxa"/>
            <w:vAlign w:val="bottom"/>
            <w:vMerge w:val="restart"/>
          </w:tcPr>
          <w:p>
            <w:pPr>
              <w:spacing w:after="0"/>
              <w:rPr>
                <w:sz w:val="20"/>
                <w:szCs w:val="20"/>
                <w:color w:val="auto"/>
              </w:rPr>
            </w:pPr>
            <w:r>
              <w:rPr>
                <w:rFonts w:ascii="Arial" w:cs="Arial" w:eastAsia="Arial" w:hAnsi="Arial"/>
                <w:sz w:val="16"/>
                <w:szCs w:val="16"/>
                <w:color w:val="auto"/>
              </w:rPr>
              <w:t>combined annual revenues of approximately $162 million. By focusing on acquisitions that</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7020" w:type="dxa"/>
            <w:vAlign w:val="bottom"/>
            <w:vMerge w:val="continue"/>
          </w:tcPr>
          <w:p>
            <w:pPr>
              <w:spacing w:after="0"/>
              <w:rPr>
                <w:sz w:val="5"/>
                <w:szCs w:val="5"/>
                <w:color w:val="auto"/>
              </w:rPr>
            </w:pPr>
          </w:p>
        </w:tc>
        <w:tc>
          <w:tcPr>
            <w:tcW w:w="3780" w:type="dxa"/>
            <w:vAlign w:val="bottom"/>
            <w:vMerge w:val="restart"/>
          </w:tcPr>
          <w:p>
            <w:pPr>
              <w:ind w:left="500"/>
              <w:spacing w:after="0"/>
              <w:rPr>
                <w:sz w:val="20"/>
                <w:szCs w:val="20"/>
                <w:color w:val="auto"/>
              </w:rPr>
            </w:pPr>
            <w:r>
              <w:rPr>
                <w:rFonts w:ascii="Arial" w:cs="Arial" w:eastAsia="Arial" w:hAnsi="Arial"/>
                <w:sz w:val="16"/>
                <w:szCs w:val="16"/>
                <w:color w:val="auto"/>
              </w:rPr>
              <w:t>your participation at the Annual Meeting.</w:t>
            </w:r>
          </w:p>
        </w:tc>
        <w:tc>
          <w:tcPr>
            <w:tcW w:w="0" w:type="dxa"/>
            <w:vAlign w:val="bottom"/>
          </w:tcPr>
          <w:p>
            <w:pPr>
              <w:spacing w:after="0"/>
              <w:rPr>
                <w:sz w:val="1"/>
                <w:szCs w:val="1"/>
                <w:color w:val="auto"/>
              </w:rPr>
            </w:pPr>
          </w:p>
        </w:tc>
      </w:tr>
      <w:tr>
        <w:trPr>
          <w:trHeight w:val="144"/>
        </w:trPr>
        <w:tc>
          <w:tcPr>
            <w:tcW w:w="7020" w:type="dxa"/>
            <w:vAlign w:val="bottom"/>
            <w:vMerge w:val="restart"/>
          </w:tcPr>
          <w:p>
            <w:pPr>
              <w:spacing w:after="0"/>
              <w:rPr>
                <w:sz w:val="20"/>
                <w:szCs w:val="20"/>
                <w:color w:val="auto"/>
              </w:rPr>
            </w:pPr>
            <w:r>
              <w:rPr>
                <w:rFonts w:ascii="Arial" w:cs="Arial" w:eastAsia="Arial" w:hAnsi="Arial"/>
                <w:sz w:val="16"/>
                <w:szCs w:val="16"/>
                <w:color w:val="auto"/>
              </w:rPr>
              <w:t>fit culturally and make sense financially, we expanded our footprint domestically, as well as</w:t>
            </w: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7020" w:type="dxa"/>
            <w:vAlign w:val="bottom"/>
            <w:vMerge w:val="continue"/>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20"/>
                <w:szCs w:val="20"/>
                <w:color w:val="auto"/>
              </w:rPr>
            </w:pPr>
            <w:r>
              <w:rPr>
                <w:rFonts w:ascii="Arial" w:cs="Arial" w:eastAsia="Arial" w:hAnsi="Arial"/>
                <w:sz w:val="16"/>
                <w:szCs w:val="16"/>
                <w:color w:val="auto"/>
              </w:rPr>
              <w:t>in various international locations, including in the United Kingdom, Canada and various</w:t>
            </w:r>
          </w:p>
        </w:tc>
        <w:tc>
          <w:tcPr>
            <w:tcW w:w="3780" w:type="dxa"/>
            <w:vAlign w:val="bottom"/>
            <w:vMerge w:val="restart"/>
          </w:tcPr>
          <w:p>
            <w:pPr>
              <w:ind w:left="500"/>
              <w:spacing w:after="0"/>
              <w:rPr>
                <w:sz w:val="20"/>
                <w:szCs w:val="20"/>
                <w:color w:val="auto"/>
              </w:rPr>
            </w:pPr>
            <w:r>
              <w:rPr>
                <w:rFonts w:ascii="Arial" w:cs="Arial" w:eastAsia="Arial" w:hAnsi="Arial"/>
                <w:sz w:val="16"/>
                <w:szCs w:val="16"/>
                <w:color w:val="auto"/>
              </w:rPr>
              <w:t>Sincerely,</w:t>
            </w:r>
          </w:p>
        </w:tc>
        <w:tc>
          <w:tcPr>
            <w:tcW w:w="0" w:type="dxa"/>
            <w:vAlign w:val="bottom"/>
          </w:tcPr>
          <w:p>
            <w:pPr>
              <w:spacing w:after="0"/>
              <w:rPr>
                <w:sz w:val="1"/>
                <w:szCs w:val="1"/>
                <w:color w:val="auto"/>
              </w:rPr>
            </w:pPr>
          </w:p>
        </w:tc>
      </w:tr>
      <w:tr>
        <w:trPr>
          <w:trHeight w:val="78"/>
        </w:trPr>
        <w:tc>
          <w:tcPr>
            <w:tcW w:w="7020" w:type="dxa"/>
            <w:vAlign w:val="bottom"/>
            <w:vMerge w:val="restart"/>
          </w:tcPr>
          <w:p>
            <w:pPr>
              <w:spacing w:after="0"/>
              <w:rPr>
                <w:sz w:val="20"/>
                <w:szCs w:val="20"/>
                <w:color w:val="auto"/>
              </w:rPr>
            </w:pPr>
            <w:r>
              <w:rPr>
                <w:rFonts w:ascii="Arial" w:cs="Arial" w:eastAsia="Arial" w:hAnsi="Arial"/>
                <w:sz w:val="16"/>
                <w:szCs w:val="16"/>
                <w:color w:val="auto"/>
              </w:rPr>
              <w:t>Western European countries. We also increased our dividend for the 30th consecutive year,</w:t>
            </w: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7020" w:type="dxa"/>
            <w:vAlign w:val="bottom"/>
            <w:vMerge w:val="continue"/>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20"/>
                <w:szCs w:val="20"/>
                <w:color w:val="auto"/>
              </w:rPr>
            </w:pPr>
            <w:r>
              <w:rPr>
                <w:rFonts w:ascii="Arial" w:cs="Arial" w:eastAsia="Arial" w:hAnsi="Arial"/>
                <w:sz w:val="16"/>
                <w:szCs w:val="16"/>
                <w:color w:val="auto"/>
              </w:rPr>
              <w:t>returning approximately $135 million to shareholders in 2023, and continued to pay down</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20" w:type="dxa"/>
            <w:vAlign w:val="bottom"/>
          </w:tcPr>
          <w:p>
            <w:pPr>
              <w:spacing w:after="0"/>
              <w:rPr>
                <w:sz w:val="20"/>
                <w:szCs w:val="20"/>
                <w:color w:val="auto"/>
              </w:rPr>
            </w:pPr>
            <w:r>
              <w:rPr>
                <w:rFonts w:ascii="Arial" w:cs="Arial" w:eastAsia="Arial" w:hAnsi="Arial"/>
                <w:sz w:val="16"/>
                <w:szCs w:val="16"/>
                <w:color w:val="auto"/>
              </w:rPr>
              <w:t>our debt, as we have done before after large capital deployments.</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-175260</wp:posOffset>
            </wp:positionV>
            <wp:extent cx="1095375" cy="26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5375" cy="263525"/>
                    </a:xfrm>
                    <a:prstGeom prst="rect">
                      <a:avLst/>
                    </a:prstGeom>
                    <a:noFill/>
                  </pic:spPr>
                </pic:pic>
              </a:graphicData>
            </a:graphic>
          </wp:anchor>
        </w:drawing>
      </w:r>
    </w:p>
    <w:p>
      <w:pPr>
        <w:sectPr>
          <w:pgSz w:w="11900" w:h="16838" w:orient="portrait"/>
          <w:cols w:equalWidth="0" w:num="1">
            <w:col w:w="10880"/>
          </w:cols>
          <w:pgMar w:left="480" w:top="1440" w:right="539" w:bottom="1440" w:gutter="0" w:footer="0" w:header="0"/>
        </w:sectPr>
      </w:pPr>
    </w:p>
    <w:p>
      <w:pPr>
        <w:spacing w:after="0" w:line="96"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 xml:space="preserve">Our Board is committed to ongoing succession planning with the goal of attracting the most qualified director candidates with diverse backgrounds and skillsets to guide us on our journey as </w:t>
      </w:r>
      <w:r>
        <w:rPr>
          <w:rFonts w:ascii="Arial" w:cs="Arial" w:eastAsia="Arial" w:hAnsi="Arial"/>
          <w:sz w:val="16"/>
          <w:szCs w:val="16"/>
          <w:i w:val="1"/>
          <w:iCs w:val="1"/>
          <w:color w:val="auto"/>
        </w:rPr>
        <w:t>A Forever Company</w:t>
      </w:r>
      <w:r>
        <w:rPr>
          <w:rFonts w:ascii="Arial" w:cs="Arial" w:eastAsia="Arial" w:hAnsi="Arial"/>
          <w:sz w:val="16"/>
          <w:szCs w:val="16"/>
          <w:color w:val="auto"/>
        </w:rPr>
        <w:t>. To that end, between early 2023 and early 2024, we welcomed four highly qualified independent Board members who bring a combination of robust industry knowledge and extensive international experience.</w:t>
      </w:r>
    </w:p>
    <w:p>
      <w:pPr>
        <w:spacing w:after="0" w:line="87"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Whether or not you attend the virtual meeting, we encourage you to vote online, by phone or by signing and returning your proxy card promptly in the enclosed envelope to assure your shares will be represented at the meeting. If you decide to attend the virtual meeting and vote your shares electronically, you will, of course, have that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1430020</wp:posOffset>
            </wp:positionV>
            <wp:extent cx="6964045" cy="128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4045" cy="1282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002856"/>
        </w:rPr>
        <w:t>H. PALMER PROCTOR, JR.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1240155" cy="424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015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J. HYATT BROWN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Chairman of the Board</w:t>
      </w:r>
    </w:p>
    <w:p>
      <w:pPr>
        <w:spacing w:after="0" w:line="200" w:lineRule="exact"/>
        <w:rPr>
          <w:sz w:val="20"/>
          <w:szCs w:val="20"/>
          <w:color w:val="auto"/>
        </w:rPr>
      </w:pPr>
    </w:p>
    <w:p>
      <w:pPr>
        <w:sectPr>
          <w:pgSz w:w="11900" w:h="16838" w:orient="portrait"/>
          <w:cols w:equalWidth="0" w:num="2">
            <w:col w:w="6800" w:space="720"/>
            <w:col w:w="3360"/>
          </w:cols>
          <w:pgMar w:left="480" w:top="144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223"/>
        <w:spacing w:after="0"/>
        <w:tabs>
          <w:tab w:leader="none" w:pos="340" w:val="left"/>
        </w:tabs>
        <w:numPr>
          <w:ilvl w:val="0"/>
          <w:numId w:val="6"/>
        </w:numPr>
        <w:rPr>
          <w:rFonts w:ascii="Arial" w:cs="Arial" w:eastAsia="Arial" w:hAnsi="Arial"/>
          <w:sz w:val="20"/>
          <w:szCs w:val="20"/>
          <w:color w:val="1D4F90"/>
        </w:rPr>
      </w:pPr>
      <w:r>
        <w:rPr>
          <w:rFonts w:ascii="Arial" w:cs="Arial" w:eastAsia="Arial" w:hAnsi="Arial"/>
          <w:sz w:val="20"/>
          <w:szCs w:val="20"/>
          <w:color w:val="1D4F90"/>
        </w:rPr>
        <w:t>       “Fiscal 2023 was another outstanding year for Brown &amp; Brown,</w:t>
      </w:r>
    </w:p>
    <w:p>
      <w:pPr>
        <w:spacing w:after="0" w:line="30" w:lineRule="exact"/>
        <w:rPr>
          <w:rFonts w:ascii="Arial" w:cs="Arial" w:eastAsia="Arial" w:hAnsi="Arial"/>
          <w:sz w:val="20"/>
          <w:szCs w:val="20"/>
          <w:color w:val="1D4F90"/>
        </w:rPr>
      </w:pPr>
    </w:p>
    <w:p>
      <w:pPr>
        <w:ind w:left="340" w:hanging="223"/>
        <w:spacing w:after="0"/>
        <w:tabs>
          <w:tab w:leader="none" w:pos="340" w:val="left"/>
        </w:tabs>
        <w:numPr>
          <w:ilvl w:val="0"/>
          <w:numId w:val="6"/>
        </w:numPr>
        <w:rPr>
          <w:rFonts w:ascii="Arial" w:cs="Arial" w:eastAsia="Arial" w:hAnsi="Arial"/>
          <w:sz w:val="21"/>
          <w:szCs w:val="21"/>
          <w:color w:val="1D4F90"/>
        </w:rPr>
      </w:pPr>
      <w:r>
        <w:rPr>
          <w:rFonts w:ascii="Arial" w:cs="Arial" w:eastAsia="Arial" w:hAnsi="Arial"/>
          <w:sz w:val="21"/>
          <w:szCs w:val="21"/>
          <w:color w:val="1D4F90"/>
        </w:rPr>
        <w:t>       as we crossed our intermediate goal of $4 billion of annual</w:t>
      </w:r>
    </w:p>
    <w:p>
      <w:pPr>
        <w:ind w:left="340" w:hanging="223"/>
        <w:spacing w:after="0"/>
        <w:tabs>
          <w:tab w:leader="none" w:pos="340" w:val="left"/>
        </w:tabs>
        <w:numPr>
          <w:ilvl w:val="0"/>
          <w:numId w:val="6"/>
        </w:numPr>
        <w:rPr>
          <w:rFonts w:ascii="Arial" w:cs="Arial" w:eastAsia="Arial" w:hAnsi="Arial"/>
          <w:sz w:val="21"/>
          <w:szCs w:val="21"/>
          <w:color w:val="1D4F90"/>
        </w:rPr>
      </w:pPr>
      <w:r>
        <w:rPr>
          <w:rFonts w:ascii="Arial" w:cs="Arial" w:eastAsia="Arial" w:hAnsi="Arial"/>
          <w:sz w:val="21"/>
          <w:szCs w:val="21"/>
          <w:color w:val="1D4F90"/>
        </w:rPr>
        <w:t>       revenues, fueled by a combination of high-quality acquisitions</w:t>
      </w:r>
    </w:p>
    <w:p>
      <w:pPr>
        <w:ind w:left="340" w:hanging="223"/>
        <w:spacing w:after="0"/>
        <w:tabs>
          <w:tab w:leader="none" w:pos="340" w:val="left"/>
        </w:tabs>
        <w:numPr>
          <w:ilvl w:val="0"/>
          <w:numId w:val="6"/>
        </w:numPr>
        <w:rPr>
          <w:rFonts w:ascii="Arial" w:cs="Arial" w:eastAsia="Arial" w:hAnsi="Arial"/>
          <w:sz w:val="21"/>
          <w:szCs w:val="21"/>
          <w:color w:val="1D4F90"/>
        </w:rPr>
      </w:pPr>
      <w:r>
        <w:rPr>
          <w:rFonts w:ascii="Arial" w:cs="Arial" w:eastAsia="Arial" w:hAnsi="Arial"/>
          <w:sz w:val="21"/>
          <w:szCs w:val="21"/>
          <w:color w:val="1D4F90"/>
        </w:rPr>
        <w:t>       and strong company-wide organic revenue.”</w:t>
      </w:r>
    </w:p>
    <w:p>
      <w:pPr>
        <w:sectPr>
          <w:pgSz w:w="11900" w:h="16838" w:orient="portrait"/>
          <w:cols w:equalWidth="0" w:num="1">
            <w:col w:w="10880"/>
          </w:cols>
          <w:pgMar w:left="480" w:top="1440" w:right="5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369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Annual Meeting of Shareholders of Brown &amp; Brown, Inc. will be held virtually on Wednesday, May 8, 2024, at 9:00 a.m. (EDT),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33204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0415" cy="17145"/>
                    </a:xfrm>
                    <a:prstGeom prst="rect">
                      <a:avLst/>
                    </a:prstGeom>
                    <a:noFill/>
                  </pic:spPr>
                </pic:pic>
              </a:graphicData>
            </a:graphic>
          </wp:anchor>
        </w:drawing>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40" w:type="dxa"/>
            <w:vAlign w:val="bottom"/>
            <w:vMerge w:val="restart"/>
          </w:tcPr>
          <w:p>
            <w:pPr>
              <w:jc w:val="right"/>
              <w:spacing w:after="0"/>
              <w:rPr>
                <w:sz w:val="20"/>
                <w:szCs w:val="20"/>
                <w:color w:val="auto"/>
              </w:rPr>
            </w:pPr>
            <w:r>
              <w:rPr>
                <w:rFonts w:ascii="Arial" w:cs="Arial" w:eastAsia="Arial" w:hAnsi="Arial"/>
                <w:sz w:val="41"/>
                <w:szCs w:val="41"/>
                <w:color w:val="1D4F90"/>
                <w:w w:val="87"/>
              </w:rPr>
              <w:t>1</w:t>
            </w:r>
          </w:p>
        </w:tc>
        <w:tc>
          <w:tcPr>
            <w:tcW w:w="4000" w:type="dxa"/>
            <w:vAlign w:val="bottom"/>
          </w:tcPr>
          <w:p>
            <w:pPr>
              <w:ind w:left="120"/>
              <w:spacing w:after="0"/>
              <w:rPr>
                <w:sz w:val="20"/>
                <w:szCs w:val="20"/>
                <w:color w:val="auto"/>
              </w:rPr>
            </w:pPr>
            <w:r>
              <w:rPr>
                <w:rFonts w:ascii="Arial" w:cs="Arial" w:eastAsia="Arial" w:hAnsi="Arial"/>
                <w:sz w:val="16"/>
                <w:szCs w:val="16"/>
                <w:color w:val="auto"/>
                <w:w w:val="99"/>
              </w:rPr>
              <w:t>To elect fifteen (15) nominees to the Company’s Board</w:t>
            </w:r>
          </w:p>
        </w:tc>
        <w:tc>
          <w:tcPr>
            <w:tcW w:w="0" w:type="dxa"/>
            <w:vAlign w:val="bottom"/>
          </w:tcPr>
          <w:p>
            <w:pPr>
              <w:spacing w:after="0"/>
              <w:rPr>
                <w:sz w:val="1"/>
                <w:szCs w:val="1"/>
                <w:color w:val="auto"/>
              </w:rPr>
            </w:pPr>
          </w:p>
        </w:tc>
      </w:tr>
      <w:tr>
        <w:trPr>
          <w:trHeight w:val="187"/>
        </w:trPr>
        <w:tc>
          <w:tcPr>
            <w:tcW w:w="340" w:type="dxa"/>
            <w:vAlign w:val="bottom"/>
            <w:vMerge w:val="continue"/>
          </w:tcPr>
          <w:p>
            <w:pPr>
              <w:spacing w:after="0"/>
              <w:rPr>
                <w:sz w:val="16"/>
                <w:szCs w:val="16"/>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of Directors;</w:t>
            </w:r>
          </w:p>
        </w:tc>
        <w:tc>
          <w:tcPr>
            <w:tcW w:w="0" w:type="dxa"/>
            <w:vAlign w:val="bottom"/>
          </w:tcPr>
          <w:p>
            <w:pPr>
              <w:spacing w:after="0"/>
              <w:rPr>
                <w:sz w:val="1"/>
                <w:szCs w:val="1"/>
                <w:color w:val="auto"/>
              </w:rPr>
            </w:pPr>
          </w:p>
        </w:tc>
      </w:tr>
      <w:tr>
        <w:trPr>
          <w:trHeight w:val="221"/>
        </w:trPr>
        <w:tc>
          <w:tcPr>
            <w:tcW w:w="340" w:type="dxa"/>
            <w:vAlign w:val="bottom"/>
            <w:vMerge w:val="continue"/>
          </w:tcPr>
          <w:p>
            <w:pPr>
              <w:spacing w:after="0"/>
              <w:rPr>
                <w:sz w:val="19"/>
                <w:szCs w:val="19"/>
                <w:color w:val="auto"/>
              </w:rPr>
            </w:pPr>
          </w:p>
        </w:tc>
        <w:tc>
          <w:tcPr>
            <w:tcW w:w="4000" w:type="dxa"/>
            <w:vAlign w:val="bottom"/>
          </w:tcPr>
          <w:p>
            <w:pPr>
              <w:ind w:left="3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3320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0415"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-130810</wp:posOffset>
            </wp:positionV>
            <wp:extent cx="110490" cy="110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ratify the appointment of Deloitte &amp; Touche LLP as Brown &amp;</w:t>
      </w:r>
    </w:p>
    <w:p>
      <w:pPr>
        <w:spacing w:after="0" w:line="23" w:lineRule="exact"/>
        <w:rPr>
          <w:sz w:val="20"/>
          <w:szCs w:val="20"/>
          <w:color w:val="auto"/>
        </w:rPr>
      </w:pPr>
    </w:p>
    <w:p>
      <w:pPr>
        <w:ind w:left="540" w:right="220" w:hanging="459"/>
        <w:spacing w:after="0" w:line="181" w:lineRule="auto"/>
        <w:tabs>
          <w:tab w:leader="none" w:pos="540" w:val="left"/>
        </w:tabs>
        <w:numPr>
          <w:ilvl w:val="0"/>
          <w:numId w:val="7"/>
        </w:numPr>
        <w:rPr>
          <w:rFonts w:ascii="Arial" w:cs="Arial" w:eastAsia="Arial" w:hAnsi="Arial"/>
          <w:sz w:val="31"/>
          <w:szCs w:val="31"/>
          <w:color w:val="1D4F90"/>
        </w:rPr>
      </w:pPr>
      <w:r>
        <w:rPr>
          <w:rFonts w:ascii="Arial" w:cs="Arial" w:eastAsia="Arial" w:hAnsi="Arial"/>
          <w:sz w:val="14"/>
          <w:szCs w:val="14"/>
          <w:color w:val="auto"/>
        </w:rPr>
        <w:t>Brown, Inc.’s independent registered public accountants for the fiscal year ending December 31, 2024;</w:t>
      </w:r>
    </w:p>
    <w:p>
      <w:pPr>
        <w:ind w:left="540"/>
        <w:spacing w:after="0"/>
        <w:rPr>
          <w:rFonts w:ascii="Arial" w:cs="Arial" w:eastAsia="Arial" w:hAnsi="Arial"/>
          <w:sz w:val="31"/>
          <w:szCs w:val="31"/>
          <w:color w:val="1D4F90"/>
        </w:rPr>
      </w:pPr>
      <w:r>
        <w:rPr>
          <w:rFonts w:ascii="Arial" w:cs="Arial" w:eastAsia="Arial" w:hAnsi="Arial"/>
          <w:sz w:val="1"/>
          <w:szCs w:val="1"/>
          <w:color w:val="1D4F90"/>
        </w:rPr>
        <w:drawing>
          <wp:inline distT="0" distB="0" distL="0" distR="0">
            <wp:extent cx="110490" cy="1104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490" cy="110490"/>
                    </a:xfrm>
                    <a:prstGeom prst="rect">
                      <a:avLst/>
                    </a:prstGeom>
                    <a:noFill/>
                    <a:ln>
                      <a:noFill/>
                    </a:ln>
                  </pic:spPr>
                </pic:pic>
              </a:graphicData>
            </a:graphic>
          </wp:inline>
        </w:drawing>
      </w:r>
      <w:r>
        <w:rPr>
          <w:rFonts w:ascii="Arial" w:cs="Arial" w:eastAsia="Arial" w:hAnsi="Arial"/>
          <w:sz w:val="16"/>
          <w:szCs w:val="16"/>
          <w:b w:val="1"/>
          <w:bCs w:val="1"/>
          <w:color w:val="00285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3320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vMerge w:val="restart"/>
          </w:tcPr>
          <w:p>
            <w:pPr>
              <w:jc w:val="right"/>
              <w:spacing w:after="0"/>
              <w:rPr>
                <w:sz w:val="20"/>
                <w:szCs w:val="20"/>
                <w:color w:val="auto"/>
              </w:rPr>
            </w:pPr>
            <w:r>
              <w:rPr>
                <w:rFonts w:ascii="Arial" w:cs="Arial" w:eastAsia="Arial" w:hAnsi="Arial"/>
                <w:sz w:val="41"/>
                <w:szCs w:val="41"/>
                <w:color w:val="1D4F90"/>
              </w:rPr>
              <w:t>3</w:t>
            </w:r>
          </w:p>
        </w:tc>
        <w:tc>
          <w:tcPr>
            <w:tcW w:w="4820" w:type="dxa"/>
            <w:vAlign w:val="bottom"/>
          </w:tcPr>
          <w:p>
            <w:pPr>
              <w:ind w:left="120"/>
              <w:spacing w:after="0"/>
              <w:rPr>
                <w:sz w:val="20"/>
                <w:szCs w:val="20"/>
                <w:color w:val="auto"/>
              </w:rPr>
            </w:pPr>
            <w:r>
              <w:rPr>
                <w:rFonts w:ascii="Arial" w:cs="Arial" w:eastAsia="Arial" w:hAnsi="Arial"/>
                <w:sz w:val="16"/>
                <w:szCs w:val="16"/>
                <w:color w:val="auto"/>
              </w:rPr>
              <w:t>To approve, on an advisory basis, the compensation of named</w:t>
            </w:r>
          </w:p>
        </w:tc>
        <w:tc>
          <w:tcPr>
            <w:tcW w:w="0" w:type="dxa"/>
            <w:vAlign w:val="bottom"/>
          </w:tcPr>
          <w:p>
            <w:pPr>
              <w:spacing w:after="0"/>
              <w:rPr>
                <w:sz w:val="1"/>
                <w:szCs w:val="1"/>
                <w:color w:val="auto"/>
              </w:rPr>
            </w:pPr>
          </w:p>
        </w:tc>
      </w:tr>
      <w:tr>
        <w:trPr>
          <w:trHeight w:val="187"/>
        </w:trPr>
        <w:tc>
          <w:tcPr>
            <w:tcW w:w="420" w:type="dxa"/>
            <w:vAlign w:val="bottom"/>
            <w:vMerge w:val="continue"/>
          </w:tcPr>
          <w:p>
            <w:pPr>
              <w:spacing w:after="0"/>
              <w:rPr>
                <w:sz w:val="16"/>
                <w:szCs w:val="16"/>
                <w:color w:val="auto"/>
              </w:rPr>
            </w:pPr>
          </w:p>
        </w:tc>
        <w:tc>
          <w:tcPr>
            <w:tcW w:w="4820" w:type="dxa"/>
            <w:vAlign w:val="bottom"/>
          </w:tcPr>
          <w:p>
            <w:pPr>
              <w:ind w:left="120"/>
              <w:spacing w:after="0"/>
              <w:rPr>
                <w:sz w:val="20"/>
                <w:szCs w:val="20"/>
                <w:color w:val="auto"/>
              </w:rPr>
            </w:pPr>
            <w:r>
              <w:rPr>
                <w:rFonts w:ascii="Arial" w:cs="Arial" w:eastAsia="Arial" w:hAnsi="Arial"/>
                <w:sz w:val="16"/>
                <w:szCs w:val="16"/>
                <w:color w:val="auto"/>
              </w:rPr>
              <w:t>executive officers;</w:t>
            </w:r>
          </w:p>
        </w:tc>
        <w:tc>
          <w:tcPr>
            <w:tcW w:w="0" w:type="dxa"/>
            <w:vAlign w:val="bottom"/>
          </w:tcPr>
          <w:p>
            <w:pPr>
              <w:spacing w:after="0"/>
              <w:rPr>
                <w:sz w:val="1"/>
                <w:szCs w:val="1"/>
                <w:color w:val="auto"/>
              </w:rPr>
            </w:pPr>
          </w:p>
        </w:tc>
      </w:tr>
      <w:tr>
        <w:trPr>
          <w:trHeight w:val="215"/>
        </w:trPr>
        <w:tc>
          <w:tcPr>
            <w:tcW w:w="420" w:type="dxa"/>
            <w:vAlign w:val="bottom"/>
            <w:tcBorders>
              <w:bottom w:val="single" w:sz="8" w:color="4C4C4C"/>
            </w:tcBorders>
            <w:vMerge w:val="continue"/>
          </w:tcPr>
          <w:p>
            <w:pPr>
              <w:spacing w:after="0"/>
              <w:rPr>
                <w:sz w:val="18"/>
                <w:szCs w:val="18"/>
                <w:color w:val="auto"/>
              </w:rPr>
            </w:pPr>
          </w:p>
        </w:tc>
        <w:tc>
          <w:tcPr>
            <w:tcW w:w="4820" w:type="dxa"/>
            <w:vAlign w:val="bottom"/>
            <w:tcBorders>
              <w:bottom w:val="single" w:sz="8" w:color="4C4C4C"/>
            </w:tcBorders>
          </w:tcPr>
          <w:p>
            <w:pPr>
              <w:ind w:left="380"/>
              <w:spacing w:after="0"/>
              <w:rPr>
                <w:sz w:val="20"/>
                <w:szCs w:val="20"/>
                <w:color w:val="auto"/>
              </w:rPr>
            </w:pPr>
            <w:r>
              <w:rPr>
                <w:rFonts w:ascii="Arial" w:cs="Arial" w:eastAsia="Arial" w:hAnsi="Arial"/>
                <w:sz w:val="16"/>
                <w:szCs w:val="16"/>
                <w:b w:val="1"/>
                <w:bCs w:val="1"/>
                <w:color w:val="002856"/>
              </w:rPr>
              <w:t>FOR</w:t>
            </w:r>
          </w:p>
        </w:tc>
        <w:tc>
          <w:tcPr>
            <w:tcW w:w="0" w:type="dxa"/>
            <w:vAlign w:val="bottom"/>
          </w:tcPr>
          <w:p>
            <w:pPr>
              <w:spacing w:after="0"/>
              <w:rPr>
                <w:sz w:val="1"/>
                <w:szCs w:val="1"/>
                <w:color w:val="auto"/>
              </w:rPr>
            </w:pPr>
          </w:p>
        </w:tc>
      </w:tr>
      <w:tr>
        <w:trPr>
          <w:trHeight w:val="220"/>
        </w:trPr>
        <w:tc>
          <w:tcPr>
            <w:tcW w:w="420" w:type="dxa"/>
            <w:vAlign w:val="bottom"/>
            <w:vMerge w:val="restart"/>
          </w:tcPr>
          <w:p>
            <w:pPr>
              <w:jc w:val="right"/>
              <w:spacing w:after="0"/>
              <w:rPr>
                <w:sz w:val="20"/>
                <w:szCs w:val="20"/>
                <w:color w:val="auto"/>
              </w:rPr>
            </w:pPr>
            <w:r>
              <w:rPr>
                <w:rFonts w:ascii="Arial" w:cs="Arial" w:eastAsia="Arial" w:hAnsi="Arial"/>
                <w:sz w:val="41"/>
                <w:szCs w:val="41"/>
                <w:color w:val="1D4F90"/>
              </w:rPr>
              <w:t>4</w:t>
            </w:r>
          </w:p>
        </w:tc>
        <w:tc>
          <w:tcPr>
            <w:tcW w:w="4820" w:type="dxa"/>
            <w:vAlign w:val="bottom"/>
          </w:tcPr>
          <w:p>
            <w:pPr>
              <w:ind w:left="120"/>
              <w:spacing w:after="0"/>
              <w:rPr>
                <w:sz w:val="20"/>
                <w:szCs w:val="20"/>
                <w:color w:val="auto"/>
              </w:rPr>
            </w:pPr>
            <w:r>
              <w:rPr>
                <w:rFonts w:ascii="Arial" w:cs="Arial" w:eastAsia="Arial" w:hAnsi="Arial"/>
                <w:sz w:val="16"/>
                <w:szCs w:val="16"/>
                <w:color w:val="auto"/>
              </w:rPr>
              <w:t>To transact such other business as may properly come before the</w:t>
            </w:r>
          </w:p>
        </w:tc>
        <w:tc>
          <w:tcPr>
            <w:tcW w:w="0" w:type="dxa"/>
            <w:vAlign w:val="bottom"/>
          </w:tcPr>
          <w:p>
            <w:pPr>
              <w:spacing w:after="0"/>
              <w:rPr>
                <w:sz w:val="1"/>
                <w:szCs w:val="1"/>
                <w:color w:val="auto"/>
              </w:rPr>
            </w:pPr>
          </w:p>
        </w:tc>
      </w:tr>
      <w:tr>
        <w:trPr>
          <w:trHeight w:val="395"/>
        </w:trPr>
        <w:tc>
          <w:tcPr>
            <w:tcW w:w="420" w:type="dxa"/>
            <w:vAlign w:val="bottom"/>
            <w:tcBorders>
              <w:bottom w:val="single" w:sz="8" w:color="C6093B"/>
            </w:tcBorders>
            <w:vMerge w:val="continue"/>
          </w:tcPr>
          <w:p>
            <w:pPr>
              <w:spacing w:after="0"/>
              <w:rPr>
                <w:sz w:val="24"/>
                <w:szCs w:val="24"/>
                <w:color w:val="auto"/>
              </w:rPr>
            </w:pPr>
          </w:p>
        </w:tc>
        <w:tc>
          <w:tcPr>
            <w:tcW w:w="4820" w:type="dxa"/>
            <w:vAlign w:val="bottom"/>
            <w:tcBorders>
              <w:bottom w:val="single" w:sz="8" w:color="C6093B"/>
            </w:tcBorders>
          </w:tcPr>
          <w:p>
            <w:pPr>
              <w:ind w:left="120"/>
              <w:spacing w:after="0"/>
              <w:rPr>
                <w:sz w:val="20"/>
                <w:szCs w:val="20"/>
                <w:color w:val="auto"/>
              </w:rPr>
            </w:pPr>
            <w:r>
              <w:rPr>
                <w:rFonts w:ascii="Arial" w:cs="Arial" w:eastAsia="Arial" w:hAnsi="Arial"/>
                <w:sz w:val="16"/>
                <w:szCs w:val="16"/>
                <w:color w:val="auto"/>
              </w:rPr>
              <w:t>meeting or any adjournment thereof.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-542925</wp:posOffset>
            </wp:positionV>
            <wp:extent cx="110490" cy="110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80"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The Board of Directors has fixed the close of business on March 4, 2024, as the record date for the determination of shareholders entitled to notice of and to vote at the meeting and any postponements or adjournments.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1019175" cy="356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917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ANTHONY M. ROBINSON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Secretary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Daytona Beach, Florida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25,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-127635</wp:posOffset>
            </wp:positionV>
            <wp:extent cx="3397250" cy="5146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7250" cy="514667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You will be able to attend the Annual Meeting online, vote your shares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electronically and submit your questions during the Annual Meeting via 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live audio webcast by registering at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http://www.viewproxy.com/bbinsurance/2024/htype.asp by 11:59 p.m.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(EDT) on May 5, 2024. If you hold your shares beneficially through 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bank or broker, you must provide a legal proxy from your bank or broker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during registration, and you will be assigned a Virtual Control Number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order to vote your shares during the Annual Meeting. If you are unable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obtain a legal proxy to vote your shares, you will still be able to attend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(but will not be able to vote your shares) so long as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you demonstrate proof of stock ownership. Instructions on how to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connect and participate via the Internet, including how to demonstrate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proof of stock ownership, are posted at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http://www.viewproxy.com/bbinsurance/2024/htype.asp. For more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information, see “Attending the Virtual Annual Meeting” below.</w:t>
      </w:r>
    </w:p>
    <w:p>
      <w:pPr>
        <w:spacing w:after="0" w:line="108"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 replay of the webcast will be available in the “Investor Relations” section of our website (www.bbinsurance.com) beginning the afternoon of May 8, 2024, and continuing for 30 days thereafter.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How to Vote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1D4F90"/>
        </w:rPr>
        <w:t>By Internet</w:t>
      </w:r>
    </w:p>
    <w:p>
      <w:pPr>
        <w:spacing w:after="0" w:line="13" w:lineRule="exact"/>
        <w:rPr>
          <w:sz w:val="20"/>
          <w:szCs w:val="20"/>
          <w:color w:val="auto"/>
        </w:rPr>
      </w:pPr>
    </w:p>
    <w:p>
      <w:pPr>
        <w:ind w:left="900" w:right="220"/>
        <w:spacing w:after="0" w:line="244" w:lineRule="auto"/>
        <w:rPr>
          <w:sz w:val="20"/>
          <w:szCs w:val="20"/>
          <w:color w:val="auto"/>
        </w:rPr>
      </w:pPr>
      <w:r>
        <w:rPr>
          <w:rFonts w:ascii="Arial" w:cs="Arial" w:eastAsia="Arial" w:hAnsi="Arial"/>
          <w:sz w:val="14"/>
          <w:szCs w:val="14"/>
          <w:color w:val="auto"/>
        </w:rPr>
        <w:t>Prior to the Annual Meeting, you can vote your shares online via the website on your proxy card or voting instruction form. During the Annual Meeting, you can vote your shares online at www.AALvote.com/BRO. See “Attending the Virtual Annual Meeting” for more details.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1D4F90"/>
        </w:rPr>
        <w:t>By Telephone</w:t>
      </w:r>
    </w:p>
    <w:p>
      <w:pPr>
        <w:spacing w:after="0" w:line="13" w:lineRule="exact"/>
        <w:rPr>
          <w:sz w:val="20"/>
          <w:szCs w:val="20"/>
          <w:color w:val="auto"/>
        </w:rPr>
      </w:pPr>
    </w:p>
    <w:p>
      <w:pPr>
        <w:ind w:left="900" w:right="60"/>
        <w:spacing w:after="0" w:line="260" w:lineRule="auto"/>
        <w:rPr>
          <w:sz w:val="20"/>
          <w:szCs w:val="20"/>
          <w:color w:val="auto"/>
        </w:rPr>
      </w:pPr>
      <w:r>
        <w:rPr>
          <w:rFonts w:ascii="Arial" w:cs="Arial" w:eastAsia="Arial" w:hAnsi="Arial"/>
          <w:sz w:val="14"/>
          <w:szCs w:val="14"/>
          <w:color w:val="auto"/>
        </w:rPr>
        <w:t>In the U.S. or Canada, you can vote your shares toll-free by calling 1-866-804-9616.</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1D4F90"/>
        </w:rPr>
        <w:t>By Mail</w:t>
      </w:r>
    </w:p>
    <w:p>
      <w:pPr>
        <w:spacing w:after="0" w:line="13" w:lineRule="exact"/>
        <w:rPr>
          <w:sz w:val="20"/>
          <w:szCs w:val="20"/>
          <w:color w:val="auto"/>
        </w:rPr>
      </w:pPr>
    </w:p>
    <w:p>
      <w:pPr>
        <w:jc w:val="both"/>
        <w:ind w:left="900" w:right="120"/>
        <w:spacing w:after="0" w:line="249" w:lineRule="auto"/>
        <w:rPr>
          <w:sz w:val="20"/>
          <w:szCs w:val="20"/>
          <w:color w:val="auto"/>
        </w:rPr>
      </w:pPr>
      <w:r>
        <w:rPr>
          <w:rFonts w:ascii="Arial" w:cs="Arial" w:eastAsia="Arial" w:hAnsi="Arial"/>
          <w:sz w:val="14"/>
          <w:szCs w:val="14"/>
          <w:color w:val="auto"/>
        </w:rPr>
        <w:t>Please vote, date, sign and promptly return the enclosed proxy in the envelope provided for that purpose, whether or not you intend to be present at the meeting.</w:t>
      </w:r>
    </w:p>
    <w:p>
      <w:pPr>
        <w:spacing w:after="0" w:line="95" w:lineRule="exact"/>
        <w:rPr>
          <w:sz w:val="20"/>
          <w:szCs w:val="20"/>
          <w:color w:val="auto"/>
        </w:rPr>
      </w:pPr>
    </w:p>
    <w:p>
      <w:pPr>
        <w:jc w:val="both"/>
        <w:ind w:right="140"/>
        <w:spacing w:after="0" w:line="268" w:lineRule="auto"/>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MAY 8, 2024</w:t>
      </w:r>
    </w:p>
    <w:p>
      <w:pPr>
        <w:spacing w:after="0" w:line="66"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color w:val="auto"/>
        </w:rPr>
        <w:t>The Proxy Statement and Annual Report to Shareholders are available at: www.viewproxy.com/bbinsurance/2024.</w:t>
      </w:r>
    </w:p>
    <w:p>
      <w:pPr>
        <w:sectPr>
          <w:pgSz w:w="11900" w:h="16838" w:orient="portrait"/>
          <w:cols w:equalWidth="0" w:num="2">
            <w:col w:w="5240" w:space="500"/>
            <w:col w:w="5160"/>
          </w:cols>
          <w:pgMar w:left="480" w:top="1440" w:right="5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16"/>
          </w:tcPr>
          <w:p>
            <w:pPr>
              <w:spacing w:after="0"/>
              <w:rPr>
                <w:sz w:val="20"/>
                <w:szCs w:val="20"/>
                <w:color w:val="auto"/>
              </w:rPr>
            </w:pPr>
            <w:r>
              <w:rPr>
                <w:rFonts w:ascii="Arial" w:cs="Arial" w:eastAsia="Arial" w:hAnsi="Arial"/>
                <w:sz w:val="18"/>
                <w:szCs w:val="18"/>
                <w:b w:val="1"/>
                <w:bCs w:val="1"/>
                <w:color w:val="002856"/>
              </w:rPr>
              <w:t>MESSAGE FROM OUR CHAIRMAN AND OUR LEAD</w:t>
            </w:r>
          </w:p>
        </w:tc>
        <w:tc>
          <w:tcPr>
            <w:tcW w:w="840" w:type="dxa"/>
            <w:vAlign w:val="bottom"/>
          </w:tcPr>
          <w:p>
            <w:pPr>
              <w:spacing w:after="0"/>
              <w:rPr>
                <w:sz w:val="17"/>
                <w:szCs w:val="17"/>
                <w:color w:val="auto"/>
              </w:rPr>
            </w:pPr>
          </w:p>
        </w:tc>
        <w:tc>
          <w:tcPr>
            <w:tcW w:w="1580" w:type="dxa"/>
            <w:vAlign w:val="bottom"/>
            <w:gridSpan w:val="3"/>
            <w:vMerge w:val="restart"/>
          </w:tcPr>
          <w:p>
            <w:pPr>
              <w:spacing w:after="0"/>
              <w:rPr>
                <w:sz w:val="20"/>
                <w:szCs w:val="20"/>
                <w:color w:val="auto"/>
              </w:rPr>
            </w:pPr>
            <w:r>
              <w:rPr>
                <w:rFonts w:ascii="Arial" w:cs="Arial" w:eastAsia="Arial" w:hAnsi="Arial"/>
                <w:sz w:val="18"/>
                <w:szCs w:val="18"/>
                <w:color w:val="0000EE"/>
                <w:w w:val="97"/>
              </w:rPr>
              <w:t>Executive Summary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1"/>
        </w:trPr>
        <w:tc>
          <w:tcPr>
            <w:tcW w:w="4720" w:type="dxa"/>
            <w:vAlign w:val="bottom"/>
            <w:gridSpan w:val="16"/>
          </w:tcPr>
          <w:p>
            <w:pPr>
              <w:spacing w:after="0" w:line="159" w:lineRule="exact"/>
              <w:rPr>
                <w:sz w:val="20"/>
                <w:szCs w:val="20"/>
                <w:color w:val="auto"/>
              </w:rPr>
            </w:pPr>
            <w:r>
              <w:rPr>
                <w:rFonts w:ascii="Arial" w:cs="Arial" w:eastAsia="Arial" w:hAnsi="Arial"/>
                <w:sz w:val="18"/>
                <w:szCs w:val="18"/>
                <w:b w:val="1"/>
                <w:bCs w:val="1"/>
                <w:color w:val="002856"/>
              </w:rPr>
              <w:t>INDEPENDENT DIRECTOR</w:t>
            </w:r>
          </w:p>
        </w:tc>
        <w:tc>
          <w:tcPr>
            <w:tcW w:w="840" w:type="dxa"/>
            <w:vAlign w:val="bottom"/>
          </w:tcPr>
          <w:p>
            <w:pPr>
              <w:spacing w:after="0"/>
              <w:rPr>
                <w:sz w:val="14"/>
                <w:szCs w:val="14"/>
                <w:color w:val="auto"/>
              </w:rPr>
            </w:pPr>
          </w:p>
        </w:tc>
        <w:tc>
          <w:tcPr>
            <w:tcW w:w="1580" w:type="dxa"/>
            <w:vAlign w:val="bottom"/>
            <w:tcBorders>
              <w:bottom w:val="single" w:sz="8" w:color="0000EE"/>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4720" w:type="dxa"/>
            <w:vAlign w:val="bottom"/>
            <w:gridSpan w:val="16"/>
          </w:tcPr>
          <w:p>
            <w:pPr>
              <w:spacing w:after="0"/>
              <w:rPr>
                <w:sz w:val="20"/>
                <w:szCs w:val="20"/>
                <w:color w:val="auto"/>
              </w:rPr>
            </w:pPr>
            <w:r>
              <w:rPr>
                <w:rFonts w:ascii="Arial" w:cs="Arial" w:eastAsia="Arial" w:hAnsi="Arial"/>
                <w:sz w:val="18"/>
                <w:szCs w:val="18"/>
                <w:b w:val="1"/>
                <w:bCs w:val="1"/>
                <w:color w:val="002856"/>
              </w:rPr>
              <w:t>NOTICE OF ANNUAL MEETING OF SHAREHOLDERS</w:t>
            </w:r>
          </w:p>
        </w:tc>
        <w:tc>
          <w:tcPr>
            <w:tcW w:w="840" w:type="dxa"/>
            <w:vAlign w:val="bottom"/>
          </w:tcPr>
          <w:p>
            <w:pPr>
              <w:spacing w:after="0"/>
              <w:rPr>
                <w:sz w:val="24"/>
                <w:szCs w:val="24"/>
                <w:color w:val="auto"/>
              </w:rPr>
            </w:pP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Our Compensation Philosophy</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54"/>
        </w:trPr>
        <w:tc>
          <w:tcPr>
            <w:tcW w:w="4720" w:type="dxa"/>
            <w:vAlign w:val="bottom"/>
            <w:gridSpan w:val="16"/>
          </w:tcPr>
          <w:p>
            <w:pPr>
              <w:spacing w:after="0"/>
              <w:rPr>
                <w:sz w:val="20"/>
                <w:szCs w:val="20"/>
                <w:color w:val="auto"/>
              </w:rPr>
            </w:pPr>
            <w:r>
              <w:rPr>
                <w:rFonts w:ascii="Arial" w:cs="Arial" w:eastAsia="Arial" w:hAnsi="Arial"/>
                <w:sz w:val="18"/>
                <w:szCs w:val="18"/>
                <w:b w:val="1"/>
                <w:bCs w:val="1"/>
                <w:color w:val="0000EE"/>
              </w:rPr>
              <w:t>PROXY SUMMARY</w:t>
            </w:r>
          </w:p>
        </w:tc>
        <w:tc>
          <w:tcPr>
            <w:tcW w:w="840" w:type="dxa"/>
            <w:vAlign w:val="bottom"/>
          </w:tcPr>
          <w:p>
            <w:pPr>
              <w:jc w:val="right"/>
              <w:ind w:right="311"/>
              <w:spacing w:after="0"/>
              <w:rPr>
                <w:sz w:val="20"/>
                <w:szCs w:val="20"/>
                <w:color w:val="auto"/>
              </w:rPr>
            </w:pPr>
            <w:r>
              <w:rPr>
                <w:rFonts w:ascii="Arial" w:cs="Arial" w:eastAsia="Arial" w:hAnsi="Arial"/>
                <w:sz w:val="18"/>
                <w:szCs w:val="18"/>
                <w:b w:val="1"/>
                <w:bCs w:val="1"/>
                <w:color w:val="002856"/>
              </w:rPr>
              <w:t>1</w:t>
            </w:r>
          </w:p>
        </w:tc>
        <w:tc>
          <w:tcPr>
            <w:tcW w:w="22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Compensation Components</w:t>
            </w:r>
          </w:p>
        </w:tc>
        <w:tc>
          <w:tcPr>
            <w:tcW w:w="3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gridSpan w:val="6"/>
            <w:vMerge w:val="restart"/>
          </w:tcPr>
          <w:p>
            <w:pPr>
              <w:spacing w:after="0"/>
              <w:rPr>
                <w:sz w:val="20"/>
                <w:szCs w:val="20"/>
                <w:color w:val="auto"/>
              </w:rPr>
            </w:pPr>
            <w:r>
              <w:rPr>
                <w:rFonts w:ascii="Arial" w:cs="Arial" w:eastAsia="Arial" w:hAnsi="Arial"/>
                <w:sz w:val="18"/>
                <w:szCs w:val="18"/>
                <w:color w:val="0000EE"/>
                <w:w w:val="97"/>
              </w:rPr>
              <w:t>How We Set Compensation</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b w:val="1"/>
                <w:bCs w:val="1"/>
                <w:color w:val="0000EE"/>
              </w:rPr>
              <w:t>BOARD AND CORPORATE GOVERNANCE MATTERS</w:t>
            </w:r>
          </w:p>
        </w:tc>
        <w:tc>
          <w:tcPr>
            <w:tcW w:w="840" w:type="dxa"/>
            <w:vAlign w:val="bottom"/>
          </w:tcPr>
          <w:p>
            <w:pPr>
              <w:jc w:val="right"/>
              <w:ind w:right="311"/>
              <w:spacing w:after="0"/>
              <w:rPr>
                <w:sz w:val="20"/>
                <w:szCs w:val="20"/>
                <w:color w:val="auto"/>
              </w:rPr>
            </w:pPr>
            <w:r>
              <w:rPr>
                <w:rFonts w:ascii="Arial" w:cs="Arial" w:eastAsia="Arial" w:hAnsi="Arial"/>
                <w:sz w:val="18"/>
                <w:szCs w:val="18"/>
                <w:b w:val="1"/>
                <w:bCs w:val="1"/>
                <w:color w:val="002856"/>
              </w:rPr>
              <w:t>4</w:t>
            </w:r>
          </w:p>
        </w:tc>
        <w:tc>
          <w:tcPr>
            <w:tcW w:w="2180" w:type="dxa"/>
            <w:vAlign w:val="bottom"/>
            <w:tcBorders>
              <w:bottom w:val="single" w:sz="8" w:color="0000EE"/>
            </w:tcBorders>
            <w:gridSpan w:val="6"/>
            <w:vMerge w:val="continue"/>
          </w:tcPr>
          <w:p>
            <w:pPr>
              <w:spacing w:after="0"/>
              <w:rPr>
                <w:sz w:val="24"/>
                <w:szCs w:val="24"/>
                <w:color w:val="auto"/>
              </w:rPr>
            </w:pPr>
          </w:p>
        </w:tc>
        <w:tc>
          <w:tcPr>
            <w:tcW w:w="3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4"/>
            <w:vMerge w:val="restart"/>
          </w:tcPr>
          <w:p>
            <w:pPr>
              <w:spacing w:after="0"/>
              <w:rPr>
                <w:sz w:val="20"/>
                <w:szCs w:val="20"/>
                <w:color w:val="auto"/>
              </w:rPr>
            </w:pPr>
            <w:r>
              <w:rPr>
                <w:rFonts w:ascii="Arial" w:cs="Arial" w:eastAsia="Arial" w:hAnsi="Arial"/>
                <w:sz w:val="18"/>
                <w:szCs w:val="18"/>
                <w:color w:val="0000EE"/>
                <w:w w:val="98"/>
              </w:rPr>
              <w:t>2023 Compensation</w:t>
            </w: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b w:val="1"/>
                <w:bCs w:val="1"/>
                <w:color w:val="0000EE"/>
              </w:rPr>
              <w:t>Proposal 1: Election of Directors</w:t>
            </w:r>
          </w:p>
        </w:tc>
        <w:tc>
          <w:tcPr>
            <w:tcW w:w="840" w:type="dxa"/>
            <w:vAlign w:val="bottom"/>
          </w:tcPr>
          <w:p>
            <w:pPr>
              <w:jc w:val="right"/>
              <w:ind w:right="311"/>
              <w:spacing w:after="0"/>
              <w:rPr>
                <w:sz w:val="20"/>
                <w:szCs w:val="20"/>
                <w:color w:val="auto"/>
              </w:rPr>
            </w:pPr>
            <w:r>
              <w:rPr>
                <w:rFonts w:ascii="Arial" w:cs="Arial" w:eastAsia="Arial" w:hAnsi="Arial"/>
                <w:sz w:val="18"/>
                <w:szCs w:val="18"/>
                <w:b w:val="1"/>
                <w:bCs w:val="1"/>
                <w:color w:val="1D4F90"/>
              </w:rPr>
              <w:t>4</w:t>
            </w:r>
          </w:p>
        </w:tc>
        <w:tc>
          <w:tcPr>
            <w:tcW w:w="1600" w:type="dxa"/>
            <w:vAlign w:val="bottom"/>
            <w:tcBorders>
              <w:bottom w:val="single" w:sz="8" w:color="0000EE"/>
            </w:tcBorders>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4"/>
            <w:vMerge w:val="restart"/>
          </w:tcPr>
          <w:p>
            <w:pPr>
              <w:spacing w:after="0"/>
              <w:rPr>
                <w:sz w:val="20"/>
                <w:szCs w:val="20"/>
                <w:color w:val="auto"/>
              </w:rPr>
            </w:pPr>
            <w:r>
              <w:rPr>
                <w:rFonts w:ascii="Arial" w:cs="Arial" w:eastAsia="Arial" w:hAnsi="Arial"/>
                <w:sz w:val="18"/>
                <w:szCs w:val="18"/>
                <w:color w:val="0000EE"/>
                <w:w w:val="98"/>
              </w:rPr>
              <w:t>2024 Compensation</w:t>
            </w: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color w:val="0000EE"/>
              </w:rPr>
              <w:t>Director Nominees</w:t>
            </w:r>
          </w:p>
        </w:tc>
        <w:tc>
          <w:tcPr>
            <w:tcW w:w="840" w:type="dxa"/>
            <w:vAlign w:val="bottom"/>
          </w:tcPr>
          <w:p>
            <w:pPr>
              <w:jc w:val="right"/>
              <w:ind w:right="311"/>
              <w:spacing w:after="0"/>
              <w:rPr>
                <w:sz w:val="20"/>
                <w:szCs w:val="20"/>
                <w:color w:val="auto"/>
              </w:rPr>
            </w:pPr>
            <w:r>
              <w:rPr>
                <w:rFonts w:ascii="Arial" w:cs="Arial" w:eastAsia="Arial" w:hAnsi="Arial"/>
                <w:sz w:val="18"/>
                <w:szCs w:val="18"/>
                <w:color w:val="auto"/>
              </w:rPr>
              <w:t>5</w:t>
            </w:r>
          </w:p>
        </w:tc>
        <w:tc>
          <w:tcPr>
            <w:tcW w:w="1600" w:type="dxa"/>
            <w:vAlign w:val="bottom"/>
            <w:tcBorders>
              <w:bottom w:val="single" w:sz="8" w:color="0000EE"/>
            </w:tcBorders>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gridSpan w:val="5"/>
            <w:vMerge w:val="restart"/>
          </w:tcPr>
          <w:p>
            <w:pPr>
              <w:spacing w:after="0"/>
              <w:rPr>
                <w:sz w:val="20"/>
                <w:szCs w:val="20"/>
                <w:color w:val="auto"/>
              </w:rPr>
            </w:pPr>
            <w:r>
              <w:rPr>
                <w:rFonts w:ascii="Arial" w:cs="Arial" w:eastAsia="Arial" w:hAnsi="Arial"/>
                <w:sz w:val="18"/>
                <w:szCs w:val="18"/>
                <w:color w:val="0000EE"/>
                <w:w w:val="97"/>
              </w:rPr>
              <w:t>Other Compensation</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color w:val="0000EE"/>
              </w:rPr>
              <w:t>The Board’s Role and Responsibilities</w:t>
            </w:r>
          </w:p>
        </w:tc>
        <w:tc>
          <w:tcPr>
            <w:tcW w:w="840" w:type="dxa"/>
            <w:vAlign w:val="bottom"/>
          </w:tcPr>
          <w:p>
            <w:pPr>
              <w:jc w:val="right"/>
              <w:ind w:right="311"/>
              <w:spacing w:after="0"/>
              <w:rPr>
                <w:sz w:val="20"/>
                <w:szCs w:val="20"/>
                <w:color w:val="auto"/>
              </w:rPr>
            </w:pPr>
            <w:r>
              <w:rPr>
                <w:rFonts w:ascii="Arial" w:cs="Arial" w:eastAsia="Arial" w:hAnsi="Arial"/>
                <w:sz w:val="18"/>
                <w:szCs w:val="18"/>
                <w:color w:val="auto"/>
              </w:rPr>
              <w:t>15</w:t>
            </w:r>
          </w:p>
        </w:tc>
        <w:tc>
          <w:tcPr>
            <w:tcW w:w="1640" w:type="dxa"/>
            <w:vAlign w:val="bottom"/>
            <w:tcBorders>
              <w:bottom w:val="single" w:sz="8" w:color="0000EE"/>
            </w:tcBorders>
            <w:gridSpan w:val="5"/>
            <w:vMerge w:val="continue"/>
          </w:tcPr>
          <w:p>
            <w:pPr>
              <w:spacing w:after="0"/>
              <w:rPr>
                <w:sz w:val="24"/>
                <w:szCs w:val="24"/>
                <w:color w:val="auto"/>
              </w:rPr>
            </w:pPr>
          </w:p>
        </w:tc>
        <w:tc>
          <w:tcPr>
            <w:tcW w:w="8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3"/>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40" w:type="dxa"/>
            <w:vAlign w:val="bottom"/>
            <w:gridSpan w:val="15"/>
            <w:vMerge w:val="restart"/>
          </w:tcPr>
          <w:p>
            <w:pPr>
              <w:spacing w:after="0"/>
              <w:rPr>
                <w:sz w:val="20"/>
                <w:szCs w:val="20"/>
                <w:color w:val="auto"/>
              </w:rPr>
            </w:pPr>
            <w:r>
              <w:rPr>
                <w:rFonts w:ascii="Arial" w:cs="Arial" w:eastAsia="Arial" w:hAnsi="Arial"/>
                <w:sz w:val="18"/>
                <w:szCs w:val="18"/>
                <w:color w:val="0000EE"/>
                <w:w w:val="98"/>
              </w:rPr>
              <w:t>Employment and Deferred Compensation Arrangements</w:t>
            </w:r>
          </w:p>
        </w:tc>
        <w:tc>
          <w:tcPr>
            <w:tcW w:w="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color w:val="0000EE"/>
              </w:rPr>
              <w:t>Board Structure and Process</w:t>
            </w:r>
          </w:p>
        </w:tc>
        <w:tc>
          <w:tcPr>
            <w:tcW w:w="840" w:type="dxa"/>
            <w:vAlign w:val="bottom"/>
          </w:tcPr>
          <w:p>
            <w:pPr>
              <w:jc w:val="right"/>
              <w:ind w:right="311"/>
              <w:spacing w:after="0"/>
              <w:rPr>
                <w:sz w:val="20"/>
                <w:szCs w:val="20"/>
                <w:color w:val="auto"/>
              </w:rPr>
            </w:pPr>
            <w:r>
              <w:rPr>
                <w:rFonts w:ascii="Arial" w:cs="Arial" w:eastAsia="Arial" w:hAnsi="Arial"/>
                <w:sz w:val="18"/>
                <w:szCs w:val="18"/>
                <w:color w:val="auto"/>
              </w:rPr>
              <w:t>17</w:t>
            </w:r>
          </w:p>
        </w:tc>
        <w:tc>
          <w:tcPr>
            <w:tcW w:w="4440" w:type="dxa"/>
            <w:vAlign w:val="bottom"/>
            <w:tcBorders>
              <w:bottom w:val="single" w:sz="8" w:color="0000EE"/>
            </w:tcBorders>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3"/>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gridSpan w:val="13"/>
            <w:vMerge w:val="restart"/>
          </w:tcPr>
          <w:p>
            <w:pPr>
              <w:spacing w:after="0"/>
              <w:rPr>
                <w:sz w:val="20"/>
                <w:szCs w:val="20"/>
                <w:color w:val="auto"/>
              </w:rPr>
            </w:pPr>
            <w:r>
              <w:rPr>
                <w:rFonts w:ascii="Arial" w:cs="Arial" w:eastAsia="Arial" w:hAnsi="Arial"/>
                <w:sz w:val="18"/>
                <w:szCs w:val="18"/>
                <w:color w:val="0000EE"/>
                <w:w w:val="98"/>
              </w:rPr>
              <w:t>Hedging and Pledging Policies; Stock Ownership</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720" w:type="dxa"/>
            <w:vAlign w:val="bottom"/>
            <w:gridSpan w:val="16"/>
          </w:tcPr>
          <w:p>
            <w:pPr>
              <w:spacing w:after="0"/>
              <w:rPr>
                <w:sz w:val="20"/>
                <w:szCs w:val="20"/>
                <w:color w:val="auto"/>
              </w:rPr>
            </w:pPr>
            <w:r>
              <w:rPr>
                <w:rFonts w:ascii="Arial" w:cs="Arial" w:eastAsia="Arial" w:hAnsi="Arial"/>
                <w:sz w:val="18"/>
                <w:szCs w:val="18"/>
                <w:color w:val="0000EE"/>
              </w:rPr>
              <w:t>Meetings and Attendance</w:t>
            </w:r>
          </w:p>
        </w:tc>
        <w:tc>
          <w:tcPr>
            <w:tcW w:w="840" w:type="dxa"/>
            <w:vAlign w:val="bottom"/>
          </w:tcPr>
          <w:p>
            <w:pPr>
              <w:jc w:val="right"/>
              <w:ind w:right="311"/>
              <w:spacing w:after="0"/>
              <w:rPr>
                <w:sz w:val="20"/>
                <w:szCs w:val="20"/>
                <w:color w:val="auto"/>
              </w:rPr>
            </w:pPr>
            <w:r>
              <w:rPr>
                <w:rFonts w:ascii="Arial" w:cs="Arial" w:eastAsia="Arial" w:hAnsi="Arial"/>
                <w:sz w:val="18"/>
                <w:szCs w:val="18"/>
                <w:color w:val="auto"/>
              </w:rPr>
              <w:t>20</w:t>
            </w:r>
          </w:p>
        </w:tc>
        <w:tc>
          <w:tcPr>
            <w:tcW w:w="3860" w:type="dxa"/>
            <w:vAlign w:val="bottom"/>
            <w:tcBorders>
              <w:bottom w:val="single" w:sz="8" w:color="0000EE"/>
            </w:tcBorders>
            <w:gridSpan w:val="13"/>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gridSpan w:val="16"/>
            <w:vMerge w:val="restart"/>
          </w:tcPr>
          <w:p>
            <w:pPr>
              <w:spacing w:after="0" w:line="181" w:lineRule="exact"/>
              <w:rPr>
                <w:sz w:val="20"/>
                <w:szCs w:val="20"/>
                <w:color w:val="auto"/>
              </w:rPr>
            </w:pPr>
            <w:r>
              <w:rPr>
                <w:rFonts w:ascii="Arial" w:cs="Arial" w:eastAsia="Arial" w:hAnsi="Arial"/>
                <w:sz w:val="18"/>
                <w:szCs w:val="18"/>
                <w:color w:val="0000EE"/>
              </w:rPr>
              <w:t>Requirements; Clawback Policy</w:t>
            </w:r>
          </w:p>
        </w:tc>
        <w:tc>
          <w:tcPr>
            <w:tcW w:w="660" w:type="dxa"/>
            <w:vAlign w:val="bottom"/>
            <w:vMerge w:val="restart"/>
          </w:tcPr>
          <w:p>
            <w:pPr>
              <w:jc w:val="right"/>
              <w:spacing w:after="0" w:line="181"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41"/>
        </w:trPr>
        <w:tc>
          <w:tcPr>
            <w:tcW w:w="1820" w:type="dxa"/>
            <w:vAlign w:val="bottom"/>
            <w:gridSpan w:val="4"/>
            <w:vMerge w:val="restart"/>
          </w:tcPr>
          <w:p>
            <w:pPr>
              <w:spacing w:after="0"/>
              <w:rPr>
                <w:sz w:val="20"/>
                <w:szCs w:val="20"/>
                <w:color w:val="auto"/>
              </w:rPr>
            </w:pPr>
            <w:r>
              <w:rPr>
                <w:rFonts w:ascii="Arial" w:cs="Arial" w:eastAsia="Arial" w:hAnsi="Arial"/>
                <w:sz w:val="18"/>
                <w:szCs w:val="18"/>
                <w:color w:val="0000EE"/>
                <w:w w:val="97"/>
              </w:rPr>
              <w:t>Director Compensation</w:t>
            </w:r>
          </w:p>
        </w:tc>
        <w:tc>
          <w:tcPr>
            <w:tcW w:w="2900" w:type="dxa"/>
            <w:vAlign w:val="bottom"/>
            <w:gridSpan w:val="12"/>
            <w:vMerge w:val="restart"/>
          </w:tcPr>
          <w:p>
            <w:pPr>
              <w:spacing w:after="0"/>
              <w:rPr>
                <w:sz w:val="12"/>
                <w:szCs w:val="12"/>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8"/>
                <w:szCs w:val="18"/>
                <w:color w:val="auto"/>
              </w:rPr>
              <w:t>20</w:t>
            </w:r>
          </w:p>
        </w:tc>
        <w:tc>
          <w:tcPr>
            <w:tcW w:w="4620" w:type="dxa"/>
            <w:vAlign w:val="bottom"/>
            <w:gridSpan w:val="16"/>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gridSpan w:val="4"/>
            <w:vMerge w:val="continue"/>
          </w:tcPr>
          <w:p>
            <w:pPr>
              <w:spacing w:after="0" w:line="20" w:lineRule="exact"/>
              <w:rPr>
                <w:sz w:val="1"/>
                <w:szCs w:val="1"/>
                <w:color w:val="auto"/>
              </w:rPr>
            </w:pPr>
          </w:p>
        </w:tc>
        <w:tc>
          <w:tcPr>
            <w:tcW w:w="2900" w:type="dxa"/>
            <w:vAlign w:val="bottom"/>
            <w:gridSpan w:val="12"/>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20" w:type="dxa"/>
            <w:vAlign w:val="bottom"/>
            <w:tcBorders>
              <w:bottom w:val="single" w:sz="8" w:color="0000EE"/>
            </w:tcBorders>
            <w:gridSpan w:val="4"/>
            <w:vMerge w:val="continue"/>
          </w:tcPr>
          <w:p>
            <w:pPr>
              <w:spacing w:after="0"/>
              <w:rPr>
                <w:sz w:val="15"/>
                <w:szCs w:val="15"/>
                <w:color w:val="auto"/>
              </w:rPr>
            </w:pPr>
          </w:p>
        </w:tc>
        <w:tc>
          <w:tcPr>
            <w:tcW w:w="2900" w:type="dxa"/>
            <w:vAlign w:val="bottom"/>
            <w:gridSpan w:val="1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20" w:type="dxa"/>
            <w:vAlign w:val="bottom"/>
            <w:gridSpan w:val="16"/>
            <w:vMerge w:val="restart"/>
          </w:tcPr>
          <w:p>
            <w:pPr>
              <w:spacing w:after="0"/>
              <w:rPr>
                <w:sz w:val="20"/>
                <w:szCs w:val="20"/>
                <w:color w:val="auto"/>
              </w:rPr>
            </w:pPr>
            <w:r>
              <w:rPr>
                <w:rFonts w:ascii="Arial" w:cs="Arial" w:eastAsia="Arial" w:hAnsi="Arial"/>
                <w:sz w:val="18"/>
                <w:szCs w:val="18"/>
                <w:b w:val="1"/>
                <w:bCs w:val="1"/>
                <w:color w:val="0000EE"/>
              </w:rPr>
              <w:t>EXECUTIVE COMPENSATION TABLES</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48</w:t>
            </w:r>
          </w:p>
        </w:tc>
        <w:tc>
          <w:tcPr>
            <w:tcW w:w="0" w:type="dxa"/>
            <w:vAlign w:val="bottom"/>
          </w:tcPr>
          <w:p>
            <w:pPr>
              <w:spacing w:after="0"/>
              <w:rPr>
                <w:sz w:val="1"/>
                <w:szCs w:val="1"/>
                <w:color w:val="auto"/>
              </w:rPr>
            </w:pPr>
          </w:p>
        </w:tc>
      </w:tr>
      <w:tr>
        <w:trPr>
          <w:trHeight w:val="154"/>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0000EE"/>
                <w:w w:val="96"/>
              </w:rPr>
              <w:t>AUDIT MATTERS</w:t>
            </w:r>
          </w:p>
        </w:tc>
        <w:tc>
          <w:tcPr>
            <w:tcW w:w="3280" w:type="dxa"/>
            <w:vAlign w:val="bottom"/>
            <w:gridSpan w:val="15"/>
            <w:vMerge w:val="restart"/>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002856"/>
              </w:rPr>
              <w:t>23</w:t>
            </w:r>
          </w:p>
        </w:tc>
        <w:tc>
          <w:tcPr>
            <w:tcW w:w="4620" w:type="dxa"/>
            <w:vAlign w:val="bottom"/>
            <w:gridSpan w:val="16"/>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440" w:type="dxa"/>
            <w:vAlign w:val="bottom"/>
            <w:tcBorders>
              <w:bottom w:val="single" w:sz="8" w:color="0000EE"/>
            </w:tcBorders>
            <w:vMerge w:val="continue"/>
          </w:tcPr>
          <w:p>
            <w:pPr>
              <w:spacing w:after="0"/>
              <w:rPr>
                <w:sz w:val="15"/>
                <w:szCs w:val="15"/>
                <w:color w:val="auto"/>
              </w:rPr>
            </w:pPr>
          </w:p>
        </w:tc>
        <w:tc>
          <w:tcPr>
            <w:tcW w:w="3280" w:type="dxa"/>
            <w:vAlign w:val="bottom"/>
            <w:gridSpan w:val="15"/>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240" w:type="dxa"/>
            <w:vAlign w:val="bottom"/>
            <w:tcBorders>
              <w:top w:val="single" w:sz="8" w:color="0000EE"/>
              <w:bottom w:val="single" w:sz="8" w:color="0000EE"/>
            </w:tcBorders>
            <w:gridSpan w:val="12"/>
            <w:vMerge w:val="restart"/>
          </w:tcPr>
          <w:p>
            <w:pPr>
              <w:spacing w:after="0"/>
              <w:rPr>
                <w:sz w:val="20"/>
                <w:szCs w:val="20"/>
                <w:color w:val="auto"/>
              </w:rPr>
            </w:pPr>
            <w:r>
              <w:rPr>
                <w:rFonts w:ascii="Arial" w:cs="Arial" w:eastAsia="Arial" w:hAnsi="Arial"/>
                <w:sz w:val="18"/>
                <w:szCs w:val="18"/>
                <w:b w:val="1"/>
                <w:bCs w:val="1"/>
                <w:color w:val="0000EE"/>
              </w:rPr>
              <w:t>PAY RATIO</w:t>
            </w:r>
          </w:p>
        </w:tc>
        <w:tc>
          <w:tcPr>
            <w:tcW w:w="1380" w:type="dxa"/>
            <w:vAlign w:val="bottom"/>
            <w:gridSpan w:val="4"/>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56</w:t>
            </w:r>
          </w:p>
        </w:tc>
        <w:tc>
          <w:tcPr>
            <w:tcW w:w="0" w:type="dxa"/>
            <w:vAlign w:val="bottom"/>
          </w:tcPr>
          <w:p>
            <w:pPr>
              <w:spacing w:after="0"/>
              <w:rPr>
                <w:sz w:val="1"/>
                <w:szCs w:val="1"/>
                <w:color w:val="auto"/>
              </w:rPr>
            </w:pPr>
          </w:p>
        </w:tc>
      </w:tr>
      <w:tr>
        <w:trPr>
          <w:trHeight w:val="154"/>
        </w:trPr>
        <w:tc>
          <w:tcPr>
            <w:tcW w:w="4720" w:type="dxa"/>
            <w:vAlign w:val="bottom"/>
            <w:gridSpan w:val="16"/>
            <w:vMerge w:val="restart"/>
          </w:tcPr>
          <w:p>
            <w:pPr>
              <w:spacing w:after="0"/>
              <w:rPr>
                <w:sz w:val="20"/>
                <w:szCs w:val="20"/>
                <w:color w:val="auto"/>
              </w:rPr>
            </w:pPr>
            <w:r>
              <w:rPr>
                <w:rFonts w:ascii="Arial" w:cs="Arial" w:eastAsia="Arial" w:hAnsi="Arial"/>
                <w:sz w:val="18"/>
                <w:szCs w:val="18"/>
                <w:b w:val="1"/>
                <w:bCs w:val="1"/>
                <w:color w:val="0000EE"/>
              </w:rPr>
              <w:t>Proposal 2: Ratification of the Appointment of</w:t>
            </w:r>
          </w:p>
        </w:tc>
        <w:tc>
          <w:tcPr>
            <w:tcW w:w="840" w:type="dxa"/>
            <w:vAlign w:val="bottom"/>
          </w:tcPr>
          <w:p>
            <w:pPr>
              <w:spacing w:after="0"/>
              <w:rPr>
                <w:sz w:val="13"/>
                <w:szCs w:val="13"/>
                <w:color w:val="auto"/>
              </w:rPr>
            </w:pPr>
          </w:p>
        </w:tc>
        <w:tc>
          <w:tcPr>
            <w:tcW w:w="3240" w:type="dxa"/>
            <w:vAlign w:val="bottom"/>
            <w:gridSpan w:val="12"/>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gridSpan w:val="16"/>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20" w:type="dxa"/>
            <w:vAlign w:val="bottom"/>
            <w:gridSpan w:val="16"/>
            <w:vMerge w:val="continue"/>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gridSpan w:val="10"/>
            <w:vMerge w:val="restart"/>
          </w:tcPr>
          <w:p>
            <w:pPr>
              <w:spacing w:after="0"/>
              <w:rPr>
                <w:sz w:val="20"/>
                <w:szCs w:val="20"/>
                <w:color w:val="auto"/>
              </w:rPr>
            </w:pPr>
            <w:r>
              <w:rPr>
                <w:rFonts w:ascii="Arial" w:cs="Arial" w:eastAsia="Arial" w:hAnsi="Arial"/>
                <w:sz w:val="18"/>
                <w:szCs w:val="18"/>
                <w:b w:val="1"/>
                <w:bCs w:val="1"/>
                <w:color w:val="0000EE"/>
                <w:w w:val="96"/>
              </w:rPr>
              <w:t>PAY VERSUS PERFORMANCE</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58</w:t>
            </w:r>
          </w:p>
        </w:tc>
        <w:tc>
          <w:tcPr>
            <w:tcW w:w="0" w:type="dxa"/>
            <w:vAlign w:val="bottom"/>
          </w:tcPr>
          <w:p>
            <w:pPr>
              <w:spacing w:after="0"/>
              <w:rPr>
                <w:sz w:val="1"/>
                <w:szCs w:val="1"/>
                <w:color w:val="auto"/>
              </w:rPr>
            </w:pPr>
          </w:p>
        </w:tc>
      </w:tr>
      <w:tr>
        <w:trPr>
          <w:trHeight w:val="154"/>
        </w:trPr>
        <w:tc>
          <w:tcPr>
            <w:tcW w:w="3880" w:type="dxa"/>
            <w:vAlign w:val="bottom"/>
            <w:tcBorders>
              <w:top w:val="single" w:sz="8" w:color="0000EE"/>
              <w:bottom w:val="single" w:sz="8" w:color="0000EE"/>
            </w:tcBorders>
            <w:gridSpan w:val="14"/>
          </w:tcPr>
          <w:p>
            <w:pPr>
              <w:spacing w:after="0" w:line="154" w:lineRule="exact"/>
              <w:rPr>
                <w:sz w:val="20"/>
                <w:szCs w:val="20"/>
                <w:color w:val="auto"/>
              </w:rPr>
            </w:pPr>
            <w:r>
              <w:rPr>
                <w:rFonts w:ascii="Arial" w:cs="Arial" w:eastAsia="Arial" w:hAnsi="Arial"/>
                <w:sz w:val="17"/>
                <w:szCs w:val="17"/>
                <w:b w:val="1"/>
                <w:bCs w:val="1"/>
                <w:color w:val="0000EE"/>
              </w:rPr>
              <w:t>Deloitte &amp; Touche LLP as the Company’s</w:t>
            </w:r>
          </w:p>
        </w:tc>
        <w:tc>
          <w:tcPr>
            <w:tcW w:w="840" w:type="dxa"/>
            <w:vAlign w:val="bottom"/>
            <w:gridSpan w:val="2"/>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1D4F90"/>
              </w:rPr>
              <w:t>23</w:t>
            </w:r>
          </w:p>
        </w:tc>
        <w:tc>
          <w:tcPr>
            <w:tcW w:w="2560" w:type="dxa"/>
            <w:vAlign w:val="bottom"/>
            <w:tcBorders>
              <w:bottom w:val="single" w:sz="8" w:color="0000EE"/>
            </w:tcBorders>
            <w:gridSpan w:val="10"/>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spacing w:after="0"/>
              <w:rPr>
                <w:sz w:val="13"/>
                <w:szCs w:val="13"/>
                <w:color w:val="auto"/>
              </w:rPr>
            </w:pPr>
          </w:p>
        </w:tc>
        <w:tc>
          <w:tcPr>
            <w:tcW w:w="680" w:type="dxa"/>
            <w:vAlign w:val="bottom"/>
            <w:gridSpan w:val="2"/>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0000EE"/>
            </w:tcBorders>
            <w:gridSpan w:val="7"/>
          </w:tcPr>
          <w:p>
            <w:pPr>
              <w:spacing w:after="0" w:line="20" w:lineRule="exact"/>
              <w:rPr>
                <w:sz w:val="1"/>
                <w:szCs w:val="1"/>
                <w:color w:val="auto"/>
              </w:rPr>
            </w:pPr>
          </w:p>
        </w:tc>
        <w:tc>
          <w:tcPr>
            <w:tcW w:w="900" w:type="dxa"/>
            <w:vAlign w:val="bottom"/>
            <w:tcBorders>
              <w:bottom w:val="single" w:sz="8" w:color="0000EE"/>
            </w:tcBorders>
            <w:gridSpan w:val="3"/>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40" w:type="dxa"/>
            <w:vAlign w:val="bottom"/>
            <w:tcBorders>
              <w:bottom w:val="single" w:sz="8" w:color="0000EE"/>
            </w:tcBorders>
            <w:gridSpan w:val="12"/>
          </w:tcPr>
          <w:p>
            <w:pPr>
              <w:spacing w:after="0" w:line="168" w:lineRule="exact"/>
              <w:rPr>
                <w:sz w:val="20"/>
                <w:szCs w:val="20"/>
                <w:color w:val="auto"/>
              </w:rPr>
            </w:pPr>
            <w:r>
              <w:rPr>
                <w:rFonts w:ascii="Arial" w:cs="Arial" w:eastAsia="Arial" w:hAnsi="Arial"/>
                <w:sz w:val="18"/>
                <w:szCs w:val="18"/>
                <w:b w:val="1"/>
                <w:bCs w:val="1"/>
                <w:color w:val="0000EE"/>
                <w:w w:val="98"/>
              </w:rPr>
              <w:t>Independent Registered Public Accountants</w:t>
            </w:r>
          </w:p>
        </w:tc>
        <w:tc>
          <w:tcPr>
            <w:tcW w:w="980" w:type="dxa"/>
            <w:vAlign w:val="bottom"/>
            <w:gridSpan w:val="4"/>
          </w:tcPr>
          <w:p>
            <w:pPr>
              <w:spacing w:after="0"/>
              <w:rPr>
                <w:sz w:val="14"/>
                <w:szCs w:val="14"/>
                <w:color w:val="auto"/>
              </w:rPr>
            </w:pPr>
          </w:p>
        </w:tc>
        <w:tc>
          <w:tcPr>
            <w:tcW w:w="840" w:type="dxa"/>
            <w:vAlign w:val="bottom"/>
            <w:vMerge w:val="continue"/>
          </w:tcPr>
          <w:p>
            <w:pPr>
              <w:spacing w:after="0"/>
              <w:rPr>
                <w:sz w:val="14"/>
                <w:szCs w:val="14"/>
                <w:color w:val="auto"/>
              </w:rPr>
            </w:pPr>
          </w:p>
        </w:tc>
        <w:tc>
          <w:tcPr>
            <w:tcW w:w="302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w w:val="97"/>
              </w:rPr>
              <w:t>OTHER IMPORTANT INFORMATION</w:t>
            </w:r>
          </w:p>
        </w:tc>
        <w:tc>
          <w:tcPr>
            <w:tcW w:w="1600" w:type="dxa"/>
            <w:vAlign w:val="bottom"/>
            <w:gridSpan w:val="5"/>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62</w:t>
            </w:r>
          </w:p>
        </w:tc>
        <w:tc>
          <w:tcPr>
            <w:tcW w:w="0" w:type="dxa"/>
            <w:vAlign w:val="bottom"/>
          </w:tcPr>
          <w:p>
            <w:pPr>
              <w:spacing w:after="0"/>
              <w:rPr>
                <w:sz w:val="1"/>
                <w:szCs w:val="1"/>
                <w:color w:val="auto"/>
              </w:rPr>
            </w:pPr>
          </w:p>
        </w:tc>
      </w:tr>
      <w:tr>
        <w:trPr>
          <w:trHeight w:val="132"/>
        </w:trPr>
        <w:tc>
          <w:tcPr>
            <w:tcW w:w="4720" w:type="dxa"/>
            <w:vAlign w:val="bottom"/>
            <w:gridSpan w:val="16"/>
            <w:vMerge w:val="restart"/>
          </w:tcPr>
          <w:p>
            <w:pPr>
              <w:spacing w:after="0"/>
              <w:rPr>
                <w:sz w:val="20"/>
                <w:szCs w:val="20"/>
                <w:color w:val="auto"/>
              </w:rPr>
            </w:pPr>
            <w:r>
              <w:rPr>
                <w:rFonts w:ascii="Arial" w:cs="Arial" w:eastAsia="Arial" w:hAnsi="Arial"/>
                <w:sz w:val="18"/>
                <w:szCs w:val="18"/>
                <w:color w:val="0000EE"/>
              </w:rPr>
              <w:t>Report of the Audit Committee</w:t>
            </w:r>
          </w:p>
        </w:tc>
        <w:tc>
          <w:tcPr>
            <w:tcW w:w="840" w:type="dxa"/>
            <w:vAlign w:val="bottom"/>
            <w:vMerge w:val="restart"/>
          </w:tcPr>
          <w:p>
            <w:pPr>
              <w:jc w:val="right"/>
              <w:ind w:right="311"/>
              <w:spacing w:after="0"/>
              <w:rPr>
                <w:sz w:val="20"/>
                <w:szCs w:val="20"/>
                <w:color w:val="auto"/>
              </w:rPr>
            </w:pPr>
            <w:r>
              <w:rPr>
                <w:rFonts w:ascii="Arial" w:cs="Arial" w:eastAsia="Arial" w:hAnsi="Arial"/>
                <w:sz w:val="18"/>
                <w:szCs w:val="18"/>
                <w:color w:val="auto"/>
              </w:rPr>
              <w:t>24</w:t>
            </w:r>
          </w:p>
        </w:tc>
        <w:tc>
          <w:tcPr>
            <w:tcW w:w="3020" w:type="dxa"/>
            <w:vAlign w:val="bottom"/>
            <w:tcBorders>
              <w:bottom w:val="single" w:sz="8" w:color="0000EE"/>
            </w:tcBorders>
            <w:gridSpan w:val="11"/>
            <w:vMerge w:val="continue"/>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720" w:type="dxa"/>
            <w:vAlign w:val="bottom"/>
            <w:gridSpan w:val="16"/>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620" w:type="dxa"/>
            <w:vAlign w:val="bottom"/>
            <w:gridSpan w:val="16"/>
            <w:vMerge w:val="restart"/>
          </w:tcPr>
          <w:p>
            <w:pPr>
              <w:spacing w:after="0"/>
              <w:rPr>
                <w:sz w:val="20"/>
                <w:szCs w:val="20"/>
                <w:color w:val="auto"/>
              </w:rPr>
            </w:pPr>
            <w:r>
              <w:rPr>
                <w:rFonts w:ascii="Arial" w:cs="Arial" w:eastAsia="Arial" w:hAnsi="Arial"/>
                <w:sz w:val="18"/>
                <w:szCs w:val="18"/>
                <w:color w:val="0000EE"/>
                <w:w w:val="98"/>
              </w:rPr>
              <w:t>Security Ownership of Management and Certain Beneficial</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4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20" w:type="dxa"/>
            <w:vAlign w:val="bottom"/>
            <w:tcBorders>
              <w:bottom w:val="single" w:sz="8" w:color="0000EE"/>
            </w:tcBorders>
            <w:gridSpan w:val="16"/>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1"/>
        </w:trPr>
        <w:tc>
          <w:tcPr>
            <w:tcW w:w="4720" w:type="dxa"/>
            <w:vAlign w:val="bottom"/>
            <w:gridSpan w:val="16"/>
          </w:tcPr>
          <w:p>
            <w:pPr>
              <w:spacing w:after="0" w:line="181" w:lineRule="exact"/>
              <w:rPr>
                <w:sz w:val="20"/>
                <w:szCs w:val="20"/>
                <w:color w:val="auto"/>
              </w:rPr>
            </w:pPr>
            <w:r>
              <w:rPr>
                <w:rFonts w:ascii="Arial" w:cs="Arial" w:eastAsia="Arial" w:hAnsi="Arial"/>
                <w:sz w:val="18"/>
                <w:szCs w:val="18"/>
                <w:b w:val="1"/>
                <w:bCs w:val="1"/>
                <w:color w:val="0000EE"/>
              </w:rPr>
              <w:t>INFORMATION CONCERNING INDEPENDENT</w:t>
            </w:r>
          </w:p>
        </w:tc>
        <w:tc>
          <w:tcPr>
            <w:tcW w:w="8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002856"/>
              </w:rPr>
              <w:t>25</w:t>
            </w:r>
          </w:p>
        </w:tc>
        <w:tc>
          <w:tcPr>
            <w:tcW w:w="620" w:type="dxa"/>
            <w:vAlign w:val="bottom"/>
            <w:tcBorders>
              <w:bottom w:val="single" w:sz="8" w:color="0000EE"/>
            </w:tcBorders>
          </w:tcPr>
          <w:p>
            <w:pPr>
              <w:spacing w:after="0" w:line="167" w:lineRule="exact"/>
              <w:rPr>
                <w:sz w:val="20"/>
                <w:szCs w:val="20"/>
                <w:color w:val="auto"/>
              </w:rPr>
            </w:pPr>
            <w:r>
              <w:rPr>
                <w:rFonts w:ascii="Arial" w:cs="Arial" w:eastAsia="Arial" w:hAnsi="Arial"/>
                <w:sz w:val="18"/>
                <w:szCs w:val="18"/>
                <w:color w:val="0000EE"/>
                <w:w w:val="96"/>
              </w:rPr>
              <w:t>Owners</w:t>
            </w:r>
          </w:p>
        </w:tc>
        <w:tc>
          <w:tcPr>
            <w:tcW w:w="3320" w:type="dxa"/>
            <w:vAlign w:val="bottom"/>
            <w:gridSpan w:val="13"/>
          </w:tcPr>
          <w:p>
            <w:pPr>
              <w:spacing w:after="0"/>
              <w:rPr>
                <w:sz w:val="15"/>
                <w:szCs w:val="15"/>
                <w:color w:val="auto"/>
              </w:rPr>
            </w:pPr>
          </w:p>
        </w:tc>
        <w:tc>
          <w:tcPr>
            <w:tcW w:w="680" w:type="dxa"/>
            <w:vAlign w:val="bottom"/>
            <w:gridSpan w:val="2"/>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gridSpan w:val="10"/>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40" w:type="dxa"/>
            <w:vAlign w:val="bottom"/>
            <w:tcBorders>
              <w:top w:val="single" w:sz="8" w:color="0000EE"/>
            </w:tcBorders>
            <w:gridSpan w:val="13"/>
          </w:tcPr>
          <w:p>
            <w:pPr>
              <w:spacing w:after="0" w:line="168" w:lineRule="exact"/>
              <w:rPr>
                <w:sz w:val="20"/>
                <w:szCs w:val="20"/>
                <w:color w:val="auto"/>
              </w:rPr>
            </w:pPr>
            <w:r>
              <w:rPr>
                <w:rFonts w:ascii="Arial" w:cs="Arial" w:eastAsia="Arial" w:hAnsi="Arial"/>
                <w:sz w:val="18"/>
                <w:szCs w:val="18"/>
                <w:b w:val="1"/>
                <w:bCs w:val="1"/>
                <w:color w:val="0000EE"/>
              </w:rPr>
              <w:t>REGISTERED PUBLIC ACCOUNTANTS</w:t>
            </w:r>
          </w:p>
        </w:tc>
        <w:tc>
          <w:tcPr>
            <w:tcW w:w="880" w:type="dxa"/>
            <w:vAlign w:val="bottom"/>
            <w:gridSpan w:val="3"/>
          </w:tcPr>
          <w:p>
            <w:pPr>
              <w:spacing w:after="0"/>
              <w:rPr>
                <w:sz w:val="14"/>
                <w:szCs w:val="14"/>
                <w:color w:val="auto"/>
              </w:rPr>
            </w:pPr>
          </w:p>
        </w:tc>
        <w:tc>
          <w:tcPr>
            <w:tcW w:w="840" w:type="dxa"/>
            <w:vAlign w:val="bottom"/>
            <w:vMerge w:val="continue"/>
          </w:tcPr>
          <w:p>
            <w:pPr>
              <w:spacing w:after="0"/>
              <w:rPr>
                <w:sz w:val="14"/>
                <w:szCs w:val="14"/>
                <w:color w:val="auto"/>
              </w:rPr>
            </w:pPr>
          </w:p>
        </w:tc>
        <w:tc>
          <w:tcPr>
            <w:tcW w:w="4620" w:type="dxa"/>
            <w:vAlign w:val="bottom"/>
            <w:gridSpan w:val="16"/>
            <w:vMerge w:val="restart"/>
          </w:tcPr>
          <w:p>
            <w:pPr>
              <w:spacing w:after="0"/>
              <w:rPr>
                <w:sz w:val="20"/>
                <w:szCs w:val="20"/>
                <w:color w:val="auto"/>
              </w:rPr>
            </w:pPr>
            <w:r>
              <w:rPr>
                <w:rFonts w:ascii="Arial" w:cs="Arial" w:eastAsia="Arial" w:hAnsi="Arial"/>
                <w:sz w:val="18"/>
                <w:szCs w:val="18"/>
                <w:color w:val="0000EE"/>
              </w:rPr>
              <w:t>Annual Meeting and Proxy Solicitation Information</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27"/>
        </w:trPr>
        <w:tc>
          <w:tcPr>
            <w:tcW w:w="14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20" w:type="dxa"/>
            <w:vAlign w:val="bottom"/>
            <w:gridSpan w:val="1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1">
            <w:col w:w="10900"/>
          </w:cols>
          <w:pgMar w:left="500" w:top="1440" w:right="499" w:bottom="1440" w:gutter="0" w:footer="0" w:header="0"/>
        </w:sectPr>
      </w:pPr>
    </w:p>
    <w:p>
      <w:pPr>
        <w:spacing w:after="0"/>
        <w:rPr>
          <w:sz w:val="20"/>
          <w:szCs w:val="20"/>
          <w:color w:val="auto"/>
        </w:rPr>
      </w:pPr>
      <w:r>
        <w:rPr>
          <w:rFonts w:ascii="Arial" w:cs="Arial" w:eastAsia="Arial" w:hAnsi="Arial"/>
          <w:sz w:val="18"/>
          <w:szCs w:val="18"/>
          <w:u w:val="single" w:color="auto"/>
          <w:color w:val="0000EE"/>
        </w:rPr>
        <w:t>Fees Paid to Deloitte &amp; Touche LLP</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8"/>
          <w:szCs w:val="18"/>
          <w:u w:val="single" w:color="auto"/>
          <w:color w:val="0000EE"/>
        </w:rPr>
        <w:t>Audit Committee Policy for Pre-Approval of Independent Registered Public Accountants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COMPENSATION MATTERS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u w:val="single" w:color="auto"/>
          <w:color w:val="0000EE"/>
        </w:rPr>
        <w:t>Proposal 3: Advisory Vote to Approve Named Executive Officer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00" w:type="dxa"/>
            <w:vAlign w:val="bottom"/>
          </w:tcPr>
          <w:p>
            <w:pPr>
              <w:jc w:val="right"/>
              <w:ind w:right="311"/>
              <w:spacing w:after="0"/>
              <w:rPr>
                <w:sz w:val="20"/>
                <w:szCs w:val="20"/>
                <w:color w:val="auto"/>
              </w:rPr>
            </w:pPr>
            <w:r>
              <w:rPr>
                <w:rFonts w:ascii="Arial" w:cs="Arial" w:eastAsia="Arial" w:hAnsi="Arial"/>
                <w:sz w:val="18"/>
                <w:szCs w:val="18"/>
                <w:color w:val="auto"/>
                <w:w w:val="89"/>
              </w:rPr>
              <w:t>25</w:t>
            </w:r>
          </w:p>
        </w:tc>
        <w:tc>
          <w:tcPr>
            <w:tcW w:w="3980" w:type="dxa"/>
            <w:vAlign w:val="bottom"/>
            <w:gridSpan w:val="6"/>
            <w:vMerge w:val="restart"/>
          </w:tcPr>
          <w:p>
            <w:pPr>
              <w:spacing w:after="0"/>
              <w:rPr>
                <w:sz w:val="20"/>
                <w:szCs w:val="20"/>
                <w:color w:val="auto"/>
              </w:rPr>
            </w:pPr>
            <w:r>
              <w:rPr>
                <w:rFonts w:ascii="Arial" w:cs="Arial" w:eastAsia="Arial" w:hAnsi="Arial"/>
                <w:sz w:val="18"/>
                <w:szCs w:val="18"/>
                <w:color w:val="0000EE"/>
              </w:rPr>
              <w:t>Notice of Internet Delivery</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4"/>
        </w:trPr>
        <w:tc>
          <w:tcPr>
            <w:tcW w:w="600" w:type="dxa"/>
            <w:vAlign w:val="bottom"/>
          </w:tcPr>
          <w:p>
            <w:pPr>
              <w:spacing w:after="0"/>
              <w:rPr>
                <w:sz w:val="9"/>
                <w:szCs w:val="9"/>
                <w:color w:val="auto"/>
              </w:rPr>
            </w:pPr>
          </w:p>
        </w:tc>
        <w:tc>
          <w:tcPr>
            <w:tcW w:w="3980" w:type="dxa"/>
            <w:vAlign w:val="bottom"/>
            <w:gridSpan w:val="6"/>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color w:val="auto"/>
                <w:w w:val="89"/>
              </w:rPr>
              <w:t>25</w:t>
            </w:r>
          </w:p>
        </w:tc>
        <w:tc>
          <w:tcPr>
            <w:tcW w:w="2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Attending the Virtual Annual Meeting</w:t>
            </w:r>
          </w:p>
        </w:tc>
        <w:tc>
          <w:tcPr>
            <w:tcW w:w="1100" w:type="dxa"/>
            <w:vAlign w:val="bottom"/>
            <w:vMerge w:val="restart"/>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002856"/>
                <w:w w:val="89"/>
              </w:rPr>
              <w:t>27</w:t>
            </w:r>
          </w:p>
        </w:tc>
        <w:tc>
          <w:tcPr>
            <w:tcW w:w="28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Voting Your Shares; Required Votes</w:t>
            </w:r>
          </w:p>
        </w:tc>
        <w:tc>
          <w:tcPr>
            <w:tcW w:w="1140" w:type="dxa"/>
            <w:vAlign w:val="bottom"/>
            <w:gridSpan w:val="2"/>
            <w:vMerge w:val="restart"/>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gridSpan w:val="2"/>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600" w:type="dxa"/>
            <w:vAlign w:val="bottom"/>
          </w:tcPr>
          <w:p>
            <w:pPr>
              <w:spacing w:after="0"/>
              <w:rPr>
                <w:sz w:val="23"/>
                <w:szCs w:val="23"/>
                <w:color w:val="auto"/>
              </w:rPr>
            </w:pPr>
          </w:p>
        </w:tc>
        <w:tc>
          <w:tcPr>
            <w:tcW w:w="2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Proposals of Shareholders</w:t>
            </w:r>
          </w:p>
        </w:tc>
        <w:tc>
          <w:tcPr>
            <w:tcW w:w="1880" w:type="dxa"/>
            <w:vAlign w:val="bottom"/>
            <w:gridSpan w:val="3"/>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7"/>
        </w:trPr>
        <w:tc>
          <w:tcPr>
            <w:tcW w:w="600" w:type="dxa"/>
            <w:vAlign w:val="bottom"/>
          </w:tcPr>
          <w:p>
            <w:pPr>
              <w:jc w:val="right"/>
              <w:ind w:right="311"/>
              <w:spacing w:after="0"/>
              <w:rPr>
                <w:sz w:val="20"/>
                <w:szCs w:val="20"/>
                <w:color w:val="auto"/>
              </w:rPr>
            </w:pPr>
            <w:r>
              <w:rPr>
                <w:rFonts w:ascii="Arial" w:cs="Arial" w:eastAsia="Arial" w:hAnsi="Arial"/>
                <w:sz w:val="18"/>
                <w:szCs w:val="18"/>
                <w:b w:val="1"/>
                <w:bCs w:val="1"/>
                <w:color w:val="1D4F90"/>
                <w:w w:val="89"/>
              </w:rPr>
              <w:t>27</w:t>
            </w:r>
          </w:p>
        </w:tc>
        <w:tc>
          <w:tcPr>
            <w:tcW w:w="1520" w:type="dxa"/>
            <w:vAlign w:val="bottom"/>
            <w:vMerge w:val="restart"/>
          </w:tcPr>
          <w:p>
            <w:pPr>
              <w:spacing w:after="0"/>
              <w:rPr>
                <w:sz w:val="20"/>
                <w:szCs w:val="20"/>
                <w:color w:val="auto"/>
              </w:rPr>
            </w:pPr>
            <w:r>
              <w:rPr>
                <w:rFonts w:ascii="Arial" w:cs="Arial" w:eastAsia="Arial" w:hAnsi="Arial"/>
                <w:sz w:val="18"/>
                <w:szCs w:val="18"/>
                <w:b w:val="1"/>
                <w:bCs w:val="1"/>
                <w:color w:val="0000EE"/>
                <w:w w:val="96"/>
              </w:rPr>
              <w:t>OTHER MATTERS</w:t>
            </w:r>
          </w:p>
        </w:tc>
        <w:tc>
          <w:tcPr>
            <w:tcW w:w="2460" w:type="dxa"/>
            <w:vAlign w:val="bottom"/>
            <w:gridSpan w:val="5"/>
            <w:vMerge w:val="restart"/>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67</w:t>
            </w:r>
          </w:p>
        </w:tc>
        <w:tc>
          <w:tcPr>
            <w:tcW w:w="0" w:type="dxa"/>
            <w:vAlign w:val="bottom"/>
          </w:tcPr>
          <w:p>
            <w:pPr>
              <w:spacing w:after="0"/>
              <w:rPr>
                <w:sz w:val="1"/>
                <w:szCs w:val="1"/>
                <w:color w:val="auto"/>
              </w:rPr>
            </w:pPr>
          </w:p>
        </w:tc>
      </w:tr>
      <w:tr>
        <w:trPr>
          <w:trHeight w:val="73"/>
        </w:trPr>
        <w:tc>
          <w:tcPr>
            <w:tcW w:w="600" w:type="dxa"/>
            <w:vAlign w:val="bottom"/>
          </w:tcPr>
          <w:p>
            <w:pPr>
              <w:spacing w:after="0"/>
              <w:rPr>
                <w:sz w:val="5"/>
                <w:szCs w:val="5"/>
                <w:color w:val="auto"/>
              </w:rPr>
            </w:pPr>
          </w:p>
        </w:tc>
        <w:tc>
          <w:tcPr>
            <w:tcW w:w="1520" w:type="dxa"/>
            <w:vAlign w:val="bottom"/>
            <w:tcBorders>
              <w:bottom w:val="single" w:sz="8" w:color="0000EE"/>
            </w:tcBorders>
            <w:vMerge w:val="continue"/>
          </w:tcPr>
          <w:p>
            <w:pPr>
              <w:spacing w:after="0"/>
              <w:rPr>
                <w:sz w:val="5"/>
                <w:szCs w:val="5"/>
                <w:color w:val="auto"/>
              </w:rPr>
            </w:pPr>
          </w:p>
        </w:tc>
        <w:tc>
          <w:tcPr>
            <w:tcW w:w="2460" w:type="dxa"/>
            <w:vAlign w:val="bottom"/>
            <w:gridSpan w:val="5"/>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2">
            <w:col w:w="4420" w:space="540"/>
            <w:col w:w="5940"/>
          </w:cols>
          <w:pgMar w:left="500" w:top="1440" w:right="4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color w:val="0000EE"/>
              </w:rPr>
              <w:t>Compensation Committee Report</w:t>
            </w:r>
          </w:p>
        </w:tc>
        <w:tc>
          <w:tcPr>
            <w:tcW w:w="1600" w:type="dxa"/>
            <w:vAlign w:val="bottom"/>
          </w:tcPr>
          <w:p>
            <w:pPr>
              <w:jc w:val="right"/>
              <w:ind w:right="311"/>
              <w:spacing w:after="0"/>
              <w:rPr>
                <w:sz w:val="20"/>
                <w:szCs w:val="20"/>
                <w:color w:val="auto"/>
              </w:rPr>
            </w:pPr>
            <w:r>
              <w:rPr>
                <w:rFonts w:ascii="Arial" w:cs="Arial" w:eastAsia="Arial" w:hAnsi="Arial"/>
                <w:sz w:val="18"/>
                <w:szCs w:val="18"/>
                <w:color w:val="auto"/>
              </w:rPr>
              <w:t>28</w:t>
            </w:r>
          </w:p>
        </w:tc>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ANNEX A—INFORMATION REGARDING NON-GAAP</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640" w:type="dxa"/>
            <w:vAlign w:val="bottom"/>
            <w:tcBorders>
              <w:top w:val="single" w:sz="8" w:color="0000EE"/>
            </w:tcBorders>
          </w:tcPr>
          <w:p>
            <w:pPr>
              <w:spacing w:after="0"/>
              <w:rPr>
                <w:sz w:val="8"/>
                <w:szCs w:val="8"/>
                <w:color w:val="auto"/>
              </w:rPr>
            </w:pPr>
          </w:p>
        </w:tc>
        <w:tc>
          <w:tcPr>
            <w:tcW w:w="1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740" w:type="dxa"/>
            <w:vAlign w:val="bottom"/>
            <w:gridSpan w:val="3"/>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002856"/>
              </w:rPr>
              <w:t>68</w:t>
            </w:r>
          </w:p>
        </w:tc>
        <w:tc>
          <w:tcPr>
            <w:tcW w:w="0" w:type="dxa"/>
            <w:vAlign w:val="bottom"/>
          </w:tcPr>
          <w:p>
            <w:pPr>
              <w:spacing w:after="0"/>
              <w:rPr>
                <w:sz w:val="1"/>
                <w:szCs w:val="1"/>
                <w:color w:val="auto"/>
              </w:rPr>
            </w:pPr>
          </w:p>
        </w:tc>
      </w:tr>
      <w:tr>
        <w:trPr>
          <w:trHeight w:val="181"/>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7"/>
              </w:rPr>
              <w:t>COMPENSATION DISCUSSION AND ANALYSIS</w:t>
            </w:r>
          </w:p>
        </w:tc>
        <w:tc>
          <w:tcPr>
            <w:tcW w:w="160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002856"/>
              </w:rPr>
              <w:t>29</w:t>
            </w:r>
          </w:p>
        </w:tc>
        <w:tc>
          <w:tcPr>
            <w:tcW w:w="2020" w:type="dxa"/>
            <w:vAlign w:val="bottom"/>
            <w:tcBorders>
              <w:top w:val="single" w:sz="8" w:color="0000EE"/>
              <w:bottom w:val="single" w:sz="8" w:color="0000EE"/>
            </w:tcBorders>
          </w:tcPr>
          <w:p>
            <w:pPr>
              <w:spacing w:after="0" w:line="167" w:lineRule="exact"/>
              <w:rPr>
                <w:sz w:val="20"/>
                <w:szCs w:val="20"/>
                <w:color w:val="auto"/>
              </w:rPr>
            </w:pPr>
            <w:r>
              <w:rPr>
                <w:rFonts w:ascii="Arial" w:cs="Arial" w:eastAsia="Arial" w:hAnsi="Arial"/>
                <w:sz w:val="18"/>
                <w:szCs w:val="18"/>
                <w:b w:val="1"/>
                <w:bCs w:val="1"/>
                <w:color w:val="0000EE"/>
                <w:w w:val="98"/>
              </w:rPr>
              <w:t>FINANCIAL MEASURES</w:t>
            </w:r>
          </w:p>
        </w:tc>
        <w:tc>
          <w:tcPr>
            <w:tcW w:w="2360" w:type="dxa"/>
            <w:vAlign w:val="bottom"/>
            <w:tcBorders>
              <w:top w:val="single" w:sz="8" w:color="0000EE"/>
              <w:bottom w:val="single" w:sz="8" w:color="0000EE"/>
            </w:tcBorders>
            <w:vMerge w:val="restart"/>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960" w:type="dxa"/>
            <w:vAlign w:val="bottom"/>
            <w:tcBorders>
              <w:bottom w:val="single" w:sz="8" w:color="0000EE"/>
            </w:tcBorders>
            <w:gridSpan w:val="2"/>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202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I</w:t>
      </w:r>
    </w:p>
    <w:p>
      <w:pPr>
        <w:sectPr>
          <w:pgSz w:w="11900" w:h="16838" w:orient="portrait"/>
          <w:cols w:equalWidth="0" w:num="1">
            <w:col w:w="10900"/>
          </w:cols>
          <w:pgMar w:left="500" w:top="1440" w:right="499" w:bottom="1440" w:gutter="0" w:footer="0" w:header="0"/>
          <w:type w:val="continuous"/>
        </w:sectPr>
      </w:pPr>
    </w:p>
    <w:bookmarkStart w:id="5" w:name="page6"/>
    <w:bookmarkEnd w:id="5"/>
    <w:p>
      <w:pPr>
        <w:ind w:left="5940" w:right="160" w:hanging="396"/>
        <w:spacing w:after="0" w:line="267" w:lineRule="auto"/>
        <w:tabs>
          <w:tab w:leader="none" w:pos="5940" w:val="left"/>
        </w:tabs>
        <w:numPr>
          <w:ilvl w:val="0"/>
          <w:numId w:val="8"/>
        </w:numPr>
        <w:rPr>
          <w:rFonts w:ascii="Arial" w:cs="Arial" w:eastAsia="Arial" w:hAnsi="Arial"/>
          <w:sz w:val="24"/>
          <w:szCs w:val="24"/>
          <w:b w:val="1"/>
          <w:bCs w:val="1"/>
          <w:color w:val="002856"/>
        </w:rPr>
      </w:pPr>
      <w:r>
        <w:rPr>
          <w:rFonts w:ascii="Arial" w:cs="Arial" w:eastAsia="Arial" w:hAnsi="Arial"/>
          <w:sz w:val="24"/>
          <w:szCs w:val="24"/>
          <w:b w:val="1"/>
          <w:bCs w:val="1"/>
          <w:color w:val="002856"/>
        </w:rPr>
        <w:drawing>
          <wp:anchor simplePos="0" relativeHeight="251657728" behindDoc="1" locked="0" layoutInCell="0" allowOverlap="1">
            <wp:simplePos x="0" y="0"/>
            <wp:positionH relativeFrom="page">
              <wp:posOffset>139700</wp:posOffset>
            </wp:positionH>
            <wp:positionV relativeFrom="page">
              <wp:posOffset>88900</wp:posOffset>
            </wp:positionV>
            <wp:extent cx="7231380" cy="1749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1749425"/>
                    </a:xfrm>
                    <a:prstGeom prst="rect">
                      <a:avLst/>
                    </a:prstGeom>
                    <a:noFill/>
                  </pic:spPr>
                </pic:pic>
              </a:graphicData>
            </a:graphic>
          </wp:anchor>
        </w:drawing>
        <w:t>This summary highlights information contained elsewhere in this Proxy Statement. This summary does not contain all of the information you should consider.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5108575</wp:posOffset>
            </wp:positionH>
            <wp:positionV relativeFrom="paragraph">
              <wp:posOffset>493395</wp:posOffset>
            </wp:positionV>
            <wp:extent cx="1825625" cy="1613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1613535"/>
                    </a:xfrm>
                    <a:prstGeom prst="rect">
                      <a:avLst/>
                    </a:prstGeom>
                    <a:noFill/>
                  </pic:spPr>
                </pic:pic>
              </a:graphicData>
            </a:graphic>
          </wp:anchor>
        </w:drawing>
      </w:r>
    </w:p>
    <w:p>
      <w:pPr>
        <w:sectPr>
          <w:pgSz w:w="11900" w:h="16838" w:orient="portrait"/>
          <w:cols w:equalWidth="0" w:num="1">
            <w:col w:w="10920"/>
          </w:cols>
          <w:pgMar w:left="480" w:top="5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Meeting Agenda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940" w:type="dxa"/>
            <w:vAlign w:val="bottom"/>
          </w:tcPr>
          <w:p>
            <w:pPr>
              <w:jc w:val="center"/>
              <w:ind w:left="1163"/>
              <w:spacing w:after="0"/>
              <w:rPr>
                <w:sz w:val="20"/>
                <w:szCs w:val="20"/>
                <w:color w:val="auto"/>
              </w:rPr>
            </w:pPr>
            <w:r>
              <w:rPr>
                <w:rFonts w:ascii="Arial" w:cs="Arial" w:eastAsia="Arial" w:hAnsi="Arial"/>
                <w:sz w:val="14"/>
                <w:szCs w:val="14"/>
                <w:b w:val="1"/>
                <w:bCs w:val="1"/>
                <w:color w:val="002856"/>
              </w:rPr>
              <w:t>Board</w:t>
            </w:r>
          </w:p>
        </w:tc>
        <w:tc>
          <w:tcPr>
            <w:tcW w:w="1220" w:type="dxa"/>
            <w:vAlign w:val="bottom"/>
          </w:tcPr>
          <w:p>
            <w:pPr>
              <w:jc w:val="center"/>
              <w:ind w:left="23"/>
              <w:spacing w:after="0"/>
              <w:rPr>
                <w:sz w:val="20"/>
                <w:szCs w:val="20"/>
                <w:color w:val="auto"/>
              </w:rPr>
            </w:pPr>
            <w:r>
              <w:rPr>
                <w:rFonts w:ascii="Arial" w:cs="Arial" w:eastAsia="Arial" w:hAnsi="Arial"/>
                <w:sz w:val="14"/>
                <w:szCs w:val="14"/>
                <w:b w:val="1"/>
                <w:bCs w:val="1"/>
                <w:color w:val="002856"/>
              </w:rPr>
              <w:t>For More</w:t>
            </w:r>
          </w:p>
        </w:tc>
        <w:tc>
          <w:tcPr>
            <w:tcW w:w="0" w:type="dxa"/>
            <w:vAlign w:val="bottom"/>
          </w:tcPr>
          <w:p>
            <w:pPr>
              <w:spacing w:after="0"/>
              <w:rPr>
                <w:sz w:val="1"/>
                <w:szCs w:val="1"/>
                <w:color w:val="auto"/>
              </w:rPr>
            </w:pPr>
          </w:p>
        </w:tc>
      </w:tr>
      <w:tr>
        <w:trPr>
          <w:trHeight w:val="177"/>
        </w:trPr>
        <w:tc>
          <w:tcPr>
            <w:tcW w:w="3780" w:type="dxa"/>
            <w:vAlign w:val="bottom"/>
            <w:tcBorders>
              <w:bottom w:val="single" w:sz="8" w:color="C6093B"/>
            </w:tcBorders>
            <w:gridSpan w:val="2"/>
          </w:tcPr>
          <w:p>
            <w:pPr>
              <w:ind w:left="80"/>
              <w:spacing w:after="0"/>
              <w:rPr>
                <w:sz w:val="20"/>
                <w:szCs w:val="20"/>
                <w:color w:val="auto"/>
              </w:rPr>
            </w:pPr>
            <w:r>
              <w:rPr>
                <w:rFonts w:ascii="Arial" w:cs="Arial" w:eastAsia="Arial" w:hAnsi="Arial"/>
                <w:sz w:val="14"/>
                <w:szCs w:val="14"/>
                <w:b w:val="1"/>
                <w:bCs w:val="1"/>
                <w:color w:val="002856"/>
              </w:rPr>
              <w:t>PROPOSAL</w:t>
            </w:r>
          </w:p>
        </w:tc>
        <w:tc>
          <w:tcPr>
            <w:tcW w:w="2940" w:type="dxa"/>
            <w:vAlign w:val="bottom"/>
            <w:tcBorders>
              <w:bottom w:val="single" w:sz="8" w:color="C6093B"/>
            </w:tcBorders>
          </w:tcPr>
          <w:p>
            <w:pPr>
              <w:jc w:val="center"/>
              <w:ind w:left="1143"/>
              <w:spacing w:after="0"/>
              <w:rPr>
                <w:sz w:val="20"/>
                <w:szCs w:val="20"/>
                <w:color w:val="auto"/>
              </w:rPr>
            </w:pPr>
            <w:r>
              <w:rPr>
                <w:rFonts w:ascii="Arial" w:cs="Arial" w:eastAsia="Arial" w:hAnsi="Arial"/>
                <w:sz w:val="14"/>
                <w:szCs w:val="14"/>
                <w:b w:val="1"/>
                <w:bCs w:val="1"/>
                <w:color w:val="002856"/>
              </w:rPr>
              <w:t>Recommendation</w:t>
            </w:r>
          </w:p>
        </w:tc>
        <w:tc>
          <w:tcPr>
            <w:tcW w:w="1220" w:type="dxa"/>
            <w:vAlign w:val="bottom"/>
            <w:tcBorders>
              <w:bottom w:val="single" w:sz="8" w:color="C6093B"/>
            </w:tcBorders>
          </w:tcPr>
          <w:p>
            <w:pPr>
              <w:jc w:val="center"/>
              <w:ind w:left="3"/>
              <w:spacing w:after="0"/>
              <w:rPr>
                <w:sz w:val="20"/>
                <w:szCs w:val="20"/>
                <w:color w:val="auto"/>
              </w:rPr>
            </w:pPr>
            <w:r>
              <w:rPr>
                <w:rFonts w:ascii="Arial" w:cs="Arial" w:eastAsia="Arial" w:hAnsi="Arial"/>
                <w:sz w:val="14"/>
                <w:szCs w:val="14"/>
                <w:b w:val="1"/>
                <w:bCs w:val="1"/>
                <w:color w:val="002856"/>
              </w:rPr>
              <w:t>Information</w:t>
            </w:r>
          </w:p>
        </w:tc>
        <w:tc>
          <w:tcPr>
            <w:tcW w:w="0" w:type="dxa"/>
            <w:vAlign w:val="bottom"/>
          </w:tcPr>
          <w:p>
            <w:pPr>
              <w:spacing w:after="0"/>
              <w:rPr>
                <w:sz w:val="1"/>
                <w:szCs w:val="1"/>
                <w:color w:val="auto"/>
              </w:rPr>
            </w:pPr>
          </w:p>
        </w:tc>
      </w:tr>
      <w:tr>
        <w:trPr>
          <w:trHeight w:val="173"/>
        </w:trPr>
        <w:tc>
          <w:tcPr>
            <w:tcW w:w="280" w:type="dxa"/>
            <w:vAlign w:val="bottom"/>
            <w:vMerge w:val="restart"/>
          </w:tcPr>
          <w:p>
            <w:pPr>
              <w:ind w:left="80"/>
              <w:spacing w:after="0"/>
              <w:rPr>
                <w:sz w:val="20"/>
                <w:szCs w:val="20"/>
                <w:color w:val="auto"/>
              </w:rPr>
            </w:pPr>
            <w:r>
              <w:rPr>
                <w:rFonts w:ascii="Arial" w:cs="Arial" w:eastAsia="Arial" w:hAnsi="Arial"/>
                <w:sz w:val="25"/>
                <w:szCs w:val="25"/>
                <w:color w:val="1D4F90"/>
              </w:rPr>
              <w:t>1</w:t>
            </w:r>
          </w:p>
        </w:tc>
        <w:tc>
          <w:tcPr>
            <w:tcW w:w="3500" w:type="dxa"/>
            <w:vAlign w:val="bottom"/>
            <w:vMerge w:val="restart"/>
          </w:tcPr>
          <w:p>
            <w:pPr>
              <w:ind w:left="40"/>
              <w:spacing w:after="0"/>
              <w:rPr>
                <w:sz w:val="20"/>
                <w:szCs w:val="20"/>
                <w:color w:val="auto"/>
              </w:rPr>
            </w:pPr>
            <w:r>
              <w:rPr>
                <w:rFonts w:ascii="Arial" w:cs="Arial" w:eastAsia="Arial" w:hAnsi="Arial"/>
                <w:sz w:val="16"/>
                <w:szCs w:val="16"/>
                <w:b w:val="1"/>
                <w:bCs w:val="1"/>
                <w:color w:val="1D4F90"/>
              </w:rPr>
              <w:t>Election of Directors</w:t>
            </w:r>
          </w:p>
        </w:tc>
        <w:tc>
          <w:tcPr>
            <w:tcW w:w="2940" w:type="dxa"/>
            <w:vAlign w:val="bottom"/>
          </w:tcPr>
          <w:p>
            <w:pPr>
              <w:jc w:val="center"/>
              <w:ind w:left="1163"/>
              <w:spacing w:after="0" w:line="173" w:lineRule="exact"/>
              <w:rPr>
                <w:sz w:val="20"/>
                <w:szCs w:val="20"/>
                <w:color w:val="auto"/>
              </w:rPr>
            </w:pPr>
            <w:r>
              <w:rPr>
                <w:rFonts w:ascii="Arial" w:cs="Arial" w:eastAsia="Arial" w:hAnsi="Arial"/>
                <w:sz w:val="16"/>
                <w:szCs w:val="16"/>
                <w:color w:val="auto"/>
              </w:rPr>
              <w:t>FOR</w:t>
            </w:r>
          </w:p>
        </w:tc>
        <w:tc>
          <w:tcPr>
            <w:tcW w:w="1220" w:type="dxa"/>
            <w:vAlign w:val="bottom"/>
            <w:vMerge w:val="restart"/>
          </w:tcPr>
          <w:p>
            <w:pPr>
              <w:jc w:val="center"/>
              <w:ind w:left="23"/>
              <w:spacing w:after="0"/>
              <w:rPr>
                <w:sz w:val="20"/>
                <w:szCs w:val="20"/>
                <w:color w:val="auto"/>
              </w:rPr>
            </w:pPr>
            <w:r>
              <w:rPr>
                <w:rFonts w:ascii="Arial" w:cs="Arial" w:eastAsia="Arial" w:hAnsi="Arial"/>
                <w:sz w:val="16"/>
                <w:szCs w:val="16"/>
                <w:color w:val="auto"/>
                <w:w w:val="98"/>
              </w:rPr>
              <w:t>page 4</w:t>
            </w:r>
          </w:p>
        </w:tc>
        <w:tc>
          <w:tcPr>
            <w:tcW w:w="0" w:type="dxa"/>
            <w:vAlign w:val="bottom"/>
          </w:tcPr>
          <w:p>
            <w:pPr>
              <w:spacing w:after="0"/>
              <w:rPr>
                <w:sz w:val="1"/>
                <w:szCs w:val="1"/>
                <w:color w:val="auto"/>
              </w:rPr>
            </w:pPr>
          </w:p>
        </w:tc>
      </w:tr>
      <w:tr>
        <w:trPr>
          <w:trHeight w:val="213"/>
        </w:trPr>
        <w:tc>
          <w:tcPr>
            <w:tcW w:w="280" w:type="dxa"/>
            <w:vAlign w:val="bottom"/>
            <w:tcBorders>
              <w:bottom w:val="single" w:sz="8" w:color="4C4C4C"/>
            </w:tcBorders>
            <w:vMerge w:val="continue"/>
          </w:tcPr>
          <w:p>
            <w:pPr>
              <w:spacing w:after="0"/>
              <w:rPr>
                <w:sz w:val="18"/>
                <w:szCs w:val="18"/>
                <w:color w:val="auto"/>
              </w:rPr>
            </w:pPr>
          </w:p>
        </w:tc>
        <w:tc>
          <w:tcPr>
            <w:tcW w:w="3500" w:type="dxa"/>
            <w:vAlign w:val="bottom"/>
            <w:tcBorders>
              <w:bottom w:val="single" w:sz="8" w:color="4C4C4C"/>
            </w:tcBorders>
            <w:vMerge w:val="continue"/>
          </w:tcPr>
          <w:p>
            <w:pPr>
              <w:spacing w:after="0"/>
              <w:rPr>
                <w:sz w:val="18"/>
                <w:szCs w:val="18"/>
                <w:color w:val="auto"/>
              </w:rPr>
            </w:pPr>
          </w:p>
        </w:tc>
        <w:tc>
          <w:tcPr>
            <w:tcW w:w="2940" w:type="dxa"/>
            <w:vAlign w:val="bottom"/>
            <w:tcBorders>
              <w:bottom w:val="single" w:sz="8" w:color="4C4C4C"/>
            </w:tcBorders>
          </w:tcPr>
          <w:p>
            <w:pPr>
              <w:jc w:val="center"/>
              <w:ind w:left="1143"/>
              <w:spacing w:after="0"/>
              <w:rPr>
                <w:sz w:val="20"/>
                <w:szCs w:val="20"/>
                <w:color w:val="auto"/>
              </w:rPr>
            </w:pPr>
            <w:r>
              <w:rPr>
                <w:rFonts w:ascii="Arial" w:cs="Arial" w:eastAsia="Arial" w:hAnsi="Arial"/>
                <w:sz w:val="16"/>
                <w:szCs w:val="16"/>
                <w:color w:val="auto"/>
                <w:w w:val="99"/>
              </w:rPr>
              <w:t>each nominee</w:t>
            </w:r>
          </w:p>
        </w:tc>
        <w:tc>
          <w:tcPr>
            <w:tcW w:w="1220" w:type="dxa"/>
            <w:vAlign w:val="bottom"/>
            <w:tcBorders>
              <w:bottom w:val="single" w:sz="8" w:color="4C4C4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 w:type="dxa"/>
            <w:vAlign w:val="bottom"/>
            <w:vMerge w:val="restart"/>
          </w:tcPr>
          <w:p>
            <w:pPr>
              <w:ind w:left="80"/>
              <w:spacing w:after="0"/>
              <w:rPr>
                <w:sz w:val="20"/>
                <w:szCs w:val="20"/>
                <w:color w:val="auto"/>
              </w:rPr>
            </w:pPr>
            <w:r>
              <w:rPr>
                <w:rFonts w:ascii="Arial" w:cs="Arial" w:eastAsia="Arial" w:hAnsi="Arial"/>
                <w:sz w:val="25"/>
                <w:szCs w:val="25"/>
                <w:color w:val="1D4F90"/>
              </w:rPr>
              <w:t>2</w:t>
            </w:r>
          </w:p>
        </w:tc>
        <w:tc>
          <w:tcPr>
            <w:tcW w:w="3500" w:type="dxa"/>
            <w:vAlign w:val="bottom"/>
          </w:tcPr>
          <w:p>
            <w:pPr>
              <w:ind w:left="40"/>
              <w:spacing w:after="0"/>
              <w:rPr>
                <w:sz w:val="20"/>
                <w:szCs w:val="20"/>
                <w:color w:val="auto"/>
              </w:rPr>
            </w:pPr>
            <w:r>
              <w:rPr>
                <w:rFonts w:ascii="Arial" w:cs="Arial" w:eastAsia="Arial" w:hAnsi="Arial"/>
                <w:sz w:val="16"/>
                <w:szCs w:val="16"/>
                <w:b w:val="1"/>
                <w:bCs w:val="1"/>
                <w:color w:val="1D4F90"/>
              </w:rPr>
              <w:t>Ratification of the</w:t>
            </w:r>
          </w:p>
        </w:tc>
        <w:tc>
          <w:tcPr>
            <w:tcW w:w="2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0" w:type="dxa"/>
            <w:vAlign w:val="bottom"/>
            <w:vMerge w:val="continue"/>
          </w:tcPr>
          <w:p>
            <w:pPr>
              <w:spacing w:after="0"/>
              <w:rPr>
                <w:sz w:val="16"/>
                <w:szCs w:val="16"/>
                <w:color w:val="auto"/>
              </w:rPr>
            </w:pPr>
          </w:p>
        </w:tc>
        <w:tc>
          <w:tcPr>
            <w:tcW w:w="3500" w:type="dxa"/>
            <w:vAlign w:val="bottom"/>
          </w:tcPr>
          <w:p>
            <w:pPr>
              <w:ind w:left="40"/>
              <w:spacing w:after="0"/>
              <w:rPr>
                <w:sz w:val="20"/>
                <w:szCs w:val="20"/>
                <w:color w:val="auto"/>
              </w:rPr>
            </w:pPr>
            <w:r>
              <w:rPr>
                <w:rFonts w:ascii="Arial" w:cs="Arial" w:eastAsia="Arial" w:hAnsi="Arial"/>
                <w:sz w:val="16"/>
                <w:szCs w:val="16"/>
                <w:b w:val="1"/>
                <w:bCs w:val="1"/>
                <w:color w:val="1D4F90"/>
              </w:rPr>
              <w:t>Appointment of</w:t>
            </w:r>
          </w:p>
        </w:tc>
        <w:tc>
          <w:tcPr>
            <w:tcW w:w="2940" w:type="dxa"/>
            <w:vAlign w:val="bottom"/>
          </w:tcPr>
          <w:p>
            <w:pPr>
              <w:jc w:val="center"/>
              <w:ind w:left="1163"/>
              <w:spacing w:after="0"/>
              <w:rPr>
                <w:sz w:val="20"/>
                <w:szCs w:val="20"/>
                <w:color w:val="auto"/>
              </w:rPr>
            </w:pPr>
            <w:r>
              <w:rPr>
                <w:rFonts w:ascii="Arial" w:cs="Arial" w:eastAsia="Arial" w:hAnsi="Arial"/>
                <w:sz w:val="16"/>
                <w:szCs w:val="16"/>
                <w:color w:val="auto"/>
              </w:rPr>
              <w:t>FOR</w:t>
            </w:r>
          </w:p>
        </w:tc>
        <w:tc>
          <w:tcPr>
            <w:tcW w:w="1220" w:type="dxa"/>
            <w:vAlign w:val="bottom"/>
          </w:tcPr>
          <w:p>
            <w:pPr>
              <w:jc w:val="center"/>
              <w:ind w:left="3"/>
              <w:spacing w:after="0"/>
              <w:rPr>
                <w:sz w:val="20"/>
                <w:szCs w:val="20"/>
                <w:color w:val="auto"/>
              </w:rPr>
            </w:pPr>
            <w:r>
              <w:rPr>
                <w:rFonts w:ascii="Arial" w:cs="Arial" w:eastAsia="Arial" w:hAnsi="Arial"/>
                <w:sz w:val="16"/>
                <w:szCs w:val="16"/>
                <w:color w:val="auto"/>
              </w:rPr>
              <w:t>page 23</w:t>
            </w:r>
          </w:p>
        </w:tc>
        <w:tc>
          <w:tcPr>
            <w:tcW w:w="0" w:type="dxa"/>
            <w:vAlign w:val="bottom"/>
          </w:tcPr>
          <w:p>
            <w:pPr>
              <w:spacing w:after="0"/>
              <w:rPr>
                <w:sz w:val="1"/>
                <w:szCs w:val="1"/>
                <w:color w:val="auto"/>
              </w:rPr>
            </w:pPr>
          </w:p>
        </w:tc>
      </w:tr>
      <w:tr>
        <w:trPr>
          <w:trHeight w:val="224"/>
        </w:trPr>
        <w:tc>
          <w:tcPr>
            <w:tcW w:w="280" w:type="dxa"/>
            <w:vAlign w:val="bottom"/>
            <w:tcBorders>
              <w:bottom w:val="single" w:sz="8" w:color="4C4C4C"/>
            </w:tcBorders>
          </w:tcPr>
          <w:p>
            <w:pPr>
              <w:spacing w:after="0"/>
              <w:rPr>
                <w:sz w:val="19"/>
                <w:szCs w:val="19"/>
                <w:color w:val="auto"/>
              </w:rPr>
            </w:pPr>
          </w:p>
        </w:tc>
        <w:tc>
          <w:tcPr>
            <w:tcW w:w="3500" w:type="dxa"/>
            <w:vAlign w:val="bottom"/>
            <w:tcBorders>
              <w:bottom w:val="single" w:sz="8" w:color="4C4C4C"/>
            </w:tcBorders>
          </w:tcPr>
          <w:p>
            <w:pPr>
              <w:ind w:left="40"/>
              <w:spacing w:after="0"/>
              <w:rPr>
                <w:sz w:val="20"/>
                <w:szCs w:val="20"/>
                <w:color w:val="auto"/>
              </w:rPr>
            </w:pPr>
            <w:r>
              <w:rPr>
                <w:rFonts w:ascii="Arial" w:cs="Arial" w:eastAsia="Arial" w:hAnsi="Arial"/>
                <w:sz w:val="16"/>
                <w:szCs w:val="16"/>
                <w:b w:val="1"/>
                <w:bCs w:val="1"/>
                <w:color w:val="1D4F90"/>
              </w:rPr>
              <w:t>Deloitte &amp; Touche LLP</w:t>
            </w:r>
          </w:p>
        </w:tc>
        <w:tc>
          <w:tcPr>
            <w:tcW w:w="2940" w:type="dxa"/>
            <w:vAlign w:val="bottom"/>
            <w:tcBorders>
              <w:bottom w:val="single" w:sz="8" w:color="4C4C4C"/>
            </w:tcBorders>
          </w:tcPr>
          <w:p>
            <w:pPr>
              <w:spacing w:after="0"/>
              <w:rPr>
                <w:sz w:val="19"/>
                <w:szCs w:val="19"/>
                <w:color w:val="auto"/>
              </w:rPr>
            </w:pPr>
          </w:p>
        </w:tc>
        <w:tc>
          <w:tcPr>
            <w:tcW w:w="1220" w:type="dxa"/>
            <w:vAlign w:val="bottom"/>
            <w:tcBorders>
              <w:bottom w:val="single" w:sz="8" w:color="4C4C4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0" w:type="dxa"/>
            <w:vAlign w:val="bottom"/>
            <w:vMerge w:val="restart"/>
          </w:tcPr>
          <w:p>
            <w:pPr>
              <w:ind w:left="80"/>
              <w:spacing w:after="0"/>
              <w:rPr>
                <w:sz w:val="20"/>
                <w:szCs w:val="20"/>
                <w:color w:val="auto"/>
              </w:rPr>
            </w:pPr>
            <w:r>
              <w:rPr>
                <w:rFonts w:ascii="Arial" w:cs="Arial" w:eastAsia="Arial" w:hAnsi="Arial"/>
                <w:sz w:val="25"/>
                <w:szCs w:val="25"/>
                <w:color w:val="1D4F90"/>
              </w:rPr>
              <w:t>3</w:t>
            </w:r>
          </w:p>
        </w:tc>
        <w:tc>
          <w:tcPr>
            <w:tcW w:w="3500" w:type="dxa"/>
            <w:vAlign w:val="bottom"/>
          </w:tcPr>
          <w:p>
            <w:pPr>
              <w:ind w:left="40"/>
              <w:spacing w:after="0" w:line="183" w:lineRule="exact"/>
              <w:rPr>
                <w:sz w:val="20"/>
                <w:szCs w:val="20"/>
                <w:color w:val="auto"/>
              </w:rPr>
            </w:pPr>
            <w:r>
              <w:rPr>
                <w:rFonts w:ascii="Arial" w:cs="Arial" w:eastAsia="Arial" w:hAnsi="Arial"/>
                <w:sz w:val="16"/>
                <w:szCs w:val="16"/>
                <w:b w:val="1"/>
                <w:bCs w:val="1"/>
                <w:color w:val="1D4F90"/>
              </w:rPr>
              <w:t>Advisory Vote to Approve</w:t>
            </w:r>
          </w:p>
        </w:tc>
        <w:tc>
          <w:tcPr>
            <w:tcW w:w="2940" w:type="dxa"/>
            <w:vAlign w:val="bottom"/>
            <w:vMerge w:val="restart"/>
          </w:tcPr>
          <w:p>
            <w:pPr>
              <w:jc w:val="center"/>
              <w:ind w:left="1163"/>
              <w:spacing w:after="0"/>
              <w:rPr>
                <w:sz w:val="20"/>
                <w:szCs w:val="20"/>
                <w:color w:val="auto"/>
              </w:rPr>
            </w:pPr>
            <w:r>
              <w:rPr>
                <w:rFonts w:ascii="Arial" w:cs="Arial" w:eastAsia="Arial" w:hAnsi="Arial"/>
                <w:sz w:val="16"/>
                <w:szCs w:val="16"/>
                <w:color w:val="auto"/>
              </w:rPr>
              <w:t>FOR</w:t>
            </w:r>
          </w:p>
        </w:tc>
        <w:tc>
          <w:tcPr>
            <w:tcW w:w="1220" w:type="dxa"/>
            <w:vAlign w:val="bottom"/>
            <w:vMerge w:val="restart"/>
          </w:tcPr>
          <w:p>
            <w:pPr>
              <w:jc w:val="center"/>
              <w:ind w:left="3"/>
              <w:spacing w:after="0"/>
              <w:rPr>
                <w:sz w:val="20"/>
                <w:szCs w:val="20"/>
                <w:color w:val="auto"/>
              </w:rPr>
            </w:pPr>
            <w:r>
              <w:rPr>
                <w:rFonts w:ascii="Arial" w:cs="Arial" w:eastAsia="Arial" w:hAnsi="Arial"/>
                <w:sz w:val="16"/>
                <w:szCs w:val="16"/>
                <w:color w:val="auto"/>
              </w:rPr>
              <w:t>page 27</w:t>
            </w:r>
          </w:p>
        </w:tc>
        <w:tc>
          <w:tcPr>
            <w:tcW w:w="0" w:type="dxa"/>
            <w:vAlign w:val="bottom"/>
          </w:tcPr>
          <w:p>
            <w:pPr>
              <w:spacing w:after="0"/>
              <w:rPr>
                <w:sz w:val="1"/>
                <w:szCs w:val="1"/>
                <w:color w:val="auto"/>
              </w:rPr>
            </w:pPr>
          </w:p>
        </w:tc>
      </w:tr>
      <w:tr>
        <w:trPr>
          <w:trHeight w:val="235"/>
        </w:trPr>
        <w:tc>
          <w:tcPr>
            <w:tcW w:w="280" w:type="dxa"/>
            <w:vAlign w:val="bottom"/>
            <w:tcBorders>
              <w:bottom w:val="single" w:sz="8" w:color="C6093B"/>
            </w:tcBorders>
            <w:vMerge w:val="continue"/>
          </w:tcPr>
          <w:p>
            <w:pPr>
              <w:spacing w:after="0"/>
              <w:rPr>
                <w:sz w:val="20"/>
                <w:szCs w:val="20"/>
                <w:color w:val="auto"/>
              </w:rPr>
            </w:pPr>
          </w:p>
        </w:tc>
        <w:tc>
          <w:tcPr>
            <w:tcW w:w="3500" w:type="dxa"/>
            <w:vAlign w:val="bottom"/>
            <w:tcBorders>
              <w:bottom w:val="single" w:sz="8" w:color="C6093B"/>
            </w:tcBorders>
          </w:tcPr>
          <w:p>
            <w:pPr>
              <w:ind w:left="40"/>
              <w:spacing w:after="0"/>
              <w:rPr>
                <w:sz w:val="20"/>
                <w:szCs w:val="20"/>
                <w:color w:val="auto"/>
              </w:rPr>
            </w:pPr>
            <w:r>
              <w:rPr>
                <w:rFonts w:ascii="Arial" w:cs="Arial" w:eastAsia="Arial" w:hAnsi="Arial"/>
                <w:sz w:val="16"/>
                <w:szCs w:val="16"/>
                <w:b w:val="1"/>
                <w:bCs w:val="1"/>
                <w:color w:val="1D4F90"/>
              </w:rPr>
              <w:t>Executive Compensation</w:t>
            </w:r>
          </w:p>
        </w:tc>
        <w:tc>
          <w:tcPr>
            <w:tcW w:w="2940" w:type="dxa"/>
            <w:vAlign w:val="bottom"/>
            <w:tcBorders>
              <w:bottom w:val="single" w:sz="8" w:color="C6093B"/>
            </w:tcBorders>
            <w:vMerge w:val="continue"/>
          </w:tcPr>
          <w:p>
            <w:pPr>
              <w:spacing w:after="0"/>
              <w:rPr>
                <w:sz w:val="20"/>
                <w:szCs w:val="20"/>
                <w:color w:val="auto"/>
              </w:rPr>
            </w:pPr>
          </w:p>
        </w:tc>
        <w:tc>
          <w:tcPr>
            <w:tcW w:w="1220" w:type="dxa"/>
            <w:vAlign w:val="bottom"/>
            <w:tcBorders>
              <w:bottom w:val="single" w:sz="8" w:color="C6093B"/>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-118745</wp:posOffset>
            </wp:positionV>
            <wp:extent cx="1757680" cy="1570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57680" cy="15709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1D4F90"/>
        </w:rPr>
        <w:t>Meeting Information</w:t>
      </w:r>
    </w:p>
    <w:p>
      <w:pPr>
        <w:spacing w:after="0" w:line="72" w:lineRule="exact"/>
        <w:rPr>
          <w:sz w:val="20"/>
          <w:szCs w:val="20"/>
          <w:color w:val="auto"/>
        </w:rPr>
      </w:pPr>
    </w:p>
    <w:p>
      <w:pPr>
        <w:ind w:right="1060"/>
        <w:spacing w:after="0" w:line="260" w:lineRule="auto"/>
        <w:rPr>
          <w:sz w:val="20"/>
          <w:szCs w:val="20"/>
          <w:color w:val="auto"/>
        </w:rPr>
      </w:pPr>
      <w:r>
        <w:rPr>
          <w:rFonts w:ascii="Arial" w:cs="Arial" w:eastAsia="Arial" w:hAnsi="Arial"/>
          <w:sz w:val="14"/>
          <w:szCs w:val="14"/>
          <w:b w:val="1"/>
          <w:bCs w:val="1"/>
          <w:color w:val="002856"/>
        </w:rPr>
        <w:t xml:space="preserve">TIME AND DATE </w:t>
      </w:r>
      <w:r>
        <w:rPr>
          <w:rFonts w:ascii="Arial" w:cs="Arial" w:eastAsia="Arial" w:hAnsi="Arial"/>
          <w:sz w:val="14"/>
          <w:szCs w:val="14"/>
          <w:color w:val="000000"/>
        </w:rPr>
        <w:t>9:00 a.m. (EDT) on Wednesday, May 8, 2024</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LOCATION</w:t>
      </w:r>
    </w:p>
    <w:p>
      <w:pPr>
        <w:spacing w:after="0" w:line="13" w:lineRule="exact"/>
        <w:rPr>
          <w:sz w:val="20"/>
          <w:szCs w:val="20"/>
          <w:color w:val="auto"/>
        </w:rPr>
      </w:pPr>
    </w:p>
    <w:p>
      <w:pPr>
        <w:ind w:right="640"/>
        <w:spacing w:after="0" w:line="249" w:lineRule="auto"/>
        <w:rPr>
          <w:sz w:val="20"/>
          <w:szCs w:val="20"/>
          <w:color w:val="auto"/>
        </w:rPr>
      </w:pPr>
      <w:r>
        <w:rPr>
          <w:rFonts w:ascii="Arial" w:cs="Arial" w:eastAsia="Arial" w:hAnsi="Arial"/>
          <w:sz w:val="14"/>
          <w:szCs w:val="14"/>
          <w:color w:val="auto"/>
        </w:rPr>
        <w:t xml:space="preserve">The Annual Meeting will be held virtually. Please register at </w:t>
      </w:r>
      <w:r>
        <w:rPr>
          <w:rFonts w:ascii="Arial" w:cs="Arial" w:eastAsia="Arial" w:hAnsi="Arial"/>
          <w:sz w:val="14"/>
          <w:szCs w:val="14"/>
          <w:b w:val="1"/>
          <w:bCs w:val="1"/>
          <w:color w:val="auto"/>
        </w:rPr>
        <w:t>http://www.viewproxy.com /bbinsurance/2024/htype.asp</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RECORD DATE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Monday, March 4, 2024</w:t>
      </w:r>
    </w:p>
    <w:p>
      <w:pPr>
        <w:spacing w:after="0" w:line="448" w:lineRule="exact"/>
        <w:rPr>
          <w:sz w:val="20"/>
          <w:szCs w:val="20"/>
          <w:color w:val="auto"/>
        </w:rPr>
      </w:pPr>
    </w:p>
    <w:p>
      <w:pPr>
        <w:sectPr>
          <w:pgSz w:w="11900" w:h="16838" w:orient="portrait"/>
          <w:cols w:equalWidth="0" w:num="2">
            <w:col w:w="7940" w:space="320"/>
            <w:col w:w="2660"/>
          </w:cols>
          <w:pgMar w:left="480" w:top="583" w:right="49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b w:val="1"/>
          <w:bCs w:val="1"/>
          <w:color w:val="1D4F90"/>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929755" cy="4195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4195445"/>
                    </a:xfrm>
                    <a:prstGeom prst="rect">
                      <a:avLst/>
                    </a:prstGeom>
                    <a:noFill/>
                  </pic:spPr>
                </pic:pic>
              </a:graphicData>
            </a:graphic>
          </wp:anchor>
        </w:drawing>
      </w:r>
    </w:p>
    <w:p>
      <w:pPr>
        <w:sectPr>
          <w:pgSz w:w="11900" w:h="16838" w:orient="portrait"/>
          <w:cols w:equalWidth="0" w:num="1">
            <w:col w:w="10920"/>
          </w:cols>
          <w:pgMar w:left="480" w:top="58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540" w:type="dxa"/>
            <w:vAlign w:val="bottom"/>
          </w:tcPr>
          <w:p>
            <w:pPr>
              <w:jc w:val="center"/>
              <w:ind w:right="270"/>
              <w:spacing w:after="0"/>
              <w:rPr>
                <w:sz w:val="20"/>
                <w:szCs w:val="20"/>
                <w:color w:val="auto"/>
              </w:rPr>
            </w:pPr>
            <w:r>
              <w:rPr>
                <w:rFonts w:ascii="Arial" w:cs="Arial" w:eastAsia="Arial" w:hAnsi="Arial"/>
                <w:sz w:val="14"/>
                <w:szCs w:val="14"/>
                <w:b w:val="1"/>
                <w:bCs w:val="1"/>
                <w:color w:val="002856"/>
                <w:w w:val="96"/>
              </w:rPr>
              <w:t>J. HYATT</w:t>
            </w:r>
          </w:p>
        </w:tc>
        <w:tc>
          <w:tcPr>
            <w:tcW w:w="1800" w:type="dxa"/>
            <w:vAlign w:val="bottom"/>
          </w:tcPr>
          <w:p>
            <w:pPr>
              <w:jc w:val="center"/>
              <w:ind w:left="10"/>
              <w:spacing w:after="0"/>
              <w:rPr>
                <w:sz w:val="20"/>
                <w:szCs w:val="20"/>
                <w:color w:val="auto"/>
              </w:rPr>
            </w:pPr>
            <w:r>
              <w:rPr>
                <w:rFonts w:ascii="Arial" w:cs="Arial" w:eastAsia="Arial" w:hAnsi="Arial"/>
                <w:sz w:val="14"/>
                <w:szCs w:val="14"/>
                <w:b w:val="1"/>
                <w:bCs w:val="1"/>
                <w:color w:val="002856"/>
              </w:rPr>
              <w:t>J. POWELL</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2856"/>
              </w:rPr>
              <w:t>LAWRENCE L.</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002856"/>
              </w:rPr>
              <w:t>JAMES C.</w:t>
            </w:r>
          </w:p>
        </w:tc>
        <w:tc>
          <w:tcPr>
            <w:tcW w:w="1520" w:type="dxa"/>
            <w:vAlign w:val="bottom"/>
          </w:tcPr>
          <w:p>
            <w:pPr>
              <w:jc w:val="center"/>
              <w:ind w:left="251"/>
              <w:spacing w:after="0"/>
              <w:rPr>
                <w:sz w:val="20"/>
                <w:szCs w:val="20"/>
                <w:color w:val="auto"/>
              </w:rPr>
            </w:pPr>
            <w:r>
              <w:rPr>
                <w:rFonts w:ascii="Arial" w:cs="Arial" w:eastAsia="Arial" w:hAnsi="Arial"/>
                <w:sz w:val="14"/>
                <w:szCs w:val="14"/>
                <w:b w:val="1"/>
                <w:bCs w:val="1"/>
                <w:color w:val="002856"/>
              </w:rPr>
              <w:t>THEODORE J.</w:t>
            </w:r>
          </w:p>
        </w:tc>
      </w:tr>
      <w:tr>
        <w:trPr>
          <w:trHeight w:val="157"/>
        </w:trPr>
        <w:tc>
          <w:tcPr>
            <w:tcW w:w="1540" w:type="dxa"/>
            <w:vAlign w:val="bottom"/>
          </w:tcPr>
          <w:p>
            <w:pPr>
              <w:jc w:val="center"/>
              <w:ind w:right="270"/>
              <w:spacing w:after="0" w:line="157" w:lineRule="exact"/>
              <w:rPr>
                <w:sz w:val="20"/>
                <w:szCs w:val="20"/>
                <w:color w:val="auto"/>
              </w:rPr>
            </w:pPr>
            <w:r>
              <w:rPr>
                <w:rFonts w:ascii="Arial" w:cs="Arial" w:eastAsia="Arial" w:hAnsi="Arial"/>
                <w:sz w:val="14"/>
                <w:szCs w:val="14"/>
                <w:b w:val="1"/>
                <w:bCs w:val="1"/>
                <w:color w:val="002856"/>
              </w:rPr>
              <w:t>BROWN, 86</w:t>
            </w:r>
          </w:p>
        </w:tc>
        <w:tc>
          <w:tcPr>
            <w:tcW w:w="1800" w:type="dxa"/>
            <w:vAlign w:val="bottom"/>
          </w:tcPr>
          <w:p>
            <w:pPr>
              <w:jc w:val="center"/>
              <w:ind w:left="10"/>
              <w:spacing w:after="0" w:line="157" w:lineRule="exact"/>
              <w:rPr>
                <w:sz w:val="20"/>
                <w:szCs w:val="20"/>
                <w:color w:val="auto"/>
              </w:rPr>
            </w:pPr>
            <w:r>
              <w:rPr>
                <w:rFonts w:ascii="Arial" w:cs="Arial" w:eastAsia="Arial" w:hAnsi="Arial"/>
                <w:sz w:val="14"/>
                <w:szCs w:val="14"/>
                <w:b w:val="1"/>
                <w:bCs w:val="1"/>
                <w:color w:val="002856"/>
              </w:rPr>
              <w:t>BROWN, 56</w:t>
            </w:r>
          </w:p>
        </w:tc>
        <w:tc>
          <w:tcPr>
            <w:tcW w:w="200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GELLERSTEDT III, 67</w:t>
            </w:r>
          </w:p>
        </w:tc>
        <w:tc>
          <w:tcPr>
            <w:tcW w:w="178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w w:val="99"/>
              </w:rPr>
              <w:t>HAYS, 66</w:t>
            </w:r>
          </w:p>
        </w:tc>
        <w:tc>
          <w:tcPr>
            <w:tcW w:w="1520" w:type="dxa"/>
            <w:vAlign w:val="bottom"/>
          </w:tcPr>
          <w:p>
            <w:pPr>
              <w:jc w:val="center"/>
              <w:ind w:left="271"/>
              <w:spacing w:after="0" w:line="157" w:lineRule="exact"/>
              <w:rPr>
                <w:sz w:val="20"/>
                <w:szCs w:val="20"/>
                <w:color w:val="auto"/>
              </w:rPr>
            </w:pPr>
            <w:r>
              <w:rPr>
                <w:rFonts w:ascii="Arial" w:cs="Arial" w:eastAsia="Arial" w:hAnsi="Arial"/>
                <w:sz w:val="14"/>
                <w:szCs w:val="14"/>
                <w:b w:val="1"/>
                <w:bCs w:val="1"/>
                <w:color w:val="002856"/>
              </w:rPr>
              <w:t>HOEPNER, 82</w:t>
            </w:r>
          </w:p>
        </w:tc>
      </w:tr>
      <w:tr>
        <w:trPr>
          <w:trHeight w:val="175"/>
        </w:trPr>
        <w:tc>
          <w:tcPr>
            <w:tcW w:w="1540" w:type="dxa"/>
            <w:vAlign w:val="bottom"/>
          </w:tcPr>
          <w:p>
            <w:pPr>
              <w:jc w:val="center"/>
              <w:ind w:right="270"/>
              <w:spacing w:after="0"/>
              <w:rPr>
                <w:sz w:val="20"/>
                <w:szCs w:val="20"/>
                <w:color w:val="auto"/>
              </w:rPr>
            </w:pPr>
            <w:r>
              <w:rPr>
                <w:rFonts w:ascii="Arial" w:cs="Arial" w:eastAsia="Arial" w:hAnsi="Arial"/>
                <w:sz w:val="13"/>
                <w:szCs w:val="13"/>
                <w:color w:val="auto"/>
              </w:rPr>
              <w:t>Director since: 1993</w:t>
            </w:r>
          </w:p>
        </w:tc>
        <w:tc>
          <w:tcPr>
            <w:tcW w:w="1800" w:type="dxa"/>
            <w:vAlign w:val="bottom"/>
          </w:tcPr>
          <w:p>
            <w:pPr>
              <w:jc w:val="center"/>
              <w:ind w:left="10"/>
              <w:spacing w:after="0"/>
              <w:rPr>
                <w:sz w:val="20"/>
                <w:szCs w:val="20"/>
                <w:color w:val="auto"/>
              </w:rPr>
            </w:pPr>
            <w:r>
              <w:rPr>
                <w:rFonts w:ascii="Arial" w:cs="Arial" w:eastAsia="Arial" w:hAnsi="Arial"/>
                <w:sz w:val="13"/>
                <w:szCs w:val="13"/>
                <w:color w:val="auto"/>
              </w:rPr>
              <w:t>Director since: 2007</w:t>
            </w:r>
          </w:p>
        </w:tc>
        <w:tc>
          <w:tcPr>
            <w:tcW w:w="2000" w:type="dxa"/>
            <w:vAlign w:val="bottom"/>
          </w:tcPr>
          <w:p>
            <w:pPr>
              <w:jc w:val="center"/>
              <w:spacing w:after="0"/>
              <w:rPr>
                <w:sz w:val="20"/>
                <w:szCs w:val="20"/>
                <w:color w:val="auto"/>
              </w:rPr>
            </w:pPr>
            <w:r>
              <w:rPr>
                <w:rFonts w:ascii="Arial" w:cs="Arial" w:eastAsia="Arial" w:hAnsi="Arial"/>
                <w:sz w:val="13"/>
                <w:szCs w:val="13"/>
                <w:color w:val="auto"/>
              </w:rPr>
              <w:t>Director since: 2018</w:t>
            </w:r>
          </w:p>
        </w:tc>
        <w:tc>
          <w:tcPr>
            <w:tcW w:w="1780" w:type="dxa"/>
            <w:vAlign w:val="bottom"/>
          </w:tcPr>
          <w:p>
            <w:pPr>
              <w:jc w:val="center"/>
              <w:spacing w:after="0"/>
              <w:rPr>
                <w:sz w:val="20"/>
                <w:szCs w:val="20"/>
                <w:color w:val="auto"/>
              </w:rPr>
            </w:pPr>
            <w:r>
              <w:rPr>
                <w:rFonts w:ascii="Arial" w:cs="Arial" w:eastAsia="Arial" w:hAnsi="Arial"/>
                <w:sz w:val="13"/>
                <w:szCs w:val="13"/>
                <w:color w:val="auto"/>
              </w:rPr>
              <w:t>Director since: 2018</w:t>
            </w:r>
          </w:p>
        </w:tc>
        <w:tc>
          <w:tcPr>
            <w:tcW w:w="1520" w:type="dxa"/>
            <w:vAlign w:val="bottom"/>
          </w:tcPr>
          <w:p>
            <w:pPr>
              <w:jc w:val="center"/>
              <w:ind w:left="271"/>
              <w:spacing w:after="0"/>
              <w:rPr>
                <w:sz w:val="20"/>
                <w:szCs w:val="20"/>
                <w:color w:val="auto"/>
              </w:rPr>
            </w:pPr>
            <w:r>
              <w:rPr>
                <w:rFonts w:ascii="Arial" w:cs="Arial" w:eastAsia="Arial" w:hAnsi="Arial"/>
                <w:sz w:val="13"/>
                <w:szCs w:val="13"/>
                <w:color w:val="auto"/>
              </w:rPr>
              <w:t>Director since: 1994</w:t>
            </w:r>
          </w:p>
        </w:tc>
      </w:tr>
      <w:tr>
        <w:trPr>
          <w:trHeight w:val="241"/>
        </w:trPr>
        <w:tc>
          <w:tcPr>
            <w:tcW w:w="1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0" w:type="dxa"/>
            <w:vAlign w:val="bottom"/>
          </w:tcPr>
          <w:p>
            <w:pPr>
              <w:ind w:left="940"/>
              <w:spacing w:after="0"/>
              <w:rPr>
                <w:sz w:val="20"/>
                <w:szCs w:val="20"/>
                <w:color w:val="auto"/>
              </w:rPr>
            </w:pPr>
            <w:r>
              <w:rPr>
                <w:rFonts w:ascii="Arial" w:cs="Arial" w:eastAsia="Arial" w:hAnsi="Arial"/>
                <w:sz w:val="13"/>
                <w:szCs w:val="13"/>
                <w:color w:val="auto"/>
              </w:rPr>
              <w:t xml:space="preserve">  </w:t>
            </w:r>
          </w:p>
        </w:tc>
        <w:tc>
          <w:tcPr>
            <w:tcW w:w="1780" w:type="dxa"/>
            <w:vAlign w:val="bottom"/>
          </w:tcPr>
          <w:p>
            <w:pPr>
              <w:spacing w:after="0"/>
              <w:rPr>
                <w:sz w:val="20"/>
                <w:szCs w:val="20"/>
                <w:color w:val="auto"/>
              </w:rPr>
            </w:pPr>
          </w:p>
        </w:tc>
        <w:tc>
          <w:tcPr>
            <w:tcW w:w="1520" w:type="dxa"/>
            <w:vAlign w:val="bottom"/>
          </w:tcPr>
          <w:p>
            <w:pPr>
              <w:ind w:left="860"/>
              <w:spacing w:after="0"/>
              <w:rPr>
                <w:sz w:val="20"/>
                <w:szCs w:val="20"/>
                <w:color w:val="auto"/>
              </w:rPr>
            </w:pPr>
            <w:r>
              <w:rPr>
                <w:rFonts w:ascii="Arial" w:cs="Arial" w:eastAsia="Arial" w:hAnsi="Arial"/>
                <w:sz w:val="13"/>
                <w:szCs w:val="13"/>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673090" cy="1061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090" cy="1061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5673090" cy="106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3090"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540" w:type="dxa"/>
            <w:vAlign w:val="bottom"/>
          </w:tcPr>
          <w:p>
            <w:pPr>
              <w:jc w:val="center"/>
              <w:ind w:right="250"/>
              <w:spacing w:after="0"/>
              <w:rPr>
                <w:sz w:val="20"/>
                <w:szCs w:val="20"/>
                <w:color w:val="auto"/>
              </w:rPr>
            </w:pPr>
            <w:r>
              <w:rPr>
                <w:rFonts w:ascii="Arial" w:cs="Arial" w:eastAsia="Arial" w:hAnsi="Arial"/>
                <w:sz w:val="14"/>
                <w:szCs w:val="14"/>
                <w:b w:val="1"/>
                <w:bCs w:val="1"/>
                <w:color w:val="002856"/>
              </w:rPr>
              <w:t>JAMES 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2856"/>
              </w:rPr>
              <w:t>TONI</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2856"/>
              </w:rPr>
              <w:t>PAUL J.</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rPr>
              <w:t>TIMOTHY R.M.</w:t>
            </w:r>
          </w:p>
        </w:tc>
        <w:tc>
          <w:tcPr>
            <w:tcW w:w="1520" w:type="dxa"/>
            <w:vAlign w:val="bottom"/>
          </w:tcPr>
          <w:p>
            <w:pPr>
              <w:jc w:val="center"/>
              <w:ind w:left="250"/>
              <w:spacing w:after="0"/>
              <w:rPr>
                <w:sz w:val="20"/>
                <w:szCs w:val="20"/>
                <w:color w:val="auto"/>
              </w:rPr>
            </w:pPr>
            <w:r>
              <w:rPr>
                <w:rFonts w:ascii="Arial" w:cs="Arial" w:eastAsia="Arial" w:hAnsi="Arial"/>
                <w:sz w:val="14"/>
                <w:szCs w:val="14"/>
                <w:b w:val="1"/>
                <w:bCs w:val="1"/>
                <w:color w:val="002856"/>
              </w:rPr>
              <w:t>BRONISLAW E.</w:t>
            </w:r>
          </w:p>
        </w:tc>
      </w:tr>
      <w:tr>
        <w:trPr>
          <w:trHeight w:val="161"/>
        </w:trPr>
        <w:tc>
          <w:tcPr>
            <w:tcW w:w="1540" w:type="dxa"/>
            <w:vAlign w:val="bottom"/>
          </w:tcPr>
          <w:p>
            <w:pPr>
              <w:jc w:val="center"/>
              <w:ind w:right="250"/>
              <w:spacing w:after="0"/>
              <w:rPr>
                <w:sz w:val="20"/>
                <w:szCs w:val="20"/>
                <w:color w:val="auto"/>
              </w:rPr>
            </w:pPr>
            <w:r>
              <w:rPr>
                <w:rFonts w:ascii="Arial" w:cs="Arial" w:eastAsia="Arial" w:hAnsi="Arial"/>
                <w:sz w:val="14"/>
                <w:szCs w:val="14"/>
                <w:b w:val="1"/>
                <w:bCs w:val="1"/>
                <w:color w:val="002856"/>
                <w:w w:val="99"/>
              </w:rPr>
              <w:t>HUNT, 68</w:t>
            </w:r>
          </w:p>
        </w:tc>
        <w:tc>
          <w:tcPr>
            <w:tcW w:w="1880" w:type="dxa"/>
            <w:vAlign w:val="bottom"/>
          </w:tcPr>
          <w:p>
            <w:pPr>
              <w:jc w:val="center"/>
              <w:spacing w:after="0" w:line="161" w:lineRule="exact"/>
              <w:rPr>
                <w:sz w:val="20"/>
                <w:szCs w:val="20"/>
                <w:color w:val="auto"/>
              </w:rPr>
            </w:pPr>
            <w:r>
              <w:rPr>
                <w:rFonts w:ascii="Arial" w:cs="Arial" w:eastAsia="Arial" w:hAnsi="Arial"/>
                <w:sz w:val="12"/>
                <w:szCs w:val="12"/>
                <w:b w:val="1"/>
                <w:bCs w:val="1"/>
                <w:color w:val="002856"/>
              </w:rPr>
              <w:t>JENNINGS,</w:t>
            </w:r>
            <w:r>
              <w:rPr>
                <w:rFonts w:ascii="Arial" w:cs="Arial" w:eastAsia="Arial" w:hAnsi="Arial"/>
                <w:sz w:val="18"/>
                <w:szCs w:val="18"/>
                <w:b w:val="1"/>
                <w:bCs w:val="1"/>
                <w:color w:val="002856"/>
                <w:vertAlign w:val="superscript"/>
              </w:rPr>
              <w:t>1</w:t>
            </w:r>
            <w:r>
              <w:rPr>
                <w:rFonts w:ascii="Arial" w:cs="Arial" w:eastAsia="Arial" w:hAnsi="Arial"/>
                <w:sz w:val="12"/>
                <w:szCs w:val="12"/>
                <w:b w:val="1"/>
                <w:bCs w:val="1"/>
                <w:color w:val="002856"/>
              </w:rPr>
              <w:t xml:space="preserve"> 74</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2856"/>
                <w:w w:val="99"/>
              </w:rPr>
              <w:t>KRUMP, 64</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rPr>
              <w:t>MAIN, 58</w:t>
            </w:r>
          </w:p>
        </w:tc>
        <w:tc>
          <w:tcPr>
            <w:tcW w:w="1520" w:type="dxa"/>
            <w:vAlign w:val="bottom"/>
          </w:tcPr>
          <w:p>
            <w:pPr>
              <w:jc w:val="center"/>
              <w:ind w:left="270"/>
              <w:spacing w:after="0"/>
              <w:rPr>
                <w:sz w:val="20"/>
                <w:szCs w:val="20"/>
                <w:color w:val="auto"/>
              </w:rPr>
            </w:pPr>
            <w:r>
              <w:rPr>
                <w:rFonts w:ascii="Arial" w:cs="Arial" w:eastAsia="Arial" w:hAnsi="Arial"/>
                <w:sz w:val="14"/>
                <w:szCs w:val="14"/>
                <w:b w:val="1"/>
                <w:bCs w:val="1"/>
                <w:color w:val="002856"/>
              </w:rPr>
              <w:t>MASOJADA, 62</w:t>
            </w:r>
          </w:p>
        </w:tc>
      </w:tr>
      <w:tr>
        <w:trPr>
          <w:trHeight w:val="175"/>
        </w:trPr>
        <w:tc>
          <w:tcPr>
            <w:tcW w:w="1540" w:type="dxa"/>
            <w:vAlign w:val="bottom"/>
          </w:tcPr>
          <w:p>
            <w:pPr>
              <w:jc w:val="center"/>
              <w:ind w:right="270"/>
              <w:spacing w:after="0"/>
              <w:rPr>
                <w:sz w:val="20"/>
                <w:szCs w:val="20"/>
                <w:color w:val="auto"/>
              </w:rPr>
            </w:pPr>
            <w:r>
              <w:rPr>
                <w:rFonts w:ascii="Arial" w:cs="Arial" w:eastAsia="Arial" w:hAnsi="Arial"/>
                <w:sz w:val="13"/>
                <w:szCs w:val="13"/>
                <w:color w:val="auto"/>
              </w:rPr>
              <w:t>Director since: 2013</w:t>
            </w:r>
          </w:p>
        </w:tc>
        <w:tc>
          <w:tcPr>
            <w:tcW w:w="1880" w:type="dxa"/>
            <w:vAlign w:val="bottom"/>
          </w:tcPr>
          <w:p>
            <w:pPr>
              <w:jc w:val="center"/>
              <w:spacing w:after="0"/>
              <w:rPr>
                <w:sz w:val="20"/>
                <w:szCs w:val="20"/>
                <w:color w:val="auto"/>
              </w:rPr>
            </w:pPr>
            <w:r>
              <w:rPr>
                <w:rFonts w:ascii="Arial" w:cs="Arial" w:eastAsia="Arial" w:hAnsi="Arial"/>
                <w:sz w:val="13"/>
                <w:szCs w:val="13"/>
                <w:color w:val="auto"/>
              </w:rPr>
              <w:t>Director since: 2007</w:t>
            </w:r>
          </w:p>
        </w:tc>
        <w:tc>
          <w:tcPr>
            <w:tcW w:w="1860" w:type="dxa"/>
            <w:vAlign w:val="bottom"/>
          </w:tcPr>
          <w:p>
            <w:pPr>
              <w:jc w:val="center"/>
              <w:spacing w:after="0"/>
              <w:rPr>
                <w:sz w:val="20"/>
                <w:szCs w:val="20"/>
                <w:color w:val="auto"/>
              </w:rPr>
            </w:pPr>
            <w:r>
              <w:rPr>
                <w:rFonts w:ascii="Arial" w:cs="Arial" w:eastAsia="Arial" w:hAnsi="Arial"/>
                <w:sz w:val="13"/>
                <w:szCs w:val="13"/>
                <w:color w:val="auto"/>
              </w:rPr>
              <w:t>Director since: 2023</w:t>
            </w:r>
          </w:p>
        </w:tc>
        <w:tc>
          <w:tcPr>
            <w:tcW w:w="1840" w:type="dxa"/>
            <w:vAlign w:val="bottom"/>
          </w:tcPr>
          <w:p>
            <w:pPr>
              <w:jc w:val="center"/>
              <w:spacing w:after="0"/>
              <w:rPr>
                <w:sz w:val="20"/>
                <w:szCs w:val="20"/>
                <w:color w:val="auto"/>
              </w:rPr>
            </w:pPr>
            <w:r>
              <w:rPr>
                <w:rFonts w:ascii="Arial" w:cs="Arial" w:eastAsia="Arial" w:hAnsi="Arial"/>
                <w:sz w:val="13"/>
                <w:szCs w:val="13"/>
                <w:color w:val="auto"/>
              </w:rPr>
              <w:t>Director since: 2010</w:t>
            </w:r>
          </w:p>
        </w:tc>
        <w:tc>
          <w:tcPr>
            <w:tcW w:w="1520" w:type="dxa"/>
            <w:vAlign w:val="bottom"/>
          </w:tcPr>
          <w:p>
            <w:pPr>
              <w:jc w:val="center"/>
              <w:ind w:left="270"/>
              <w:spacing w:after="0"/>
              <w:rPr>
                <w:sz w:val="20"/>
                <w:szCs w:val="20"/>
                <w:color w:val="auto"/>
              </w:rPr>
            </w:pPr>
            <w:r>
              <w:rPr>
                <w:rFonts w:ascii="Arial" w:cs="Arial" w:eastAsia="Arial" w:hAnsi="Arial"/>
                <w:sz w:val="13"/>
                <w:szCs w:val="13"/>
                <w:color w:val="auto"/>
              </w:rPr>
              <w:t>Director since: 2023</w:t>
            </w:r>
          </w:p>
        </w:tc>
      </w:tr>
      <w:tr>
        <w:trPr>
          <w:trHeight w:val="271"/>
        </w:trPr>
        <w:tc>
          <w:tcPr>
            <w:tcW w:w="1540" w:type="dxa"/>
            <w:vAlign w:val="bottom"/>
          </w:tcPr>
          <w:p>
            <w:pPr>
              <w:ind w:left="520"/>
              <w:spacing w:after="0"/>
              <w:rPr>
                <w:sz w:val="20"/>
                <w:szCs w:val="20"/>
                <w:color w:val="auto"/>
              </w:rPr>
            </w:pPr>
            <w:r>
              <w:rPr>
                <w:rFonts w:ascii="Arial" w:cs="Arial" w:eastAsia="Arial" w:hAnsi="Arial"/>
                <w:sz w:val="14"/>
                <w:szCs w:val="14"/>
                <w:color w:val="auto"/>
              </w:rPr>
              <w:t xml:space="preserve">  </w:t>
            </w:r>
          </w:p>
        </w:tc>
        <w:tc>
          <w:tcPr>
            <w:tcW w:w="1880" w:type="dxa"/>
            <w:vAlign w:val="bottom"/>
          </w:tcPr>
          <w:p>
            <w:pPr>
              <w:ind w:left="860"/>
              <w:spacing w:after="0"/>
              <w:rPr>
                <w:sz w:val="20"/>
                <w:szCs w:val="20"/>
                <w:color w:val="auto"/>
              </w:rPr>
            </w:pPr>
            <w:r>
              <w:rPr>
                <w:rFonts w:ascii="Arial" w:cs="Arial" w:eastAsia="Arial" w:hAnsi="Arial"/>
                <w:sz w:val="14"/>
                <w:szCs w:val="14"/>
                <w:color w:val="auto"/>
              </w:rPr>
              <w:t xml:space="preserve">  </w:t>
            </w:r>
          </w:p>
        </w:tc>
        <w:tc>
          <w:tcPr>
            <w:tcW w:w="1860" w:type="dxa"/>
            <w:vAlign w:val="bottom"/>
          </w:tcPr>
          <w:p>
            <w:pPr>
              <w:ind w:left="860"/>
              <w:spacing w:after="0"/>
              <w:rPr>
                <w:sz w:val="20"/>
                <w:szCs w:val="20"/>
                <w:color w:val="auto"/>
              </w:rPr>
            </w:pPr>
            <w:r>
              <w:rPr>
                <w:rFonts w:ascii="Arial" w:cs="Arial" w:eastAsia="Arial" w:hAnsi="Arial"/>
                <w:sz w:val="14"/>
                <w:szCs w:val="14"/>
                <w:color w:val="auto"/>
              </w:rPr>
              <w:t xml:space="preserve">  </w:t>
            </w:r>
          </w:p>
        </w:tc>
        <w:tc>
          <w:tcPr>
            <w:tcW w:w="1840" w:type="dxa"/>
            <w:vAlign w:val="bottom"/>
          </w:tcPr>
          <w:p>
            <w:pPr>
              <w:spacing w:after="0"/>
              <w:rPr>
                <w:sz w:val="23"/>
                <w:szCs w:val="23"/>
                <w:color w:val="auto"/>
              </w:rPr>
            </w:pPr>
          </w:p>
        </w:tc>
        <w:tc>
          <w:tcPr>
            <w:tcW w:w="1520" w:type="dxa"/>
            <w:vAlign w:val="bottom"/>
          </w:tcPr>
          <w:p>
            <w:pPr>
              <w:ind w:left="860"/>
              <w:spacing w:after="0"/>
              <w:rPr>
                <w:sz w:val="20"/>
                <w:szCs w:val="20"/>
                <w:color w:val="auto"/>
              </w:rPr>
            </w:pPr>
            <w:r>
              <w:rPr>
                <w:rFonts w:ascii="Arial" w:cs="Arial" w:eastAsia="Arial" w:hAnsi="Arial"/>
                <w:sz w:val="14"/>
                <w:szCs w:val="14"/>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5673090" cy="1061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090" cy="10617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5673090" cy="1061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090" cy="1061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sz w:val="1"/>
          <w:szCs w:val="1"/>
          <w:color w:val="auto"/>
        </w:rPr>
        <w:drawing>
          <wp:inline distT="0" distB="0" distL="0" distR="0">
            <wp:extent cx="118745" cy="1187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745" cy="118745"/>
                    </a:xfrm>
                    <a:prstGeom prst="rect">
                      <a:avLst/>
                    </a:prstGeom>
                    <a:noFill/>
                    <a:ln>
                      <a:noFill/>
                    </a:ln>
                  </pic:spPr>
                </pic:pic>
              </a:graphicData>
            </a:graphic>
          </wp:inline>
        </w:drawing>
      </w:r>
      <w:r>
        <w:rPr>
          <w:rFonts w:ascii="Arial" w:cs="Arial" w:eastAsia="Arial" w:hAnsi="Arial"/>
          <w:sz w:val="25"/>
          <w:szCs w:val="25"/>
          <w:color w:val="auto"/>
          <w:vertAlign w:val="subscript"/>
        </w:rPr>
        <w:t xml:space="preserve">   </w:t>
      </w:r>
      <w:r>
        <w:rPr>
          <w:rFonts w:ascii="Arial" w:cs="Arial" w:eastAsia="Arial" w:hAnsi="Arial"/>
          <w:sz w:val="9"/>
          <w:szCs w:val="9"/>
          <w:color w:val="auto"/>
        </w:rPr>
        <w:t>Committee Chair</w:t>
      </w:r>
    </w:p>
    <w:p>
      <w:pPr>
        <w:spacing w:after="0" w:line="135" w:lineRule="exact"/>
        <w:rPr>
          <w:sz w:val="20"/>
          <w:szCs w:val="20"/>
          <w:color w:val="auto"/>
        </w:rPr>
      </w:pPr>
    </w:p>
    <w:p>
      <w:pPr>
        <w:spacing w:after="0"/>
        <w:rPr>
          <w:sz w:val="20"/>
          <w:szCs w:val="20"/>
          <w:color w:val="auto"/>
        </w:rPr>
      </w:pPr>
      <w:r>
        <w:rPr>
          <w:sz w:val="1"/>
          <w:szCs w:val="1"/>
          <w:color w:val="auto"/>
        </w:rPr>
        <w:drawing>
          <wp:inline distT="0" distB="0" distL="0" distR="0">
            <wp:extent cx="101600" cy="101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9"/>
          <w:szCs w:val="9"/>
          <w:color w:val="auto"/>
        </w:rPr>
        <w:t xml:space="preserve">    Audit Committee</w:t>
      </w:r>
    </w:p>
    <w:p>
      <w:pPr>
        <w:spacing w:after="0" w:line="13" w:lineRule="exact"/>
        <w:rPr>
          <w:sz w:val="20"/>
          <w:szCs w:val="20"/>
          <w:color w:val="auto"/>
        </w:rPr>
      </w:pPr>
    </w:p>
    <w:p>
      <w:pPr>
        <w:spacing w:after="0"/>
        <w:rPr>
          <w:sz w:val="20"/>
          <w:szCs w:val="20"/>
          <w:color w:val="auto"/>
        </w:rPr>
      </w:pPr>
      <w:r>
        <w:rPr>
          <w:sz w:val="1"/>
          <w:szCs w:val="1"/>
          <w:color w:val="auto"/>
        </w:rPr>
        <w:drawing>
          <wp:inline distT="0" distB="0" distL="0" distR="0">
            <wp:extent cx="101600" cy="101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5"/>
          <w:szCs w:val="25"/>
          <w:color w:val="auto"/>
          <w:vertAlign w:val="subscript"/>
        </w:rPr>
        <w:t xml:space="preserve">    </w:t>
      </w:r>
      <w:r>
        <w:rPr>
          <w:rFonts w:ascii="Arial" w:cs="Arial" w:eastAsia="Arial" w:hAnsi="Arial"/>
          <w:sz w:val="9"/>
          <w:szCs w:val="9"/>
          <w:color w:val="auto"/>
        </w:rPr>
        <w:t>Compensation</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9"/>
          <w:szCs w:val="9"/>
          <w:color w:val="auto"/>
        </w:rPr>
        <w:t>Committee</w:t>
      </w:r>
    </w:p>
    <w:p>
      <w:pPr>
        <w:spacing w:after="0" w:line="11" w:lineRule="exact"/>
        <w:rPr>
          <w:sz w:val="20"/>
          <w:szCs w:val="20"/>
          <w:color w:val="auto"/>
        </w:rPr>
      </w:pPr>
    </w:p>
    <w:p>
      <w:pPr>
        <w:spacing w:after="0"/>
        <w:rPr>
          <w:sz w:val="20"/>
          <w:szCs w:val="20"/>
          <w:color w:val="auto"/>
        </w:rPr>
      </w:pPr>
      <w:r>
        <w:rPr>
          <w:sz w:val="1"/>
          <w:szCs w:val="1"/>
          <w:color w:val="auto"/>
        </w:rPr>
        <w:drawing>
          <wp:inline distT="0" distB="0" distL="0" distR="0">
            <wp:extent cx="101600" cy="101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2"/>
          <w:szCs w:val="22"/>
          <w:color w:val="auto"/>
          <w:vertAlign w:val="subscript"/>
        </w:rPr>
        <w:t xml:space="preserve">    </w:t>
      </w:r>
      <w:r>
        <w:rPr>
          <w:rFonts w:ascii="Arial" w:cs="Arial" w:eastAsia="Arial" w:hAnsi="Arial"/>
          <w:sz w:val="8"/>
          <w:szCs w:val="8"/>
          <w:color w:val="auto"/>
        </w:rPr>
        <w:t>Acquisition Committee</w:t>
      </w:r>
    </w:p>
    <w:p>
      <w:pPr>
        <w:spacing w:after="0" w:line="51" w:lineRule="exact"/>
        <w:rPr>
          <w:sz w:val="20"/>
          <w:szCs w:val="20"/>
          <w:color w:val="auto"/>
        </w:rPr>
      </w:pPr>
    </w:p>
    <w:p>
      <w:pPr>
        <w:jc w:val="right"/>
        <w:ind w:right="60"/>
        <w:spacing w:after="0" w:line="191" w:lineRule="auto"/>
        <w:rPr>
          <w:sz w:val="20"/>
          <w:szCs w:val="20"/>
          <w:color w:val="auto"/>
        </w:rPr>
      </w:pPr>
      <w:r>
        <w:rPr>
          <w:sz w:val="1"/>
          <w:szCs w:val="1"/>
          <w:color w:val="auto"/>
        </w:rPr>
        <w:drawing>
          <wp:inline distT="0" distB="0" distL="0" distR="0">
            <wp:extent cx="101600" cy="101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600" cy="101600"/>
                    </a:xfrm>
                    <a:prstGeom prst="rect">
                      <a:avLst/>
                    </a:prstGeom>
                    <a:noFill/>
                    <a:ln>
                      <a:noFill/>
                    </a:ln>
                  </pic:spPr>
                </pic:pic>
              </a:graphicData>
            </a:graphic>
          </wp:inline>
        </w:drawing>
      </w:r>
      <w:r>
        <w:rPr>
          <w:rFonts w:ascii="Arial" w:cs="Arial" w:eastAsia="Arial" w:hAnsi="Arial"/>
          <w:sz w:val="22"/>
          <w:szCs w:val="22"/>
          <w:color w:val="auto"/>
          <w:vertAlign w:val="subscript"/>
        </w:rPr>
        <w:t xml:space="preserve">    </w:t>
      </w:r>
      <w:r>
        <w:rPr>
          <w:rFonts w:ascii="Arial" w:cs="Arial" w:eastAsia="Arial" w:hAnsi="Arial"/>
          <w:sz w:val="8"/>
          <w:szCs w:val="8"/>
          <w:color w:val="auto"/>
        </w:rPr>
        <w:t>Nominating/Corporate</w:t>
      </w:r>
      <w:r>
        <w:rPr>
          <w:rFonts w:ascii="Arial" w:cs="Arial" w:eastAsia="Arial" w:hAnsi="Arial"/>
          <w:sz w:val="22"/>
          <w:szCs w:val="22"/>
          <w:color w:val="auto"/>
        </w:rPr>
        <w:t xml:space="preserve"> </w:t>
      </w:r>
      <w:r>
        <w:rPr>
          <w:rFonts w:ascii="Arial" w:cs="Arial" w:eastAsia="Arial" w:hAnsi="Arial"/>
          <w:sz w:val="8"/>
          <w:szCs w:val="8"/>
          <w:color w:val="auto"/>
        </w:rPr>
        <w:t>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right="20" w:hanging="124"/>
        <w:spacing w:after="0" w:line="244" w:lineRule="auto"/>
        <w:rPr>
          <w:sz w:val="20"/>
          <w:szCs w:val="20"/>
          <w:color w:val="auto"/>
        </w:rPr>
      </w:pPr>
      <w:r>
        <w:rPr>
          <w:rFonts w:ascii="Arial" w:cs="Arial" w:eastAsia="Arial" w:hAnsi="Arial"/>
          <w:sz w:val="12"/>
          <w:szCs w:val="12"/>
          <w:color w:val="auto"/>
        </w:rPr>
        <w:t>1   Ms. Jennings previously served on our Board of Directors from 1999 until April 2003.</w:t>
      </w:r>
    </w:p>
    <w:p>
      <w:pPr>
        <w:spacing w:after="0" w:line="88" w:lineRule="exact"/>
        <w:rPr>
          <w:sz w:val="20"/>
          <w:szCs w:val="20"/>
          <w:color w:val="auto"/>
        </w:rPr>
      </w:pPr>
    </w:p>
    <w:p>
      <w:pPr>
        <w:ind w:left="120" w:right="180" w:hanging="124"/>
        <w:spacing w:after="0" w:line="279" w:lineRule="auto"/>
        <w:rPr>
          <w:sz w:val="20"/>
          <w:szCs w:val="20"/>
          <w:color w:val="auto"/>
        </w:rPr>
      </w:pPr>
      <w:r>
        <w:rPr>
          <w:rFonts w:ascii="Arial" w:cs="Arial" w:eastAsia="Arial" w:hAnsi="Arial"/>
          <w:sz w:val="12"/>
          <w:szCs w:val="12"/>
          <w:color w:val="auto"/>
        </w:rPr>
        <w:t>2  Lead Independent Director</w:t>
      </w:r>
    </w:p>
    <w:p>
      <w:pPr>
        <w:spacing w:after="0" w:line="200" w:lineRule="exact"/>
        <w:rPr>
          <w:sz w:val="20"/>
          <w:szCs w:val="20"/>
          <w:color w:val="auto"/>
        </w:rPr>
      </w:pPr>
    </w:p>
    <w:p>
      <w:pPr>
        <w:sectPr>
          <w:pgSz w:w="11900" w:h="16838" w:orient="portrait"/>
          <w:cols w:equalWidth="0" w:num="2">
            <w:col w:w="8920" w:space="700"/>
            <w:col w:w="1300"/>
          </w:cols>
          <w:pgMar w:left="480" w:top="583" w:right="499" w:bottom="1440" w:gutter="0" w:footer="0" w:header="0"/>
          <w:type w:val="continuous"/>
        </w:sectPr>
      </w:pPr>
    </w:p>
    <w:p>
      <w:pPr>
        <w:spacing w:after="0" w:line="4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500" w:type="dxa"/>
            <w:vAlign w:val="bottom"/>
          </w:tcPr>
          <w:p>
            <w:pPr>
              <w:jc w:val="center"/>
              <w:ind w:right="231"/>
              <w:spacing w:after="0"/>
              <w:rPr>
                <w:sz w:val="20"/>
                <w:szCs w:val="20"/>
                <w:color w:val="auto"/>
              </w:rPr>
            </w:pPr>
            <w:r>
              <w:rPr>
                <w:rFonts w:ascii="Arial" w:cs="Arial" w:eastAsia="Arial" w:hAnsi="Arial"/>
                <w:sz w:val="14"/>
                <w:szCs w:val="14"/>
                <w:b w:val="1"/>
                <w:bCs w:val="1"/>
                <w:color w:val="002856"/>
              </w:rPr>
              <w:t>JAYMIN 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2856"/>
              </w:rPr>
              <w:t>H. PALMER</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rPr>
              <w:t>WENDELL 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rPr>
              <w:t>KATHLEEN A.</w:t>
            </w:r>
          </w:p>
        </w:tc>
        <w:tc>
          <w:tcPr>
            <w:tcW w:w="1520" w:type="dxa"/>
            <w:vAlign w:val="bottom"/>
          </w:tcPr>
          <w:p>
            <w:pPr>
              <w:jc w:val="center"/>
              <w:ind w:left="251"/>
              <w:spacing w:after="0"/>
              <w:rPr>
                <w:sz w:val="20"/>
                <w:szCs w:val="20"/>
                <w:color w:val="auto"/>
              </w:rPr>
            </w:pPr>
            <w:r>
              <w:rPr>
                <w:rFonts w:ascii="Arial" w:cs="Arial" w:eastAsia="Arial" w:hAnsi="Arial"/>
                <w:sz w:val="14"/>
                <w:szCs w:val="14"/>
                <w:b w:val="1"/>
                <w:bCs w:val="1"/>
                <w:color w:val="002856"/>
                <w:w w:val="99"/>
              </w:rPr>
              <w:t>CHILTON D.</w:t>
            </w:r>
          </w:p>
        </w:tc>
      </w:tr>
      <w:tr>
        <w:trPr>
          <w:trHeight w:val="161"/>
        </w:trPr>
        <w:tc>
          <w:tcPr>
            <w:tcW w:w="1500" w:type="dxa"/>
            <w:vAlign w:val="bottom"/>
          </w:tcPr>
          <w:p>
            <w:pPr>
              <w:jc w:val="center"/>
              <w:ind w:right="231"/>
              <w:spacing w:after="0"/>
              <w:rPr>
                <w:sz w:val="20"/>
                <w:szCs w:val="20"/>
                <w:color w:val="auto"/>
              </w:rPr>
            </w:pPr>
            <w:r>
              <w:rPr>
                <w:rFonts w:ascii="Arial" w:cs="Arial" w:eastAsia="Arial" w:hAnsi="Arial"/>
                <w:sz w:val="14"/>
                <w:szCs w:val="14"/>
                <w:b w:val="1"/>
                <w:bCs w:val="1"/>
                <w:color w:val="002856"/>
                <w:w w:val="98"/>
              </w:rPr>
              <w:t>PATEL, 56</w:t>
            </w:r>
          </w:p>
        </w:tc>
        <w:tc>
          <w:tcPr>
            <w:tcW w:w="1940" w:type="dxa"/>
            <w:vAlign w:val="bottom"/>
          </w:tcPr>
          <w:p>
            <w:pPr>
              <w:jc w:val="center"/>
              <w:spacing w:after="0" w:line="161" w:lineRule="exact"/>
              <w:rPr>
                <w:sz w:val="20"/>
                <w:szCs w:val="20"/>
                <w:color w:val="auto"/>
              </w:rPr>
            </w:pPr>
            <w:r>
              <w:rPr>
                <w:rFonts w:ascii="Arial" w:cs="Arial" w:eastAsia="Arial" w:hAnsi="Arial"/>
                <w:sz w:val="12"/>
                <w:szCs w:val="12"/>
                <w:b w:val="1"/>
                <w:bCs w:val="1"/>
                <w:color w:val="002856"/>
              </w:rPr>
              <w:t>PROCTOR, JR.,</w:t>
            </w:r>
            <w:r>
              <w:rPr>
                <w:rFonts w:ascii="Arial" w:cs="Arial" w:eastAsia="Arial" w:hAnsi="Arial"/>
                <w:sz w:val="18"/>
                <w:szCs w:val="18"/>
                <w:b w:val="1"/>
                <w:bCs w:val="1"/>
                <w:color w:val="002856"/>
                <w:vertAlign w:val="superscript"/>
              </w:rPr>
              <w:t>2</w:t>
            </w:r>
            <w:r>
              <w:rPr>
                <w:rFonts w:ascii="Arial" w:cs="Arial" w:eastAsia="Arial" w:hAnsi="Arial"/>
                <w:sz w:val="12"/>
                <w:szCs w:val="12"/>
                <w:b w:val="1"/>
                <w:bCs w:val="1"/>
                <w:color w:val="002856"/>
              </w:rPr>
              <w:t xml:space="preserve"> 55</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w w:val="95"/>
              </w:rPr>
              <w:t>REILLY, 66</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2856"/>
              </w:rPr>
              <w:t>SAVIO, 58</w:t>
            </w:r>
          </w:p>
        </w:tc>
        <w:tc>
          <w:tcPr>
            <w:tcW w:w="1520" w:type="dxa"/>
            <w:vAlign w:val="bottom"/>
          </w:tcPr>
          <w:p>
            <w:pPr>
              <w:jc w:val="center"/>
              <w:ind w:left="271"/>
              <w:spacing w:after="0"/>
              <w:rPr>
                <w:sz w:val="20"/>
                <w:szCs w:val="20"/>
                <w:color w:val="auto"/>
              </w:rPr>
            </w:pPr>
            <w:r>
              <w:rPr>
                <w:rFonts w:ascii="Arial" w:cs="Arial" w:eastAsia="Arial" w:hAnsi="Arial"/>
                <w:sz w:val="14"/>
                <w:szCs w:val="14"/>
                <w:b w:val="1"/>
                <w:bCs w:val="1"/>
                <w:color w:val="002856"/>
                <w:w w:val="99"/>
              </w:rPr>
              <w:t>VARNER, 81</w:t>
            </w:r>
          </w:p>
        </w:tc>
      </w:tr>
      <w:tr>
        <w:trPr>
          <w:trHeight w:val="175"/>
        </w:trPr>
        <w:tc>
          <w:tcPr>
            <w:tcW w:w="1500" w:type="dxa"/>
            <w:vAlign w:val="bottom"/>
          </w:tcPr>
          <w:p>
            <w:pPr>
              <w:jc w:val="center"/>
              <w:ind w:right="231"/>
              <w:spacing w:after="0"/>
              <w:rPr>
                <w:sz w:val="20"/>
                <w:szCs w:val="20"/>
                <w:color w:val="auto"/>
              </w:rPr>
            </w:pPr>
            <w:r>
              <w:rPr>
                <w:rFonts w:ascii="Arial" w:cs="Arial" w:eastAsia="Arial" w:hAnsi="Arial"/>
                <w:sz w:val="13"/>
                <w:szCs w:val="13"/>
                <w:color w:val="auto"/>
              </w:rPr>
              <w:t>Director since: 2023</w:t>
            </w:r>
          </w:p>
        </w:tc>
        <w:tc>
          <w:tcPr>
            <w:tcW w:w="1940" w:type="dxa"/>
            <w:vAlign w:val="bottom"/>
          </w:tcPr>
          <w:p>
            <w:pPr>
              <w:jc w:val="center"/>
              <w:spacing w:after="0"/>
              <w:rPr>
                <w:sz w:val="20"/>
                <w:szCs w:val="20"/>
                <w:color w:val="auto"/>
              </w:rPr>
            </w:pPr>
            <w:r>
              <w:rPr>
                <w:rFonts w:ascii="Arial" w:cs="Arial" w:eastAsia="Arial" w:hAnsi="Arial"/>
                <w:sz w:val="13"/>
                <w:szCs w:val="13"/>
                <w:color w:val="auto"/>
              </w:rPr>
              <w:t>Director since: 2012</w:t>
            </w:r>
          </w:p>
        </w:tc>
        <w:tc>
          <w:tcPr>
            <w:tcW w:w="1840" w:type="dxa"/>
            <w:vAlign w:val="bottom"/>
          </w:tcPr>
          <w:p>
            <w:pPr>
              <w:jc w:val="center"/>
              <w:spacing w:after="0"/>
              <w:rPr>
                <w:sz w:val="20"/>
                <w:szCs w:val="20"/>
                <w:color w:val="auto"/>
              </w:rPr>
            </w:pPr>
            <w:r>
              <w:rPr>
                <w:rFonts w:ascii="Arial" w:cs="Arial" w:eastAsia="Arial" w:hAnsi="Arial"/>
                <w:sz w:val="13"/>
                <w:szCs w:val="13"/>
                <w:color w:val="auto"/>
              </w:rPr>
              <w:t>Director since: 2007</w:t>
            </w:r>
          </w:p>
        </w:tc>
        <w:tc>
          <w:tcPr>
            <w:tcW w:w="1840" w:type="dxa"/>
            <w:vAlign w:val="bottom"/>
          </w:tcPr>
          <w:p>
            <w:pPr>
              <w:jc w:val="center"/>
              <w:spacing w:after="0"/>
              <w:rPr>
                <w:sz w:val="20"/>
                <w:szCs w:val="20"/>
                <w:color w:val="auto"/>
              </w:rPr>
            </w:pPr>
            <w:r>
              <w:rPr>
                <w:rFonts w:ascii="Arial" w:cs="Arial" w:eastAsia="Arial" w:hAnsi="Arial"/>
                <w:sz w:val="13"/>
                <w:szCs w:val="13"/>
                <w:color w:val="auto"/>
              </w:rPr>
              <w:t>Director since: 2024</w:t>
            </w:r>
          </w:p>
        </w:tc>
        <w:tc>
          <w:tcPr>
            <w:tcW w:w="1520" w:type="dxa"/>
            <w:vAlign w:val="bottom"/>
          </w:tcPr>
          <w:p>
            <w:pPr>
              <w:jc w:val="center"/>
              <w:ind w:left="271"/>
              <w:spacing w:after="0"/>
              <w:rPr>
                <w:sz w:val="20"/>
                <w:szCs w:val="20"/>
                <w:color w:val="auto"/>
              </w:rPr>
            </w:pPr>
            <w:r>
              <w:rPr>
                <w:rFonts w:ascii="Arial" w:cs="Arial" w:eastAsia="Arial" w:hAnsi="Arial"/>
                <w:sz w:val="13"/>
                <w:szCs w:val="13"/>
                <w:color w:val="auto"/>
              </w:rPr>
              <w:t>Director since: 2004</w:t>
            </w:r>
          </w:p>
        </w:tc>
      </w:tr>
      <w:tr>
        <w:trPr>
          <w:trHeight w:val="241"/>
        </w:trPr>
        <w:tc>
          <w:tcPr>
            <w:tcW w:w="1500" w:type="dxa"/>
            <w:vAlign w:val="bottom"/>
          </w:tcPr>
          <w:p>
            <w:pPr>
              <w:ind w:left="540"/>
              <w:spacing w:after="0"/>
              <w:rPr>
                <w:sz w:val="20"/>
                <w:szCs w:val="20"/>
                <w:color w:val="auto"/>
              </w:rPr>
            </w:pPr>
            <w:r>
              <w:rPr>
                <w:rFonts w:ascii="Arial" w:cs="Arial" w:eastAsia="Arial" w:hAnsi="Arial"/>
                <w:sz w:val="13"/>
                <w:szCs w:val="13"/>
                <w:color w:val="auto"/>
              </w:rPr>
              <w:t xml:space="preserve">  </w:t>
            </w:r>
          </w:p>
        </w:tc>
        <w:tc>
          <w:tcPr>
            <w:tcW w:w="1940" w:type="dxa"/>
            <w:vAlign w:val="bottom"/>
          </w:tcPr>
          <w:p>
            <w:pPr>
              <w:spacing w:after="0"/>
              <w:rPr>
                <w:sz w:val="20"/>
                <w:szCs w:val="20"/>
                <w:color w:val="auto"/>
              </w:rPr>
            </w:pPr>
          </w:p>
        </w:tc>
        <w:tc>
          <w:tcPr>
            <w:tcW w:w="1840" w:type="dxa"/>
            <w:vAlign w:val="bottom"/>
          </w:tcPr>
          <w:p>
            <w:pPr>
              <w:ind w:left="840"/>
              <w:spacing w:after="0"/>
              <w:rPr>
                <w:sz w:val="20"/>
                <w:szCs w:val="20"/>
                <w:color w:val="auto"/>
              </w:rPr>
            </w:pPr>
            <w:r>
              <w:rPr>
                <w:rFonts w:ascii="Arial" w:cs="Arial" w:eastAsia="Arial" w:hAnsi="Arial"/>
                <w:sz w:val="13"/>
                <w:szCs w:val="13"/>
                <w:color w:val="auto"/>
              </w:rPr>
              <w:t xml:space="preserve">  </w:t>
            </w:r>
          </w:p>
        </w:tc>
        <w:tc>
          <w:tcPr>
            <w:tcW w:w="1840" w:type="dxa"/>
            <w:vAlign w:val="bottom"/>
          </w:tcPr>
          <w:p>
            <w:pPr>
              <w:spacing w:after="0"/>
              <w:rPr>
                <w:sz w:val="20"/>
                <w:szCs w:val="20"/>
                <w:color w:val="auto"/>
              </w:rPr>
            </w:pPr>
          </w:p>
        </w:tc>
        <w:tc>
          <w:tcPr>
            <w:tcW w:w="1520" w:type="dxa"/>
            <w:vAlign w:val="bottom"/>
          </w:tcPr>
          <w:p>
            <w:pPr>
              <w:ind w:left="860"/>
              <w:spacing w:after="0"/>
              <w:rPr>
                <w:sz w:val="20"/>
                <w:szCs w:val="20"/>
                <w:color w:val="auto"/>
              </w:rPr>
            </w:pPr>
            <w:r>
              <w:rPr>
                <w:rFonts w:ascii="Arial" w:cs="Arial" w:eastAsia="Arial" w:hAnsi="Arial"/>
                <w:sz w:val="13"/>
                <w:szCs w:val="13"/>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-127635</wp:posOffset>
            </wp:positionV>
            <wp:extent cx="101600" cy="101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-127635</wp:posOffset>
            </wp:positionV>
            <wp:extent cx="101600" cy="101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-127635</wp:posOffset>
            </wp:positionV>
            <wp:extent cx="101600" cy="101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-127635</wp:posOffset>
            </wp:positionV>
            <wp:extent cx="101600" cy="101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-111125</wp:posOffset>
            </wp:positionV>
            <wp:extent cx="101600" cy="101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-111125</wp:posOffset>
            </wp:positionV>
            <wp:extent cx="101600" cy="101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-127635</wp:posOffset>
            </wp:positionV>
            <wp:extent cx="101600" cy="101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-127635</wp:posOffset>
            </wp:positionV>
            <wp:extent cx="101600" cy="10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-127635</wp:posOffset>
            </wp:positionV>
            <wp:extent cx="101600" cy="101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-127635</wp:posOffset>
            </wp:positionV>
            <wp:extent cx="101600" cy="101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-127635</wp:posOffset>
            </wp:positionV>
            <wp:extent cx="101600" cy="10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-127635</wp:posOffset>
            </wp:positionV>
            <wp:extent cx="101600" cy="101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-127635</wp:posOffset>
            </wp:positionV>
            <wp:extent cx="101600" cy="101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000000"/>
                        </a:clrFrom>
                        <a:clrTo>
                          <a:srgbClr val="000000">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-127635</wp:posOffset>
            </wp:positionV>
            <wp:extent cx="101600" cy="101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1</w:t>
      </w:r>
    </w:p>
    <w:p>
      <w:pPr>
        <w:sectPr>
          <w:pgSz w:w="11900" w:h="16838" w:orient="portrait"/>
          <w:cols w:equalWidth="0" w:num="1">
            <w:col w:w="10920"/>
          </w:cols>
          <w:pgMar w:left="480" w:top="583"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256" w:lineRule="exact"/>
        <w:rPr>
          <w:sz w:val="20"/>
          <w:szCs w:val="20"/>
          <w:color w:val="auto"/>
        </w:rPr>
      </w:pPr>
    </w:p>
    <w:p>
      <w:pPr>
        <w:spacing w:after="0"/>
        <w:rPr>
          <w:sz w:val="20"/>
          <w:szCs w:val="20"/>
          <w:color w:val="auto"/>
        </w:rPr>
      </w:pPr>
      <w:r>
        <w:rPr>
          <w:rFonts w:ascii="Arial" w:cs="Arial" w:eastAsia="Arial" w:hAnsi="Arial"/>
          <w:sz w:val="23"/>
          <w:szCs w:val="23"/>
          <w:b w:val="1"/>
          <w:bCs w:val="1"/>
          <w:color w:val="1D4F90"/>
        </w:rPr>
        <w:t>Director Skills and Diversity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498475</wp:posOffset>
            </wp:positionV>
            <wp:extent cx="93345" cy="74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345" cy="74739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702310</wp:posOffset>
            </wp:positionV>
            <wp:extent cx="93345" cy="543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345" cy="54356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719455</wp:posOffset>
            </wp:positionV>
            <wp:extent cx="93345" cy="526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345" cy="52641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73660</wp:posOffset>
            </wp:positionV>
            <wp:extent cx="93345" cy="1172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345" cy="117221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226695</wp:posOffset>
            </wp:positionV>
            <wp:extent cx="93345" cy="1019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345" cy="101917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243840</wp:posOffset>
            </wp:positionV>
            <wp:extent cx="93345" cy="1002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345" cy="100203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736600</wp:posOffset>
            </wp:positionV>
            <wp:extent cx="93345" cy="509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345" cy="50927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651510</wp:posOffset>
            </wp:positionV>
            <wp:extent cx="93345" cy="594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345" cy="5943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838200</wp:posOffset>
            </wp:positionV>
            <wp:extent cx="93345" cy="407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345" cy="40767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506730</wp:posOffset>
            </wp:positionV>
            <wp:extent cx="93345" cy="739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345" cy="73914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311785</wp:posOffset>
            </wp:positionV>
            <wp:extent cx="93345" cy="934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345" cy="934085"/>
                    </a:xfrm>
                    <a:prstGeom prst="rect">
                      <a:avLst/>
                    </a:prstGeom>
                    <a:noFill/>
                  </pic:spPr>
                </pic:pic>
              </a:graphicData>
            </a:graphic>
          </wp:anchor>
        </w:drawing>
        <w:drawing>
          <wp:anchor simplePos="0" relativeHeight="251657728" behindDoc="1" locked="0" layoutInCell="0" allowOverlap="1">
            <wp:simplePos x="0" y="0"/>
            <wp:positionH relativeFrom="column">
              <wp:posOffset>6577965</wp:posOffset>
            </wp:positionH>
            <wp:positionV relativeFrom="paragraph">
              <wp:posOffset>762000</wp:posOffset>
            </wp:positionV>
            <wp:extent cx="93345" cy="483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345" cy="483870"/>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370840</wp:posOffset>
            </wp:positionV>
            <wp:extent cx="93345" cy="875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34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740" w:type="dxa"/>
            <w:vAlign w:val="bottom"/>
            <w:vMerge w:val="restart"/>
          </w:tcPr>
          <w:p>
            <w:pPr>
              <w:ind w:left="1020"/>
              <w:spacing w:after="0"/>
              <w:rPr>
                <w:sz w:val="20"/>
                <w:szCs w:val="20"/>
                <w:color w:val="auto"/>
              </w:rPr>
            </w:pPr>
            <w:r>
              <w:rPr>
                <w:rFonts w:ascii="Arial" w:cs="Arial" w:eastAsia="Arial" w:hAnsi="Arial"/>
                <w:sz w:val="12"/>
                <w:szCs w:val="12"/>
                <w:b w:val="1"/>
                <w:bCs w:val="1"/>
                <w:color w:val="002856"/>
              </w:rPr>
              <w:t>GENDER</w:t>
            </w:r>
          </w:p>
        </w:tc>
        <w:tc>
          <w:tcPr>
            <w:tcW w:w="1020" w:type="dxa"/>
            <w:vAlign w:val="bottom"/>
          </w:tcPr>
          <w:p>
            <w:pPr>
              <w:ind w:left="300"/>
              <w:spacing w:after="0"/>
              <w:rPr>
                <w:sz w:val="20"/>
                <w:szCs w:val="20"/>
                <w:color w:val="auto"/>
              </w:rPr>
            </w:pPr>
            <w:r>
              <w:rPr>
                <w:rFonts w:ascii="Arial" w:cs="Arial" w:eastAsia="Arial" w:hAnsi="Arial"/>
                <w:sz w:val="12"/>
                <w:szCs w:val="12"/>
                <w:b w:val="1"/>
                <w:bCs w:val="1"/>
                <w:color w:val="002856"/>
              </w:rPr>
              <w:t>RACE/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020" w:type="dxa"/>
            <w:vAlign w:val="bottom"/>
          </w:tcPr>
          <w:p>
            <w:pPr>
              <w:ind w:left="180"/>
              <w:spacing w:after="0"/>
              <w:rPr>
                <w:sz w:val="20"/>
                <w:szCs w:val="20"/>
                <w:color w:val="auto"/>
              </w:rPr>
            </w:pPr>
            <w:r>
              <w:rPr>
                <w:rFonts w:ascii="Arial" w:cs="Arial" w:eastAsia="Arial" w:hAnsi="Arial"/>
                <w:sz w:val="12"/>
                <w:szCs w:val="12"/>
                <w:b w:val="1"/>
                <w:bCs w:val="1"/>
                <w:color w:val="002856"/>
              </w:rPr>
              <w:t>ETHNICITY</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920" w:type="dxa"/>
            <w:vAlign w:val="bottom"/>
            <w:vMerge w:val="restart"/>
          </w:tcPr>
          <w:p>
            <w:pPr>
              <w:ind w:left="460"/>
              <w:spacing w:after="0"/>
              <w:rPr>
                <w:sz w:val="20"/>
                <w:szCs w:val="20"/>
                <w:color w:val="auto"/>
              </w:rPr>
            </w:pPr>
            <w:r>
              <w:rPr>
                <w:rFonts w:ascii="Arial" w:cs="Arial" w:eastAsia="Arial" w:hAnsi="Arial"/>
                <w:sz w:val="12"/>
                <w:szCs w:val="12"/>
                <w:b w:val="1"/>
                <w:bCs w:val="1"/>
                <w:color w:val="002856"/>
              </w:rPr>
              <w:t>NAME</w:t>
            </w:r>
          </w:p>
        </w:tc>
        <w:tc>
          <w:tcPr>
            <w:tcW w:w="1740" w:type="dxa"/>
            <w:vAlign w:val="bottom"/>
          </w:tcPr>
          <w:p>
            <w:pPr>
              <w:ind w:left="900"/>
              <w:spacing w:after="0"/>
              <w:rPr>
                <w:sz w:val="20"/>
                <w:szCs w:val="20"/>
                <w:color w:val="auto"/>
              </w:rPr>
            </w:pPr>
            <w:r>
              <w:rPr>
                <w:rFonts w:ascii="Arial" w:cs="Arial" w:eastAsia="Arial" w:hAnsi="Arial"/>
                <w:sz w:val="12"/>
                <w:szCs w:val="12"/>
                <w:b w:val="1"/>
                <w:bCs w:val="1"/>
                <w:color w:val="002856"/>
              </w:rPr>
              <w:t>Male Female</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002856"/>
              </w:rPr>
              <w:t>White   Asian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920" w:type="dxa"/>
            <w:vAlign w:val="bottom"/>
            <w:tcBorders>
              <w:bottom w:val="single" w:sz="8" w:color="C6093B"/>
            </w:tcBorders>
            <w:vMerge w:val="continue"/>
          </w:tcPr>
          <w:p>
            <w:pPr>
              <w:spacing w:after="0"/>
              <w:rPr>
                <w:sz w:val="4"/>
                <w:szCs w:val="4"/>
                <w:color w:val="auto"/>
              </w:rPr>
            </w:pPr>
          </w:p>
        </w:tc>
        <w:tc>
          <w:tcPr>
            <w:tcW w:w="1740" w:type="dxa"/>
            <w:vAlign w:val="bottom"/>
            <w:tcBorders>
              <w:bottom w:val="single" w:sz="8" w:color="C6093B"/>
            </w:tcBorders>
          </w:tcPr>
          <w:p>
            <w:pPr>
              <w:spacing w:after="0"/>
              <w:rPr>
                <w:sz w:val="4"/>
                <w:szCs w:val="4"/>
                <w:color w:val="auto"/>
              </w:rPr>
            </w:pPr>
          </w:p>
        </w:tc>
        <w:tc>
          <w:tcPr>
            <w:tcW w:w="1020" w:type="dxa"/>
            <w:vAlign w:val="bottom"/>
            <w:tcBorders>
              <w:bottom w:val="single" w:sz="8" w:color="C6093B"/>
            </w:tcBorders>
          </w:tcPr>
          <w:p>
            <w:pPr>
              <w:spacing w:after="0"/>
              <w:rPr>
                <w:sz w:val="4"/>
                <w:szCs w:val="4"/>
                <w:color w:val="auto"/>
              </w:rPr>
            </w:pPr>
          </w:p>
        </w:tc>
        <w:tc>
          <w:tcPr>
            <w:tcW w:w="260" w:type="dxa"/>
            <w:vAlign w:val="bottom"/>
            <w:tcBorders>
              <w:bottom w:val="single" w:sz="8" w:color="C6093B"/>
            </w:tcBorders>
          </w:tcPr>
          <w:p>
            <w:pPr>
              <w:spacing w:after="0"/>
              <w:rPr>
                <w:sz w:val="4"/>
                <w:szCs w:val="4"/>
                <w:color w:val="auto"/>
              </w:rPr>
            </w:pPr>
          </w:p>
        </w:tc>
        <w:tc>
          <w:tcPr>
            <w:tcW w:w="240" w:type="dxa"/>
            <w:vAlign w:val="bottom"/>
            <w:tcBorders>
              <w:bottom w:val="single" w:sz="8" w:color="C6093B"/>
            </w:tcBorders>
          </w:tcPr>
          <w:p>
            <w:pPr>
              <w:spacing w:after="0"/>
              <w:rPr>
                <w:sz w:val="4"/>
                <w:szCs w:val="4"/>
                <w:color w:val="auto"/>
              </w:rPr>
            </w:pPr>
          </w:p>
        </w:tc>
        <w:tc>
          <w:tcPr>
            <w:tcW w:w="260" w:type="dxa"/>
            <w:vAlign w:val="bottom"/>
            <w:tcBorders>
              <w:bottom w:val="single" w:sz="8" w:color="C6093B"/>
            </w:tcBorders>
          </w:tcPr>
          <w:p>
            <w:pPr>
              <w:spacing w:after="0"/>
              <w:rPr>
                <w:sz w:val="4"/>
                <w:szCs w:val="4"/>
                <w:color w:val="auto"/>
              </w:rPr>
            </w:pPr>
          </w:p>
        </w:tc>
        <w:tc>
          <w:tcPr>
            <w:tcW w:w="260" w:type="dxa"/>
            <w:vAlign w:val="bottom"/>
            <w:tcBorders>
              <w:bottom w:val="single" w:sz="8" w:color="C6093B"/>
            </w:tcBorders>
          </w:tcPr>
          <w:p>
            <w:pPr>
              <w:spacing w:after="0"/>
              <w:rPr>
                <w:sz w:val="4"/>
                <w:szCs w:val="4"/>
                <w:color w:val="auto"/>
              </w:rPr>
            </w:pPr>
          </w:p>
        </w:tc>
        <w:tc>
          <w:tcPr>
            <w:tcW w:w="24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8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360" w:type="dxa"/>
            <w:vAlign w:val="bottom"/>
            <w:tcBorders>
              <w:bottom w:val="single" w:sz="8" w:color="C6093B"/>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2920" w:type="dxa"/>
            <w:vAlign w:val="bottom"/>
          </w:tcPr>
          <w:p>
            <w:pPr>
              <w:ind w:left="460"/>
              <w:spacing w:after="0"/>
              <w:rPr>
                <w:sz w:val="20"/>
                <w:szCs w:val="20"/>
                <w:color w:val="auto"/>
              </w:rPr>
            </w:pPr>
            <w:r>
              <w:rPr>
                <w:rFonts w:ascii="Arial" w:cs="Arial" w:eastAsia="Arial" w:hAnsi="Arial"/>
                <w:sz w:val="12"/>
                <w:szCs w:val="12"/>
                <w:b w:val="1"/>
                <w:bCs w:val="1"/>
                <w:color w:val="1D4F90"/>
              </w:rPr>
              <w:t>J. Hyatt Brown</w:t>
            </w:r>
          </w:p>
        </w:tc>
        <w:tc>
          <w:tcPr>
            <w:tcW w:w="17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Pr>
          <w:p>
            <w:pPr>
              <w:spacing w:after="0"/>
              <w:rPr>
                <w:sz w:val="24"/>
                <w:szCs w:val="24"/>
                <w:color w:val="auto"/>
              </w:rPr>
            </w:pPr>
          </w:p>
        </w:tc>
        <w:tc>
          <w:tcPr>
            <w:tcW w:w="240" w:type="dxa"/>
            <w:vAlign w:val="bottom"/>
            <w:tcBorders>
              <w:bottom w:val="single" w:sz="8" w:color="EAEAEA"/>
            </w:tcBorders>
            <w:shd w:val="clear" w:color="auto" w:fill="EAEAEA"/>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EAEA"/>
            </w:tcBorders>
            <w:shd w:val="clear" w:color="auto" w:fill="EAEAEA"/>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EAEAEA"/>
            </w:tcBorders>
            <w:shd w:val="clear" w:color="auto" w:fill="EAEAEA"/>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bottom w:val="single" w:sz="8" w:color="EAEAEA"/>
            </w:tcBorders>
            <w:shd w:val="clear" w:color="auto" w:fill="EAEAEA"/>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bottom w:val="single" w:sz="8" w:color="EAEAEA"/>
            </w:tcBorders>
            <w:shd w:val="clear" w:color="auto" w:fill="EAEAEA"/>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8"/>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J. Powell Brown</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Lawrence L. Gellerstedt III</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8"/>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James C. Hays</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Theodore J. Hoepner</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James S. Hunt</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Toni Jennings</w:t>
            </w:r>
          </w:p>
        </w:tc>
        <w:tc>
          <w:tcPr>
            <w:tcW w:w="1740" w:type="dxa"/>
            <w:vAlign w:val="bottom"/>
            <w:tcBorders>
              <w:top w:val="single" w:sz="8" w:color="4C4C4C"/>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Timothy R.M. Main</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Paul J. Krump</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Bronislaw E. Masojada</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Jaymin B. Patel</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H. Palmer Proctor, Jr.</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Wendell S. Reilly</w:t>
            </w:r>
          </w:p>
        </w:tc>
        <w:tc>
          <w:tcPr>
            <w:tcW w:w="1740" w:type="dxa"/>
            <w:vAlign w:val="bottom"/>
            <w:tcBorders>
              <w:top w:val="single" w:sz="8" w:color="4C4C4C"/>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Kathleen A. Savio</w:t>
            </w:r>
          </w:p>
        </w:tc>
        <w:tc>
          <w:tcPr>
            <w:tcW w:w="1740" w:type="dxa"/>
            <w:vAlign w:val="bottom"/>
            <w:tcBorders>
              <w:top w:val="single" w:sz="8" w:color="4C4C4C"/>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bottom w:val="single" w:sz="8" w:color="EAEAEA"/>
            </w:tcBorders>
            <w:shd w:val="clear" w:color="auto" w:fill="EAEAEA"/>
          </w:tcPr>
          <w:p>
            <w:pPr>
              <w:ind w:left="140"/>
              <w:spacing w:after="0"/>
              <w:rPr>
                <w:sz w:val="20"/>
                <w:szCs w:val="20"/>
                <w:color w:val="auto"/>
              </w:rPr>
            </w:pPr>
            <w:r>
              <w:rPr>
                <w:rFonts w:ascii="Times New Roman" w:cs="Times New Roman" w:eastAsia="Times New Roman" w:hAnsi="Times New Roman"/>
                <w:sz w:val="18"/>
                <w:szCs w:val="18"/>
                <w:color w:val="auto"/>
                <w:w w:val="91"/>
              </w:rPr>
              <w:t>●</w:t>
            </w:r>
          </w:p>
        </w:tc>
        <w:tc>
          <w:tcPr>
            <w:tcW w:w="260" w:type="dxa"/>
            <w:vAlign w:val="bottom"/>
            <w:tcBorders>
              <w:top w:val="single" w:sz="8" w:color="4C4C4C"/>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w w:val="91"/>
              </w:rPr>
              <w:t>●</w:t>
            </w: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920" w:type="dxa"/>
            <w:vAlign w:val="bottom"/>
            <w:tcBorders>
              <w:top w:val="single" w:sz="8" w:color="4C4C4C"/>
            </w:tcBorders>
          </w:tcPr>
          <w:p>
            <w:pPr>
              <w:ind w:left="460"/>
              <w:spacing w:after="0"/>
              <w:rPr>
                <w:sz w:val="20"/>
                <w:szCs w:val="20"/>
                <w:color w:val="auto"/>
              </w:rPr>
            </w:pPr>
            <w:r>
              <w:rPr>
                <w:rFonts w:ascii="Arial" w:cs="Arial" w:eastAsia="Arial" w:hAnsi="Arial"/>
                <w:sz w:val="12"/>
                <w:szCs w:val="12"/>
                <w:b w:val="1"/>
                <w:bCs w:val="1"/>
                <w:color w:val="1D4F90"/>
              </w:rPr>
              <w:t>Chilton D. Varner</w:t>
            </w:r>
          </w:p>
        </w:tc>
        <w:tc>
          <w:tcPr>
            <w:tcW w:w="1740" w:type="dxa"/>
            <w:vAlign w:val="bottom"/>
            <w:tcBorders>
              <w:top w:val="single" w:sz="8" w:color="4C4C4C"/>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4C4C4C"/>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4C4C4C"/>
              <w:bottom w:val="single" w:sz="8" w:color="EAEAEA"/>
            </w:tcBorders>
            <w:shd w:val="clear" w:color="auto" w:fill="EAEAEA"/>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4C4C4C"/>
            </w:tcBorders>
          </w:tcPr>
          <w:p>
            <w:pPr>
              <w:spacing w:after="0"/>
              <w:rPr>
                <w:sz w:val="24"/>
                <w:szCs w:val="24"/>
                <w:color w:val="auto"/>
              </w:rPr>
            </w:pPr>
          </w:p>
        </w:tc>
        <w:tc>
          <w:tcPr>
            <w:tcW w:w="260" w:type="dxa"/>
            <w:vAlign w:val="bottom"/>
            <w:tcBorders>
              <w:top w:val="single" w:sz="8" w:color="4C4C4C"/>
              <w:bottom w:val="single" w:sz="8" w:color="EAEAEA"/>
            </w:tcBorders>
            <w:shd w:val="clear" w:color="auto" w:fill="EAEAEA"/>
          </w:tcPr>
          <w:p>
            <w:pPr>
              <w:spacing w:after="0"/>
              <w:rPr>
                <w:sz w:val="24"/>
                <w:szCs w:val="24"/>
                <w:color w:val="auto"/>
              </w:rPr>
            </w:pPr>
          </w:p>
        </w:tc>
        <w:tc>
          <w:tcPr>
            <w:tcW w:w="260" w:type="dxa"/>
            <w:vAlign w:val="bottom"/>
            <w:tcBorders>
              <w:top w:val="single" w:sz="8" w:color="4C4C4C"/>
            </w:tcBorders>
          </w:tcPr>
          <w:p>
            <w:pPr>
              <w:spacing w:after="0"/>
              <w:rPr>
                <w:sz w:val="24"/>
                <w:szCs w:val="24"/>
                <w:color w:val="auto"/>
              </w:rPr>
            </w:pPr>
          </w:p>
        </w:tc>
        <w:tc>
          <w:tcPr>
            <w:tcW w:w="24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8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tcBorders>
          </w:tcPr>
          <w:p>
            <w:pPr>
              <w:spacing w:after="0"/>
              <w:rPr>
                <w:sz w:val="24"/>
                <w:szCs w:val="24"/>
                <w:color w:val="auto"/>
              </w:rPr>
            </w:pP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4C4C4C"/>
              <w:bottom w:val="single" w:sz="8" w:color="EAEAEA"/>
            </w:tcBorders>
            <w:shd w:val="clear" w:color="auto" w:fill="EAEAEA"/>
          </w:tcPr>
          <w:p>
            <w:pPr>
              <w:spacing w:after="0"/>
              <w:rPr>
                <w:sz w:val="24"/>
                <w:szCs w:val="24"/>
                <w:color w:val="auto"/>
              </w:rPr>
            </w:pPr>
          </w:p>
        </w:tc>
        <w:tc>
          <w:tcPr>
            <w:tcW w:w="360" w:type="dxa"/>
            <w:vAlign w:val="bottom"/>
            <w:tcBorders>
              <w:top w:val="single" w:sz="8" w:color="4C4C4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4C4C4C"/>
          </w:tcPr>
          <w:p>
            <w:pPr>
              <w:spacing w:after="0" w:line="20" w:lineRule="exact"/>
              <w:rPr>
                <w:sz w:val="1"/>
                <w:szCs w:val="1"/>
                <w:color w:val="auto"/>
              </w:rPr>
            </w:pPr>
          </w:p>
        </w:tc>
        <w:tc>
          <w:tcPr>
            <w:tcW w:w="1740" w:type="dxa"/>
            <w:vAlign w:val="bottom"/>
            <w:shd w:val="clear" w:color="auto" w:fill="4C4C4C"/>
          </w:tcPr>
          <w:p>
            <w:pPr>
              <w:spacing w:after="0" w:line="20" w:lineRule="exact"/>
              <w:rPr>
                <w:sz w:val="1"/>
                <w:szCs w:val="1"/>
                <w:color w:val="auto"/>
              </w:rPr>
            </w:pPr>
          </w:p>
        </w:tc>
        <w:tc>
          <w:tcPr>
            <w:tcW w:w="1020" w:type="dxa"/>
            <w:vAlign w:val="bottom"/>
            <w:shd w:val="clear" w:color="auto" w:fill="4C4C4C"/>
          </w:tcPr>
          <w:p>
            <w:pPr>
              <w:spacing w:after="0" w:line="20" w:lineRule="exact"/>
              <w:rPr>
                <w:sz w:val="1"/>
                <w:szCs w:val="1"/>
                <w:color w:val="auto"/>
              </w:rPr>
            </w:pPr>
          </w:p>
        </w:tc>
        <w:tc>
          <w:tcPr>
            <w:tcW w:w="260" w:type="dxa"/>
            <w:vAlign w:val="bottom"/>
            <w:shd w:val="clear" w:color="auto" w:fill="4C4C4C"/>
          </w:tcPr>
          <w:p>
            <w:pPr>
              <w:spacing w:after="0" w:line="20" w:lineRule="exact"/>
              <w:rPr>
                <w:sz w:val="1"/>
                <w:szCs w:val="1"/>
                <w:color w:val="auto"/>
              </w:rPr>
            </w:pPr>
          </w:p>
        </w:tc>
        <w:tc>
          <w:tcPr>
            <w:tcW w:w="240" w:type="dxa"/>
            <w:vAlign w:val="bottom"/>
            <w:shd w:val="clear" w:color="auto" w:fill="4C4C4C"/>
          </w:tcPr>
          <w:p>
            <w:pPr>
              <w:spacing w:after="0" w:line="20" w:lineRule="exact"/>
              <w:rPr>
                <w:sz w:val="1"/>
                <w:szCs w:val="1"/>
                <w:color w:val="auto"/>
              </w:rPr>
            </w:pPr>
          </w:p>
        </w:tc>
        <w:tc>
          <w:tcPr>
            <w:tcW w:w="260" w:type="dxa"/>
            <w:vAlign w:val="bottom"/>
            <w:shd w:val="clear" w:color="auto" w:fill="4C4C4C"/>
          </w:tcPr>
          <w:p>
            <w:pPr>
              <w:spacing w:after="0" w:line="20" w:lineRule="exact"/>
              <w:rPr>
                <w:sz w:val="1"/>
                <w:szCs w:val="1"/>
                <w:color w:val="auto"/>
              </w:rPr>
            </w:pPr>
          </w:p>
        </w:tc>
        <w:tc>
          <w:tcPr>
            <w:tcW w:w="260" w:type="dxa"/>
            <w:vAlign w:val="bottom"/>
            <w:shd w:val="clear" w:color="auto" w:fill="4C4C4C"/>
          </w:tcPr>
          <w:p>
            <w:pPr>
              <w:spacing w:after="0" w:line="20" w:lineRule="exact"/>
              <w:rPr>
                <w:sz w:val="1"/>
                <w:szCs w:val="1"/>
                <w:color w:val="auto"/>
              </w:rPr>
            </w:pPr>
          </w:p>
        </w:tc>
        <w:tc>
          <w:tcPr>
            <w:tcW w:w="24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8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360" w:type="dxa"/>
            <w:vAlign w:val="bottom"/>
            <w:shd w:val="clear" w:color="auto" w:fill="4C4C4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-3769995</wp:posOffset>
            </wp:positionV>
            <wp:extent cx="93345" cy="339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345" cy="33972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-3752850</wp:posOffset>
            </wp:positionV>
            <wp:extent cx="93345" cy="322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345" cy="32258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-3651250</wp:posOffset>
            </wp:positionV>
            <wp:extent cx="93345" cy="220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345" cy="22098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-2912110</wp:posOffset>
            </wp:positionV>
            <wp:extent cx="110490" cy="110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-2461895</wp:posOffset>
            </wp:positionV>
            <wp:extent cx="110490" cy="110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-2232660</wp:posOffset>
            </wp:positionV>
            <wp:extent cx="110490" cy="1104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-2003425</wp:posOffset>
            </wp:positionV>
            <wp:extent cx="110490" cy="110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-1774190</wp:posOffset>
            </wp:positionV>
            <wp:extent cx="110490" cy="110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-1544955</wp:posOffset>
            </wp:positionV>
            <wp:extent cx="110490" cy="1104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-1315720</wp:posOffset>
            </wp:positionV>
            <wp:extent cx="110490" cy="1104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-1086485</wp:posOffset>
            </wp:positionV>
            <wp:extent cx="110490" cy="1104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-857250</wp:posOffset>
            </wp:positionV>
            <wp:extent cx="110490" cy="110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-628015</wp:posOffset>
            </wp:positionV>
            <wp:extent cx="110490" cy="1104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-398780</wp:posOffset>
            </wp:positionV>
            <wp:extent cx="110490" cy="1104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-168910</wp:posOffset>
            </wp:positionV>
            <wp:extent cx="110490" cy="110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sz w:val="1"/>
          <w:szCs w:val="1"/>
          <w:color w:val="auto"/>
        </w:rPr>
        <w:drawing>
          <wp:inline distT="0" distB="0" distL="0" distR="0">
            <wp:extent cx="110490" cy="11049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490" cy="110490"/>
                    </a:xfrm>
                    <a:prstGeom prst="rect">
                      <a:avLst/>
                    </a:prstGeom>
                    <a:noFill/>
                    <a:ln>
                      <a:noFill/>
                    </a:ln>
                  </pic:spPr>
                </pic:pic>
              </a:graphicData>
            </a:graphic>
          </wp:inline>
        </w:drawing>
      </w:r>
      <w:r>
        <w:rPr>
          <w:rFonts w:ascii="Arial" w:cs="Arial" w:eastAsia="Arial" w:hAnsi="Arial"/>
          <w:sz w:val="16"/>
          <w:szCs w:val="16"/>
          <w:color w:val="auto"/>
        </w:rPr>
        <w:t xml:space="preserv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233045</wp:posOffset>
            </wp:positionV>
            <wp:extent cx="3218815" cy="27514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18815" cy="275145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3"/>
          <w:szCs w:val="23"/>
          <w:b w:val="1"/>
          <w:bCs w:val="1"/>
          <w:color w:val="1D4F90"/>
        </w:rPr>
        <w:t>Corporate Governance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2560"/>
        <w:spacing w:after="0"/>
        <w:rPr>
          <w:sz w:val="20"/>
          <w:szCs w:val="20"/>
          <w:color w:val="auto"/>
        </w:rPr>
      </w:pPr>
      <w:r>
        <w:rPr>
          <w:rFonts w:ascii="Arial" w:cs="Arial" w:eastAsia="Arial" w:hAnsi="Arial"/>
          <w:sz w:val="24"/>
          <w:szCs w:val="24"/>
          <w:b w:val="1"/>
          <w:bCs w:val="1"/>
          <w:color w:val="1D4F90"/>
        </w:rPr>
        <w:t>Director Nominees</w:t>
      </w:r>
    </w:p>
    <w:p>
      <w:pPr>
        <w:spacing w:after="0" w:line="1" w:lineRule="exact"/>
        <w:rPr>
          <w:sz w:val="20"/>
          <w:szCs w:val="20"/>
          <w:color w:val="auto"/>
        </w:rPr>
      </w:pPr>
    </w:p>
    <w:p>
      <w:pPr>
        <w:sectPr>
          <w:pgSz w:w="11900" w:h="16838" w:orient="portrait"/>
          <w:cols w:equalWidth="0" w:num="2">
            <w:col w:w="5420" w:space="720"/>
            <w:col w:w="4780"/>
          </w:cols>
          <w:pgMar w:left="480" w:top="304" w:right="49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SHAREHOLDER RIGHTS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•   Annual election of directors</w:t>
      </w:r>
    </w:p>
    <w:p>
      <w:pPr>
        <w:spacing w:after="0" w:line="80" w:lineRule="exact"/>
        <w:rPr>
          <w:sz w:val="20"/>
          <w:szCs w:val="20"/>
          <w:color w:val="auto"/>
        </w:rPr>
      </w:pPr>
    </w:p>
    <w:p>
      <w:pPr>
        <w:jc w:val="both"/>
        <w:ind w:left="160" w:right="240" w:hanging="142"/>
        <w:spacing w:after="0" w:line="281" w:lineRule="auto"/>
        <w:rPr>
          <w:sz w:val="20"/>
          <w:szCs w:val="20"/>
          <w:color w:val="auto"/>
        </w:rPr>
      </w:pPr>
      <w:r>
        <w:rPr>
          <w:rFonts w:ascii="Arial" w:cs="Arial" w:eastAsia="Arial" w:hAnsi="Arial"/>
          <w:sz w:val="14"/>
          <w:szCs w:val="14"/>
          <w:color w:val="auto"/>
        </w:rPr>
        <w:t>•   Majority voting for directors, with director resignation policy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BOARD INDEPENDENCE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•   Strong role for Lead Independent Director</w:t>
      </w:r>
    </w:p>
    <w:p>
      <w:pPr>
        <w:spacing w:after="0" w:line="66" w:lineRule="exact"/>
        <w:rPr>
          <w:sz w:val="20"/>
          <w:szCs w:val="20"/>
          <w:color w:val="auto"/>
        </w:rPr>
      </w:pPr>
    </w:p>
    <w:p>
      <w:pPr>
        <w:jc w:val="both"/>
        <w:ind w:left="160" w:right="240" w:hanging="142"/>
        <w:spacing w:after="0" w:line="260" w:lineRule="auto"/>
        <w:rPr>
          <w:sz w:val="20"/>
          <w:szCs w:val="20"/>
          <w:color w:val="auto"/>
        </w:rPr>
      </w:pPr>
      <w:r>
        <w:rPr>
          <w:rFonts w:ascii="Arial" w:cs="Arial" w:eastAsia="Arial" w:hAnsi="Arial"/>
          <w:sz w:val="14"/>
          <w:szCs w:val="14"/>
          <w:color w:val="auto"/>
        </w:rPr>
        <w:t>•   Periodic rotation of committee members, committee chairs and Lead Independent Director</w:t>
      </w:r>
    </w:p>
    <w:p>
      <w:pPr>
        <w:spacing w:after="0" w:line="25" w:lineRule="exact"/>
        <w:rPr>
          <w:sz w:val="20"/>
          <w:szCs w:val="20"/>
          <w:color w:val="auto"/>
        </w:rPr>
      </w:pPr>
    </w:p>
    <w:p>
      <w:pPr>
        <w:ind w:left="160" w:hanging="142"/>
        <w:spacing w:after="0" w:line="321" w:lineRule="auto"/>
        <w:rPr>
          <w:sz w:val="20"/>
          <w:szCs w:val="20"/>
          <w:color w:val="auto"/>
        </w:rPr>
      </w:pPr>
      <w:r>
        <w:rPr>
          <w:rFonts w:ascii="Arial" w:cs="Arial" w:eastAsia="Arial" w:hAnsi="Arial"/>
          <w:sz w:val="13"/>
          <w:szCs w:val="13"/>
          <w:color w:val="auto"/>
        </w:rPr>
        <w:t>•   Executive sessions at every in-person Board meeting and virtually, when necessary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GOOD GOVERNANCE</w:t>
      </w:r>
    </w:p>
    <w:p>
      <w:pPr>
        <w:spacing w:after="0" w:line="75" w:lineRule="exact"/>
        <w:rPr>
          <w:sz w:val="20"/>
          <w:szCs w:val="20"/>
          <w:color w:val="auto"/>
        </w:rPr>
      </w:pPr>
    </w:p>
    <w:p>
      <w:pPr>
        <w:ind w:left="140" w:right="100" w:hanging="142"/>
        <w:spacing w:after="0" w:line="281" w:lineRule="auto"/>
        <w:rPr>
          <w:sz w:val="20"/>
          <w:szCs w:val="20"/>
          <w:color w:val="auto"/>
        </w:rPr>
      </w:pPr>
      <w:r>
        <w:rPr>
          <w:rFonts w:ascii="Arial" w:cs="Arial" w:eastAsia="Arial" w:hAnsi="Arial"/>
          <w:sz w:val="14"/>
          <w:szCs w:val="14"/>
          <w:color w:val="auto"/>
        </w:rPr>
        <w:t>•   Strong anti-hedging and anti-pledging provisions</w:t>
      </w:r>
    </w:p>
    <w:p>
      <w:pPr>
        <w:spacing w:after="0" w:line="11" w:lineRule="exact"/>
        <w:rPr>
          <w:sz w:val="20"/>
          <w:szCs w:val="20"/>
          <w:color w:val="auto"/>
        </w:rPr>
      </w:pPr>
    </w:p>
    <w:p>
      <w:pPr>
        <w:ind w:left="140" w:right="640" w:hanging="142"/>
        <w:spacing w:after="0" w:line="281" w:lineRule="auto"/>
        <w:rPr>
          <w:sz w:val="20"/>
          <w:szCs w:val="20"/>
          <w:color w:val="auto"/>
        </w:rPr>
      </w:pPr>
      <w:r>
        <w:rPr>
          <w:rFonts w:ascii="Arial" w:cs="Arial" w:eastAsia="Arial" w:hAnsi="Arial"/>
          <w:sz w:val="14"/>
          <w:szCs w:val="14"/>
          <w:color w:val="auto"/>
        </w:rPr>
        <w:t>•   Annual Board and committee self-evaluations</w:t>
      </w:r>
    </w:p>
    <w:p>
      <w:pPr>
        <w:spacing w:after="0" w:line="11" w:lineRule="exact"/>
        <w:rPr>
          <w:sz w:val="20"/>
          <w:szCs w:val="20"/>
          <w:color w:val="auto"/>
        </w:rPr>
      </w:pPr>
    </w:p>
    <w:p>
      <w:pPr>
        <w:ind w:left="140" w:right="260" w:hanging="142"/>
        <w:spacing w:after="0" w:line="281" w:lineRule="auto"/>
        <w:rPr>
          <w:sz w:val="20"/>
          <w:szCs w:val="20"/>
          <w:color w:val="auto"/>
        </w:rPr>
      </w:pPr>
      <w:r>
        <w:rPr>
          <w:rFonts w:ascii="Arial" w:cs="Arial" w:eastAsia="Arial" w:hAnsi="Arial"/>
          <w:sz w:val="14"/>
          <w:szCs w:val="14"/>
          <w:color w:val="auto"/>
        </w:rPr>
        <w:t>•   Strong executive and director stock ownership guidelines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 Robust clawback policy</w:t>
      </w:r>
    </w:p>
    <w:p>
      <w:pPr>
        <w:spacing w:after="0" w:line="66" w:lineRule="exact"/>
        <w:rPr>
          <w:sz w:val="20"/>
          <w:szCs w:val="20"/>
          <w:color w:val="auto"/>
        </w:rPr>
      </w:pPr>
    </w:p>
    <w:p>
      <w:pPr>
        <w:ind w:left="140" w:hanging="142"/>
        <w:spacing w:after="0" w:line="281" w:lineRule="auto"/>
        <w:rPr>
          <w:sz w:val="20"/>
          <w:szCs w:val="20"/>
          <w:color w:val="auto"/>
        </w:rPr>
      </w:pPr>
      <w:r>
        <w:rPr>
          <w:rFonts w:ascii="Arial" w:cs="Arial" w:eastAsia="Arial" w:hAnsi="Arial"/>
          <w:sz w:val="14"/>
          <w:szCs w:val="14"/>
          <w:color w:val="auto"/>
        </w:rPr>
        <w:t>•   Committee meetings generally open to, and attended by, all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5"/>
        </w:trPr>
        <w:tc>
          <w:tcPr>
            <w:tcW w:w="1840" w:type="dxa"/>
            <w:vAlign w:val="bottom"/>
            <w:shd w:val="clear" w:color="auto" w:fill="EAEAEA"/>
          </w:tcPr>
          <w:p>
            <w:pPr>
              <w:jc w:val="center"/>
              <w:spacing w:after="0" w:line="1371" w:lineRule="exact"/>
              <w:rPr>
                <w:sz w:val="20"/>
                <w:szCs w:val="20"/>
                <w:color w:val="auto"/>
              </w:rPr>
            </w:pPr>
            <w:r>
              <w:rPr>
                <w:rFonts w:ascii="Arial" w:cs="Arial" w:eastAsia="Arial" w:hAnsi="Arial"/>
                <w:sz w:val="89"/>
                <w:szCs w:val="89"/>
                <w:b w:val="1"/>
                <w:bCs w:val="1"/>
                <w:color w:val="1D4F90"/>
                <w:w w:val="95"/>
              </w:rPr>
              <w:t>80</w:t>
            </w:r>
            <w:r>
              <w:rPr>
                <w:rFonts w:ascii="Arial" w:cs="Arial" w:eastAsia="Arial" w:hAnsi="Arial"/>
                <w:sz w:val="133"/>
                <w:szCs w:val="133"/>
                <w:b w:val="1"/>
                <w:bCs w:val="1"/>
                <w:color w:val="1D4F90"/>
                <w:w w:val="95"/>
                <w:vertAlign w:val="superscript"/>
              </w:rPr>
              <w:t>%</w:t>
            </w:r>
          </w:p>
        </w:tc>
        <w:tc>
          <w:tcPr>
            <w:tcW w:w="3120" w:type="dxa"/>
            <w:vAlign w:val="bottom"/>
            <w:shd w:val="clear" w:color="auto" w:fill="EAEAEA"/>
          </w:tcPr>
          <w:p>
            <w:pPr>
              <w:jc w:val="right"/>
              <w:ind w:right="1332"/>
              <w:spacing w:after="0"/>
              <w:rPr>
                <w:sz w:val="20"/>
                <w:szCs w:val="20"/>
                <w:color w:val="auto"/>
              </w:rPr>
            </w:pPr>
            <w:r>
              <w:rPr>
                <w:rFonts w:ascii="Arial" w:cs="Arial" w:eastAsia="Arial" w:hAnsi="Arial"/>
                <w:sz w:val="89"/>
                <w:szCs w:val="89"/>
                <w:b w:val="1"/>
                <w:bCs w:val="1"/>
                <w:color w:val="1D4F90"/>
              </w:rPr>
              <w:t>12</w:t>
            </w:r>
          </w:p>
        </w:tc>
      </w:tr>
      <w:tr>
        <w:trPr>
          <w:trHeight w:val="201"/>
        </w:trPr>
        <w:tc>
          <w:tcPr>
            <w:tcW w:w="1840" w:type="dxa"/>
            <w:vAlign w:val="bottom"/>
            <w:shd w:val="clear" w:color="auto" w:fill="EAEAEA"/>
          </w:tcPr>
          <w:p>
            <w:pPr>
              <w:ind w:left="180"/>
              <w:spacing w:after="0" w:line="201" w:lineRule="exact"/>
              <w:rPr>
                <w:sz w:val="20"/>
                <w:szCs w:val="20"/>
                <w:color w:val="auto"/>
              </w:rPr>
            </w:pPr>
            <w:r>
              <w:rPr>
                <w:rFonts w:ascii="Arial" w:cs="Arial" w:eastAsia="Arial" w:hAnsi="Arial"/>
                <w:sz w:val="18"/>
                <w:szCs w:val="18"/>
                <w:color w:val="002856"/>
              </w:rPr>
              <w:t>of Our Directors Are</w:t>
            </w:r>
          </w:p>
        </w:tc>
        <w:tc>
          <w:tcPr>
            <w:tcW w:w="3120" w:type="dxa"/>
            <w:vAlign w:val="bottom"/>
            <w:shd w:val="clear" w:color="auto" w:fill="EAEAEA"/>
          </w:tcPr>
          <w:p>
            <w:pPr>
              <w:ind w:left="460"/>
              <w:spacing w:after="0" w:line="201" w:lineRule="exact"/>
              <w:rPr>
                <w:sz w:val="20"/>
                <w:szCs w:val="20"/>
                <w:color w:val="auto"/>
              </w:rPr>
            </w:pPr>
            <w:r>
              <w:rPr>
                <w:rFonts w:ascii="Arial" w:cs="Arial" w:eastAsia="Arial" w:hAnsi="Arial"/>
                <w:sz w:val="18"/>
                <w:szCs w:val="18"/>
                <w:color w:val="002856"/>
              </w:rPr>
              <w:t>Average Tenure</w:t>
            </w:r>
          </w:p>
        </w:tc>
      </w:tr>
      <w:tr>
        <w:trPr>
          <w:trHeight w:val="233"/>
        </w:trPr>
        <w:tc>
          <w:tcPr>
            <w:tcW w:w="1840" w:type="dxa"/>
            <w:vAlign w:val="bottom"/>
            <w:shd w:val="clear" w:color="auto" w:fill="EAEAEA"/>
          </w:tcPr>
          <w:p>
            <w:pPr>
              <w:ind w:left="180"/>
              <w:spacing w:after="0"/>
              <w:rPr>
                <w:sz w:val="20"/>
                <w:szCs w:val="20"/>
                <w:color w:val="auto"/>
              </w:rPr>
            </w:pPr>
            <w:r>
              <w:rPr>
                <w:rFonts w:ascii="Arial" w:cs="Arial" w:eastAsia="Arial" w:hAnsi="Arial"/>
                <w:sz w:val="18"/>
                <w:szCs w:val="18"/>
                <w:color w:val="002856"/>
              </w:rPr>
              <w:t>Independent</w:t>
            </w:r>
          </w:p>
        </w:tc>
        <w:tc>
          <w:tcPr>
            <w:tcW w:w="3120" w:type="dxa"/>
            <w:vAlign w:val="bottom"/>
            <w:shd w:val="clear" w:color="auto" w:fill="EAEAEA"/>
          </w:tcPr>
          <w:p>
            <w:pPr>
              <w:ind w:left="120"/>
              <w:spacing w:after="0"/>
              <w:rPr>
                <w:sz w:val="20"/>
                <w:szCs w:val="20"/>
                <w:color w:val="auto"/>
              </w:rPr>
            </w:pPr>
            <w:r>
              <w:rPr>
                <w:rFonts w:ascii="Arial" w:cs="Arial" w:eastAsia="Arial" w:hAnsi="Arial"/>
                <w:sz w:val="18"/>
                <w:szCs w:val="18"/>
                <w:color w:val="002856"/>
              </w:rPr>
              <w:t>of Our Directors in Years</w:t>
            </w:r>
          </w:p>
        </w:tc>
      </w:tr>
      <w:tr>
        <w:trPr>
          <w:trHeight w:val="1319"/>
        </w:trPr>
        <w:tc>
          <w:tcPr>
            <w:tcW w:w="1840" w:type="dxa"/>
            <w:vAlign w:val="bottom"/>
            <w:shd w:val="clear" w:color="auto" w:fill="EAEAEA"/>
          </w:tcPr>
          <w:p>
            <w:pPr>
              <w:jc w:val="center"/>
              <w:ind w:right="169"/>
              <w:spacing w:after="0" w:line="1313" w:lineRule="exact"/>
              <w:rPr>
                <w:sz w:val="20"/>
                <w:szCs w:val="20"/>
                <w:color w:val="auto"/>
              </w:rPr>
            </w:pPr>
            <w:r>
              <w:rPr>
                <w:rFonts w:ascii="Arial" w:cs="Arial" w:eastAsia="Arial" w:hAnsi="Arial"/>
                <w:sz w:val="89"/>
                <w:szCs w:val="89"/>
                <w:b w:val="1"/>
                <w:bCs w:val="1"/>
                <w:color w:val="1D4F90"/>
              </w:rPr>
              <w:t>7</w:t>
            </w:r>
            <w:r>
              <w:rPr>
                <w:rFonts w:ascii="Arial" w:cs="Arial" w:eastAsia="Arial" w:hAnsi="Arial"/>
                <w:sz w:val="133"/>
                <w:szCs w:val="133"/>
                <w:b w:val="1"/>
                <w:bCs w:val="1"/>
                <w:color w:val="1D4F90"/>
                <w:vertAlign w:val="superscript"/>
              </w:rPr>
              <w:t>%</w:t>
            </w:r>
          </w:p>
        </w:tc>
        <w:tc>
          <w:tcPr>
            <w:tcW w:w="3120" w:type="dxa"/>
            <w:vAlign w:val="bottom"/>
            <w:shd w:val="clear" w:color="auto" w:fill="EAEAEA"/>
          </w:tcPr>
          <w:p>
            <w:pPr>
              <w:jc w:val="center"/>
              <w:ind w:right="1012"/>
              <w:spacing w:after="0" w:line="1313" w:lineRule="exact"/>
              <w:rPr>
                <w:sz w:val="20"/>
                <w:szCs w:val="20"/>
                <w:color w:val="auto"/>
              </w:rPr>
            </w:pPr>
            <w:r>
              <w:rPr>
                <w:rFonts w:ascii="Arial" w:cs="Arial" w:eastAsia="Arial" w:hAnsi="Arial"/>
                <w:sz w:val="89"/>
                <w:szCs w:val="89"/>
                <w:b w:val="1"/>
                <w:bCs w:val="1"/>
                <w:color w:val="1D4F90"/>
              </w:rPr>
              <w:t>20</w:t>
            </w:r>
            <w:r>
              <w:rPr>
                <w:rFonts w:ascii="Arial" w:cs="Arial" w:eastAsia="Arial" w:hAnsi="Arial"/>
                <w:sz w:val="133"/>
                <w:szCs w:val="133"/>
                <w:b w:val="1"/>
                <w:bCs w:val="1"/>
                <w:color w:val="1D4F90"/>
                <w:vertAlign w:val="superscript"/>
              </w:rPr>
              <w:t>%</w:t>
            </w:r>
          </w:p>
        </w:tc>
      </w:tr>
      <w:tr>
        <w:trPr>
          <w:trHeight w:val="201"/>
        </w:trPr>
        <w:tc>
          <w:tcPr>
            <w:tcW w:w="1840" w:type="dxa"/>
            <w:vAlign w:val="bottom"/>
            <w:shd w:val="clear" w:color="auto" w:fill="EAEAEA"/>
          </w:tcPr>
          <w:p>
            <w:pPr>
              <w:ind w:left="360"/>
              <w:spacing w:after="0" w:line="201" w:lineRule="exact"/>
              <w:rPr>
                <w:sz w:val="20"/>
                <w:szCs w:val="20"/>
                <w:color w:val="auto"/>
              </w:rPr>
            </w:pPr>
            <w:r>
              <w:rPr>
                <w:rFonts w:ascii="Arial" w:cs="Arial" w:eastAsia="Arial" w:hAnsi="Arial"/>
                <w:sz w:val="18"/>
                <w:szCs w:val="18"/>
                <w:color w:val="002856"/>
              </w:rPr>
              <w:t>of Our Directors</w:t>
            </w:r>
          </w:p>
        </w:tc>
        <w:tc>
          <w:tcPr>
            <w:tcW w:w="3120" w:type="dxa"/>
            <w:vAlign w:val="bottom"/>
            <w:shd w:val="clear" w:color="auto" w:fill="EAEAEA"/>
          </w:tcPr>
          <w:p>
            <w:pPr>
              <w:ind w:left="460"/>
              <w:spacing w:after="0" w:line="201" w:lineRule="exact"/>
              <w:rPr>
                <w:sz w:val="20"/>
                <w:szCs w:val="20"/>
                <w:color w:val="auto"/>
              </w:rPr>
            </w:pPr>
            <w:r>
              <w:rPr>
                <w:rFonts w:ascii="Arial" w:cs="Arial" w:eastAsia="Arial" w:hAnsi="Arial"/>
                <w:sz w:val="18"/>
                <w:szCs w:val="18"/>
                <w:color w:val="002856"/>
              </w:rPr>
              <w:t>of Our Directors</w:t>
            </w:r>
          </w:p>
        </w:tc>
      </w:tr>
      <w:tr>
        <w:trPr>
          <w:trHeight w:val="201"/>
        </w:trPr>
        <w:tc>
          <w:tcPr>
            <w:tcW w:w="1840" w:type="dxa"/>
            <w:vAlign w:val="bottom"/>
            <w:shd w:val="clear" w:color="auto" w:fill="EAEAEA"/>
          </w:tcPr>
          <w:p>
            <w:pPr>
              <w:ind w:left="360"/>
              <w:spacing w:after="0" w:line="201" w:lineRule="exact"/>
              <w:rPr>
                <w:sz w:val="20"/>
                <w:szCs w:val="20"/>
                <w:color w:val="auto"/>
              </w:rPr>
            </w:pPr>
            <w:r>
              <w:rPr>
                <w:rFonts w:ascii="Arial" w:cs="Arial" w:eastAsia="Arial" w:hAnsi="Arial"/>
                <w:sz w:val="18"/>
                <w:szCs w:val="18"/>
                <w:color w:val="002856"/>
              </w:rPr>
              <w:t>Are Ethnically/</w:t>
            </w:r>
          </w:p>
        </w:tc>
        <w:tc>
          <w:tcPr>
            <w:tcW w:w="3120" w:type="dxa"/>
            <w:vAlign w:val="bottom"/>
            <w:shd w:val="clear" w:color="auto" w:fill="EAEAEA"/>
          </w:tcPr>
          <w:p>
            <w:pPr>
              <w:ind w:left="460"/>
              <w:spacing w:after="0" w:line="201" w:lineRule="exact"/>
              <w:rPr>
                <w:sz w:val="20"/>
                <w:szCs w:val="20"/>
                <w:color w:val="auto"/>
              </w:rPr>
            </w:pPr>
            <w:r>
              <w:rPr>
                <w:rFonts w:ascii="Arial" w:cs="Arial" w:eastAsia="Arial" w:hAnsi="Arial"/>
                <w:sz w:val="18"/>
                <w:szCs w:val="18"/>
                <w:color w:val="002856"/>
              </w:rPr>
              <w:t>Are Female</w:t>
            </w:r>
          </w:p>
        </w:tc>
      </w:tr>
      <w:tr>
        <w:trPr>
          <w:trHeight w:val="235"/>
        </w:trPr>
        <w:tc>
          <w:tcPr>
            <w:tcW w:w="1840" w:type="dxa"/>
            <w:vAlign w:val="bottom"/>
            <w:shd w:val="clear" w:color="auto" w:fill="EAEAEA"/>
          </w:tcPr>
          <w:p>
            <w:pPr>
              <w:ind w:left="360"/>
              <w:spacing w:after="0"/>
              <w:rPr>
                <w:sz w:val="20"/>
                <w:szCs w:val="20"/>
                <w:color w:val="auto"/>
              </w:rPr>
            </w:pPr>
            <w:r>
              <w:rPr>
                <w:rFonts w:ascii="Arial" w:cs="Arial" w:eastAsia="Arial" w:hAnsi="Arial"/>
                <w:sz w:val="18"/>
                <w:szCs w:val="18"/>
                <w:color w:val="002856"/>
              </w:rPr>
              <w:t>Racially Diverse</w:t>
            </w:r>
          </w:p>
        </w:tc>
        <w:tc>
          <w:tcPr>
            <w:tcW w:w="3120" w:type="dxa"/>
            <w:vAlign w:val="bottom"/>
            <w:shd w:val="clear" w:color="auto" w:fill="EAEAEA"/>
          </w:tcPr>
          <w:p>
            <w:pPr>
              <w:spacing w:after="0"/>
              <w:rPr>
                <w:sz w:val="20"/>
                <w:szCs w:val="20"/>
                <w:color w:val="auto"/>
              </w:rPr>
            </w:pPr>
          </w:p>
        </w:tc>
      </w:tr>
      <w:tr>
        <w:trPr>
          <w:trHeight w:val="198"/>
        </w:trPr>
        <w:tc>
          <w:tcPr>
            <w:tcW w:w="1840" w:type="dxa"/>
            <w:vAlign w:val="bottom"/>
            <w:shd w:val="clear" w:color="auto" w:fill="EAEAEA"/>
          </w:tcPr>
          <w:p>
            <w:pPr>
              <w:spacing w:after="0"/>
              <w:rPr>
                <w:sz w:val="17"/>
                <w:szCs w:val="17"/>
                <w:color w:val="auto"/>
              </w:rPr>
            </w:pPr>
          </w:p>
        </w:tc>
        <w:tc>
          <w:tcPr>
            <w:tcW w:w="3120" w:type="dxa"/>
            <w:vAlign w:val="bottom"/>
            <w:shd w:val="clear" w:color="auto" w:fill="EAEAEA"/>
          </w:tcPr>
          <w:p>
            <w:pPr>
              <w:spacing w:after="0"/>
              <w:rPr>
                <w:sz w:val="17"/>
                <w:szCs w:val="17"/>
                <w:color w:val="auto"/>
              </w:rPr>
            </w:pPr>
          </w:p>
        </w:tc>
      </w:tr>
    </w:tbl>
    <w:p>
      <w:pPr>
        <w:spacing w:after="0" w:line="138" w:lineRule="exact"/>
        <w:rPr>
          <w:sz w:val="20"/>
          <w:szCs w:val="20"/>
          <w:color w:val="auto"/>
        </w:rPr>
      </w:pPr>
    </w:p>
    <w:p>
      <w:pPr>
        <w:sectPr>
          <w:pgSz w:w="11900" w:h="16838" w:orient="portrait"/>
          <w:cols w:equalWidth="0" w:num="3">
            <w:col w:w="2940" w:space="140"/>
            <w:col w:w="2600" w:space="280"/>
            <w:col w:w="4960"/>
          </w:cols>
          <w:pgMar w:left="480" w:top="304" w:right="499" w:bottom="1440" w:gutter="0" w:footer="0" w:header="0"/>
          <w:type w:val="continuous"/>
        </w:sectPr>
      </w:pPr>
    </w:p>
    <w:p>
      <w:pPr>
        <w:spacing w:after="0"/>
        <w:rPr>
          <w:sz w:val="20"/>
          <w:szCs w:val="20"/>
          <w:color w:val="auto"/>
        </w:rPr>
      </w:pPr>
      <w:r>
        <w:rPr>
          <w:rFonts w:ascii="Arial" w:cs="Arial" w:eastAsia="Arial" w:hAnsi="Arial"/>
          <w:sz w:val="14"/>
          <w:szCs w:val="14"/>
          <w:b w:val="1"/>
          <w:bCs w:val="1"/>
          <w:color w:val="002856"/>
        </w:rPr>
        <w:t>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Our Strategy and Performance</w:t>
      </w:r>
    </w:p>
    <w:p>
      <w:pPr>
        <w:spacing w:after="0" w:line="124"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Company’s strategy is focused on growing our total and organic revenues while delivering strong, industry-leading operating margins and cash conversion. As part of our goal to manage capital in the long-term interests of our shareholders, we generally invest our earnings in the following ways:</w:t>
      </w:r>
    </w:p>
    <w:p>
      <w:pPr>
        <w:spacing w:after="0" w:line="1" w:lineRule="exact"/>
        <w:rPr>
          <w:sz w:val="20"/>
          <w:szCs w:val="20"/>
          <w:color w:val="auto"/>
        </w:rPr>
      </w:pPr>
    </w:p>
    <w:p>
      <w:pPr>
        <w:jc w:val="both"/>
        <w:ind w:right="40" w:firstLine="7"/>
        <w:spacing w:after="0" w:line="249" w:lineRule="auto"/>
        <w:tabs>
          <w:tab w:leader="none" w:pos="24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internally by hiring new teammates and investing in innovation, thereby expanding our capabilities, (2) making high-quality acquisitions and (3) returns to shareholders through the payment of dividends and periodic share repurchases. As part of our overall capital allocation strategy, we remain focused on preserving a level of flexibility and a conservative leverage profile, which enables us to deploy our capital in ways we believe will optimize long-term shareholder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HOW WE INVEST OUR EARNINGS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160" w:type="dxa"/>
            <w:vAlign w:val="bottom"/>
            <w:tcBorders>
              <w:top w:val="single" w:sz="8" w:color="C6093B"/>
            </w:tcBorders>
            <w:shd w:val="clear" w:color="auto" w:fill="EAEAEA"/>
          </w:tcPr>
          <w:p>
            <w:pPr>
              <w:spacing w:after="0"/>
              <w:rPr>
                <w:sz w:val="20"/>
                <w:szCs w:val="20"/>
                <w:color w:val="auto"/>
              </w:rPr>
            </w:pPr>
            <w:r>
              <w:rPr>
                <w:rFonts w:ascii="Arial" w:cs="Arial" w:eastAsia="Arial" w:hAnsi="Arial"/>
                <w:sz w:val="16"/>
                <w:szCs w:val="16"/>
                <w:color w:val="auto"/>
                <w:w w:val="87"/>
              </w:rPr>
              <w:t> </w:t>
            </w:r>
          </w:p>
        </w:tc>
        <w:tc>
          <w:tcPr>
            <w:tcW w:w="920" w:type="dxa"/>
            <w:vAlign w:val="bottom"/>
            <w:tcBorders>
              <w:top w:val="single" w:sz="8" w:color="C6093B"/>
            </w:tcBorders>
            <w:vMerge w:val="restart"/>
            <w:shd w:val="clear" w:color="auto" w:fill="EAEAEA"/>
          </w:tcPr>
          <w:p>
            <w:pPr>
              <w:jc w:val="right"/>
              <w:spacing w:after="0" w:line="521" w:lineRule="exact"/>
              <w:rPr>
                <w:sz w:val="20"/>
                <w:szCs w:val="20"/>
                <w:color w:val="auto"/>
              </w:rPr>
            </w:pPr>
            <w:r>
              <w:rPr>
                <w:rFonts w:ascii="Arial" w:cs="Arial" w:eastAsia="Arial" w:hAnsi="Arial"/>
                <w:sz w:val="60"/>
                <w:szCs w:val="60"/>
                <w:b w:val="1"/>
                <w:bCs w:val="1"/>
                <w:color w:val="1D4F90"/>
              </w:rPr>
              <w:t>1</w:t>
            </w:r>
          </w:p>
        </w:tc>
        <w:tc>
          <w:tcPr>
            <w:tcW w:w="2560" w:type="dxa"/>
            <w:vAlign w:val="bottom"/>
            <w:tcBorders>
              <w:top w:val="single" w:sz="8" w:color="C6093B"/>
            </w:tcBorders>
            <w:shd w:val="clear" w:color="auto" w:fill="EAEAEA"/>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C6093B"/>
            </w:tcBorders>
            <w:shd w:val="clear" w:color="auto" w:fill="EAEAEA"/>
          </w:tcPr>
          <w:p>
            <w:pPr>
              <w:ind w:left="220"/>
              <w:spacing w:after="0"/>
              <w:rPr>
                <w:sz w:val="20"/>
                <w:szCs w:val="20"/>
                <w:color w:val="auto"/>
              </w:rPr>
            </w:pPr>
            <w:r>
              <w:rPr>
                <w:rFonts w:ascii="Arial" w:cs="Arial" w:eastAsia="Arial" w:hAnsi="Arial"/>
                <w:sz w:val="16"/>
                <w:szCs w:val="16"/>
                <w:color w:val="auto"/>
              </w:rPr>
              <w:t> </w:t>
            </w:r>
          </w:p>
        </w:tc>
        <w:tc>
          <w:tcPr>
            <w:tcW w:w="840" w:type="dxa"/>
            <w:vAlign w:val="bottom"/>
            <w:tcBorders>
              <w:top w:val="single" w:sz="8" w:color="C6093B"/>
            </w:tcBorders>
            <w:vMerge w:val="restart"/>
            <w:shd w:val="clear" w:color="auto" w:fill="EAEAEA"/>
          </w:tcPr>
          <w:p>
            <w:pPr>
              <w:jc w:val="right"/>
              <w:spacing w:after="0" w:line="521" w:lineRule="exact"/>
              <w:rPr>
                <w:sz w:val="20"/>
                <w:szCs w:val="20"/>
                <w:color w:val="auto"/>
              </w:rPr>
            </w:pPr>
            <w:r>
              <w:rPr>
                <w:rFonts w:ascii="Arial" w:cs="Arial" w:eastAsia="Arial" w:hAnsi="Arial"/>
                <w:sz w:val="60"/>
                <w:szCs w:val="60"/>
                <w:b w:val="1"/>
                <w:bCs w:val="1"/>
                <w:color w:val="1D4F90"/>
                <w:shd w:val="clear" w:color="auto" w:fill="EAEAEA"/>
              </w:rPr>
              <w:t>2</w:t>
            </w:r>
          </w:p>
        </w:tc>
        <w:tc>
          <w:tcPr>
            <w:tcW w:w="2000" w:type="dxa"/>
            <w:vAlign w:val="bottom"/>
            <w:tcBorders>
              <w:top w:val="single" w:sz="8" w:color="C6093B"/>
            </w:tcBorders>
            <w:shd w:val="clear" w:color="auto" w:fill="EAEAEA"/>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C6093B"/>
            </w:tcBorders>
            <w:shd w:val="clear" w:color="auto" w:fill="EAEAEA"/>
          </w:tcPr>
          <w:p>
            <w:pPr>
              <w:ind w:left="240"/>
              <w:spacing w:after="0"/>
              <w:rPr>
                <w:sz w:val="20"/>
                <w:szCs w:val="20"/>
                <w:color w:val="auto"/>
              </w:rPr>
            </w:pPr>
            <w:r>
              <w:rPr>
                <w:rFonts w:ascii="Arial" w:cs="Arial" w:eastAsia="Arial" w:hAnsi="Arial"/>
                <w:sz w:val="16"/>
                <w:szCs w:val="16"/>
                <w:color w:val="auto"/>
              </w:rPr>
              <w:t> </w:t>
            </w:r>
          </w:p>
        </w:tc>
        <w:tc>
          <w:tcPr>
            <w:tcW w:w="840" w:type="dxa"/>
            <w:vAlign w:val="bottom"/>
            <w:tcBorders>
              <w:top w:val="single" w:sz="8" w:color="C6093B"/>
            </w:tcBorders>
            <w:vMerge w:val="restart"/>
            <w:shd w:val="clear" w:color="auto" w:fill="EAEAEA"/>
          </w:tcPr>
          <w:p>
            <w:pPr>
              <w:jc w:val="right"/>
              <w:spacing w:after="0" w:line="521" w:lineRule="exact"/>
              <w:rPr>
                <w:sz w:val="20"/>
                <w:szCs w:val="20"/>
                <w:color w:val="auto"/>
              </w:rPr>
            </w:pPr>
            <w:r>
              <w:rPr>
                <w:rFonts w:ascii="Arial" w:cs="Arial" w:eastAsia="Arial" w:hAnsi="Arial"/>
                <w:sz w:val="60"/>
                <w:szCs w:val="60"/>
                <w:b w:val="1"/>
                <w:bCs w:val="1"/>
                <w:color w:val="1D4F90"/>
                <w:shd w:val="clear" w:color="auto" w:fill="EAEAEA"/>
              </w:rPr>
              <w:t>3</w:t>
            </w:r>
          </w:p>
        </w:tc>
        <w:tc>
          <w:tcPr>
            <w:tcW w:w="2240" w:type="dxa"/>
            <w:vAlign w:val="bottom"/>
            <w:tcBorders>
              <w:top w:val="single" w:sz="8" w:color="C6093B"/>
            </w:tcBorders>
            <w:shd w:val="clear" w:color="auto" w:fill="EAEAEA"/>
          </w:tcPr>
          <w:p>
            <w:pPr>
              <w:ind w:left="240"/>
              <w:spacing w:after="0"/>
              <w:rPr>
                <w:sz w:val="20"/>
                <w:szCs w:val="20"/>
                <w:color w:val="auto"/>
              </w:rPr>
            </w:pPr>
            <w:r>
              <w:rPr>
                <w:rFonts w:ascii="Arial" w:cs="Arial" w:eastAsia="Arial" w:hAnsi="Arial"/>
                <w:sz w:val="16"/>
                <w:szCs w:val="16"/>
                <w:b w:val="1"/>
                <w:bCs w:val="1"/>
                <w:color w:val="auto"/>
              </w:rPr>
              <w:t>Returns to shareholders</w:t>
            </w:r>
          </w:p>
        </w:tc>
        <w:tc>
          <w:tcPr>
            <w:tcW w:w="0" w:type="dxa"/>
            <w:vAlign w:val="bottom"/>
          </w:tcPr>
          <w:p>
            <w:pPr>
              <w:spacing w:after="0"/>
              <w:rPr>
                <w:sz w:val="1"/>
                <w:szCs w:val="1"/>
                <w:color w:val="auto"/>
              </w:rPr>
            </w:pPr>
          </w:p>
        </w:tc>
      </w:tr>
      <w:tr>
        <w:trPr>
          <w:trHeight w:val="161"/>
        </w:trPr>
        <w:tc>
          <w:tcPr>
            <w:tcW w:w="160" w:type="dxa"/>
            <w:vAlign w:val="bottom"/>
            <w:shd w:val="clear" w:color="auto" w:fill="EAEAEA"/>
          </w:tcPr>
          <w:p>
            <w:pPr>
              <w:spacing w:after="0"/>
              <w:rPr>
                <w:sz w:val="14"/>
                <w:szCs w:val="14"/>
                <w:color w:val="auto"/>
              </w:rPr>
            </w:pPr>
          </w:p>
        </w:tc>
        <w:tc>
          <w:tcPr>
            <w:tcW w:w="920" w:type="dxa"/>
            <w:vAlign w:val="bottom"/>
            <w:vMerge w:val="continue"/>
            <w:shd w:val="clear" w:color="auto" w:fill="EAEAEA"/>
          </w:tcPr>
          <w:p>
            <w:pPr>
              <w:spacing w:after="0"/>
              <w:rPr>
                <w:sz w:val="14"/>
                <w:szCs w:val="14"/>
                <w:color w:val="auto"/>
              </w:rPr>
            </w:pPr>
          </w:p>
        </w:tc>
        <w:tc>
          <w:tcPr>
            <w:tcW w:w="2560" w:type="dxa"/>
            <w:vAlign w:val="bottom"/>
            <w:vMerge w:val="restart"/>
            <w:shd w:val="clear" w:color="auto" w:fill="EAEAEA"/>
          </w:tcPr>
          <w:p>
            <w:pPr>
              <w:ind w:left="220"/>
              <w:spacing w:after="0"/>
              <w:rPr>
                <w:sz w:val="20"/>
                <w:szCs w:val="20"/>
                <w:color w:val="auto"/>
              </w:rPr>
            </w:pPr>
            <w:r>
              <w:rPr>
                <w:rFonts w:ascii="Arial" w:cs="Arial" w:eastAsia="Arial" w:hAnsi="Arial"/>
                <w:sz w:val="16"/>
                <w:szCs w:val="16"/>
                <w:b w:val="1"/>
                <w:bCs w:val="1"/>
                <w:color w:val="auto"/>
              </w:rPr>
              <w:t>Hiring new teammates and</w:t>
            </w:r>
          </w:p>
        </w:tc>
        <w:tc>
          <w:tcPr>
            <w:tcW w:w="240" w:type="dxa"/>
            <w:vAlign w:val="bottom"/>
          </w:tcPr>
          <w:p>
            <w:pPr>
              <w:spacing w:after="0"/>
              <w:rPr>
                <w:sz w:val="14"/>
                <w:szCs w:val="14"/>
                <w:color w:val="auto"/>
              </w:rPr>
            </w:pPr>
          </w:p>
        </w:tc>
        <w:tc>
          <w:tcPr>
            <w:tcW w:w="440" w:type="dxa"/>
            <w:vAlign w:val="bottom"/>
            <w:shd w:val="clear" w:color="auto" w:fill="EAEAEA"/>
          </w:tcPr>
          <w:p>
            <w:pPr>
              <w:spacing w:after="0"/>
              <w:rPr>
                <w:sz w:val="14"/>
                <w:szCs w:val="14"/>
                <w:color w:val="auto"/>
              </w:rPr>
            </w:pPr>
          </w:p>
        </w:tc>
        <w:tc>
          <w:tcPr>
            <w:tcW w:w="840" w:type="dxa"/>
            <w:vAlign w:val="bottom"/>
            <w:vMerge w:val="continue"/>
            <w:shd w:val="clear" w:color="auto" w:fill="EAEAEA"/>
          </w:tcPr>
          <w:p>
            <w:pPr>
              <w:spacing w:after="0"/>
              <w:rPr>
                <w:sz w:val="14"/>
                <w:szCs w:val="14"/>
                <w:color w:val="auto"/>
              </w:rPr>
            </w:pPr>
          </w:p>
        </w:tc>
        <w:tc>
          <w:tcPr>
            <w:tcW w:w="2000" w:type="dxa"/>
            <w:vAlign w:val="bottom"/>
            <w:vMerge w:val="restart"/>
            <w:shd w:val="clear" w:color="auto" w:fill="EAEAEA"/>
          </w:tcPr>
          <w:p>
            <w:pPr>
              <w:ind w:left="240"/>
              <w:spacing w:after="0"/>
              <w:rPr>
                <w:sz w:val="20"/>
                <w:szCs w:val="20"/>
                <w:color w:val="auto"/>
              </w:rPr>
            </w:pPr>
            <w:r>
              <w:rPr>
                <w:rFonts w:ascii="Arial" w:cs="Arial" w:eastAsia="Arial" w:hAnsi="Arial"/>
                <w:sz w:val="16"/>
                <w:szCs w:val="16"/>
                <w:b w:val="1"/>
                <w:bCs w:val="1"/>
                <w:color w:val="auto"/>
                <w:shd w:val="clear" w:color="auto" w:fill="EAEAEA"/>
              </w:rPr>
              <w:t>Making high-quality</w:t>
            </w:r>
          </w:p>
        </w:tc>
        <w:tc>
          <w:tcPr>
            <w:tcW w:w="220" w:type="dxa"/>
            <w:vAlign w:val="bottom"/>
          </w:tcPr>
          <w:p>
            <w:pPr>
              <w:spacing w:after="0"/>
              <w:rPr>
                <w:sz w:val="14"/>
                <w:szCs w:val="14"/>
                <w:color w:val="auto"/>
              </w:rPr>
            </w:pPr>
          </w:p>
        </w:tc>
        <w:tc>
          <w:tcPr>
            <w:tcW w:w="460" w:type="dxa"/>
            <w:vAlign w:val="bottom"/>
            <w:shd w:val="clear" w:color="auto" w:fill="EAEAEA"/>
          </w:tcPr>
          <w:p>
            <w:pPr>
              <w:spacing w:after="0"/>
              <w:rPr>
                <w:sz w:val="14"/>
                <w:szCs w:val="14"/>
                <w:color w:val="auto"/>
              </w:rPr>
            </w:pPr>
          </w:p>
        </w:tc>
        <w:tc>
          <w:tcPr>
            <w:tcW w:w="840" w:type="dxa"/>
            <w:vAlign w:val="bottom"/>
            <w:vMerge w:val="continue"/>
            <w:shd w:val="clear" w:color="auto" w:fill="EAEAEA"/>
          </w:tcPr>
          <w:p>
            <w:pPr>
              <w:spacing w:after="0"/>
              <w:rPr>
                <w:sz w:val="14"/>
                <w:szCs w:val="14"/>
                <w:color w:val="auto"/>
              </w:rPr>
            </w:pPr>
          </w:p>
        </w:tc>
        <w:tc>
          <w:tcPr>
            <w:tcW w:w="2240" w:type="dxa"/>
            <w:vAlign w:val="bottom"/>
            <w:vMerge w:val="restart"/>
            <w:shd w:val="clear" w:color="auto" w:fill="EAEAEA"/>
          </w:tcPr>
          <w:p>
            <w:pPr>
              <w:ind w:left="240"/>
              <w:spacing w:after="0"/>
              <w:rPr>
                <w:sz w:val="20"/>
                <w:szCs w:val="20"/>
                <w:color w:val="auto"/>
              </w:rPr>
            </w:pPr>
            <w:r>
              <w:rPr>
                <w:rFonts w:ascii="Arial" w:cs="Arial" w:eastAsia="Arial" w:hAnsi="Arial"/>
                <w:sz w:val="16"/>
                <w:szCs w:val="16"/>
                <w:b w:val="1"/>
                <w:bCs w:val="1"/>
                <w:color w:val="auto"/>
                <w:shd w:val="clear" w:color="auto" w:fill="EAEAEA"/>
              </w:rPr>
              <w:t>through the payment of</w:t>
            </w:r>
          </w:p>
        </w:tc>
        <w:tc>
          <w:tcPr>
            <w:tcW w:w="0" w:type="dxa"/>
            <w:vAlign w:val="bottom"/>
          </w:tcPr>
          <w:p>
            <w:pPr>
              <w:spacing w:after="0"/>
              <w:rPr>
                <w:sz w:val="1"/>
                <w:szCs w:val="1"/>
                <w:color w:val="auto"/>
              </w:rPr>
            </w:pPr>
          </w:p>
        </w:tc>
      </w:tr>
      <w:tr>
        <w:trPr>
          <w:trHeight w:val="26"/>
        </w:trPr>
        <w:tc>
          <w:tcPr>
            <w:tcW w:w="160" w:type="dxa"/>
            <w:vAlign w:val="bottom"/>
            <w:shd w:val="clear" w:color="auto" w:fill="EAEAEA"/>
          </w:tcPr>
          <w:p>
            <w:pPr>
              <w:spacing w:after="0"/>
              <w:rPr>
                <w:sz w:val="2"/>
                <w:szCs w:val="2"/>
                <w:color w:val="auto"/>
              </w:rPr>
            </w:pPr>
          </w:p>
        </w:tc>
        <w:tc>
          <w:tcPr>
            <w:tcW w:w="920" w:type="dxa"/>
            <w:vAlign w:val="bottom"/>
            <w:shd w:val="clear" w:color="auto" w:fill="EAEAEA"/>
          </w:tcPr>
          <w:p>
            <w:pPr>
              <w:spacing w:after="0"/>
              <w:rPr>
                <w:sz w:val="2"/>
                <w:szCs w:val="2"/>
                <w:color w:val="auto"/>
              </w:rPr>
            </w:pPr>
          </w:p>
        </w:tc>
        <w:tc>
          <w:tcPr>
            <w:tcW w:w="2560" w:type="dxa"/>
            <w:vAlign w:val="bottom"/>
            <w:vMerge w:val="continue"/>
            <w:shd w:val="clear" w:color="auto" w:fill="EAEAEA"/>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EAEAEA"/>
          </w:tcPr>
          <w:p>
            <w:pPr>
              <w:spacing w:after="0"/>
              <w:rPr>
                <w:sz w:val="2"/>
                <w:szCs w:val="2"/>
                <w:color w:val="auto"/>
              </w:rPr>
            </w:pPr>
          </w:p>
        </w:tc>
        <w:tc>
          <w:tcPr>
            <w:tcW w:w="840" w:type="dxa"/>
            <w:vAlign w:val="bottom"/>
            <w:shd w:val="clear" w:color="auto" w:fill="EAEAEA"/>
          </w:tcPr>
          <w:p>
            <w:pPr>
              <w:spacing w:after="0"/>
              <w:rPr>
                <w:sz w:val="2"/>
                <w:szCs w:val="2"/>
                <w:color w:val="auto"/>
              </w:rPr>
            </w:pPr>
          </w:p>
        </w:tc>
        <w:tc>
          <w:tcPr>
            <w:tcW w:w="2000" w:type="dxa"/>
            <w:vAlign w:val="bottom"/>
            <w:vMerge w:val="continue"/>
            <w:shd w:val="clear" w:color="auto" w:fill="EAEAEA"/>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EAEAEA"/>
          </w:tcPr>
          <w:p>
            <w:pPr>
              <w:spacing w:after="0"/>
              <w:rPr>
                <w:sz w:val="2"/>
                <w:szCs w:val="2"/>
                <w:color w:val="auto"/>
              </w:rPr>
            </w:pPr>
          </w:p>
        </w:tc>
        <w:tc>
          <w:tcPr>
            <w:tcW w:w="840" w:type="dxa"/>
            <w:vAlign w:val="bottom"/>
            <w:shd w:val="clear" w:color="auto" w:fill="EAEAEA"/>
          </w:tcPr>
          <w:p>
            <w:pPr>
              <w:spacing w:after="0"/>
              <w:rPr>
                <w:sz w:val="2"/>
                <w:szCs w:val="2"/>
                <w:color w:val="auto"/>
              </w:rPr>
            </w:pPr>
          </w:p>
        </w:tc>
        <w:tc>
          <w:tcPr>
            <w:tcW w:w="2240" w:type="dxa"/>
            <w:vAlign w:val="bottom"/>
            <w:vMerge w:val="continue"/>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160" w:type="dxa"/>
            <w:vAlign w:val="bottom"/>
            <w:shd w:val="clear" w:color="auto" w:fill="EAEAEA"/>
          </w:tcPr>
          <w:p>
            <w:pPr>
              <w:spacing w:after="0"/>
              <w:rPr>
                <w:sz w:val="6"/>
                <w:szCs w:val="6"/>
                <w:color w:val="auto"/>
              </w:rPr>
            </w:pPr>
          </w:p>
        </w:tc>
        <w:tc>
          <w:tcPr>
            <w:tcW w:w="920" w:type="dxa"/>
            <w:vAlign w:val="bottom"/>
            <w:shd w:val="clear" w:color="auto" w:fill="EAEAEA"/>
          </w:tcPr>
          <w:p>
            <w:pPr>
              <w:spacing w:after="0"/>
              <w:rPr>
                <w:sz w:val="6"/>
                <w:szCs w:val="6"/>
                <w:color w:val="auto"/>
              </w:rPr>
            </w:pPr>
          </w:p>
        </w:tc>
        <w:tc>
          <w:tcPr>
            <w:tcW w:w="2560" w:type="dxa"/>
            <w:vAlign w:val="bottom"/>
            <w:vMerge w:val="continue"/>
            <w:shd w:val="clear" w:color="auto" w:fill="EAEAEA"/>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shd w:val="clear" w:color="auto" w:fill="EAEAEA"/>
          </w:tcPr>
          <w:p>
            <w:pPr>
              <w:spacing w:after="0"/>
              <w:rPr>
                <w:sz w:val="6"/>
                <w:szCs w:val="6"/>
                <w:color w:val="auto"/>
              </w:rPr>
            </w:pPr>
          </w:p>
        </w:tc>
        <w:tc>
          <w:tcPr>
            <w:tcW w:w="840" w:type="dxa"/>
            <w:vAlign w:val="bottom"/>
            <w:shd w:val="clear" w:color="auto" w:fill="EAEAEA"/>
          </w:tcPr>
          <w:p>
            <w:pPr>
              <w:spacing w:after="0"/>
              <w:rPr>
                <w:sz w:val="6"/>
                <w:szCs w:val="6"/>
                <w:color w:val="auto"/>
              </w:rPr>
            </w:pPr>
          </w:p>
        </w:tc>
        <w:tc>
          <w:tcPr>
            <w:tcW w:w="2000" w:type="dxa"/>
            <w:vAlign w:val="bottom"/>
            <w:vMerge w:val="continue"/>
            <w:shd w:val="clear" w:color="auto" w:fill="EAEAEA"/>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shd w:val="clear" w:color="auto" w:fill="EAEAEA"/>
          </w:tcPr>
          <w:p>
            <w:pPr>
              <w:spacing w:after="0"/>
              <w:rPr>
                <w:sz w:val="6"/>
                <w:szCs w:val="6"/>
                <w:color w:val="auto"/>
              </w:rPr>
            </w:pPr>
          </w:p>
        </w:tc>
        <w:tc>
          <w:tcPr>
            <w:tcW w:w="840" w:type="dxa"/>
            <w:vAlign w:val="bottom"/>
            <w:shd w:val="clear" w:color="auto" w:fill="EAEAEA"/>
          </w:tcPr>
          <w:p>
            <w:pPr>
              <w:spacing w:after="0"/>
              <w:rPr>
                <w:sz w:val="6"/>
                <w:szCs w:val="6"/>
                <w:color w:val="auto"/>
              </w:rPr>
            </w:pPr>
          </w:p>
        </w:tc>
        <w:tc>
          <w:tcPr>
            <w:tcW w:w="2240" w:type="dxa"/>
            <w:vAlign w:val="bottom"/>
            <w:vMerge w:val="restart"/>
            <w:shd w:val="clear" w:color="auto" w:fill="EAEAEA"/>
          </w:tcPr>
          <w:p>
            <w:pPr>
              <w:ind w:left="240"/>
              <w:spacing w:after="0"/>
              <w:rPr>
                <w:sz w:val="20"/>
                <w:szCs w:val="20"/>
                <w:color w:val="auto"/>
              </w:rPr>
            </w:pPr>
            <w:r>
              <w:rPr>
                <w:rFonts w:ascii="Arial" w:cs="Arial" w:eastAsia="Arial" w:hAnsi="Arial"/>
                <w:sz w:val="16"/>
                <w:szCs w:val="16"/>
                <w:b w:val="1"/>
                <w:bCs w:val="1"/>
                <w:color w:val="auto"/>
              </w:rPr>
              <w:t>dividends and periodic</w:t>
            </w:r>
          </w:p>
        </w:tc>
        <w:tc>
          <w:tcPr>
            <w:tcW w:w="0" w:type="dxa"/>
            <w:vAlign w:val="bottom"/>
          </w:tcPr>
          <w:p>
            <w:pPr>
              <w:spacing w:after="0"/>
              <w:rPr>
                <w:sz w:val="1"/>
                <w:szCs w:val="1"/>
                <w:color w:val="auto"/>
              </w:rPr>
            </w:pPr>
          </w:p>
        </w:tc>
      </w:tr>
      <w:tr>
        <w:trPr>
          <w:trHeight w:val="107"/>
        </w:trPr>
        <w:tc>
          <w:tcPr>
            <w:tcW w:w="160" w:type="dxa"/>
            <w:vAlign w:val="bottom"/>
            <w:shd w:val="clear" w:color="auto" w:fill="EAEAEA"/>
          </w:tcPr>
          <w:p>
            <w:pPr>
              <w:spacing w:after="0"/>
              <w:rPr>
                <w:sz w:val="9"/>
                <w:szCs w:val="9"/>
                <w:color w:val="auto"/>
              </w:rPr>
            </w:pPr>
          </w:p>
        </w:tc>
        <w:tc>
          <w:tcPr>
            <w:tcW w:w="920" w:type="dxa"/>
            <w:vAlign w:val="bottom"/>
            <w:shd w:val="clear" w:color="auto" w:fill="EAEAEA"/>
          </w:tcPr>
          <w:p>
            <w:pPr>
              <w:spacing w:after="0"/>
              <w:rPr>
                <w:sz w:val="9"/>
                <w:szCs w:val="9"/>
                <w:color w:val="auto"/>
              </w:rPr>
            </w:pPr>
          </w:p>
        </w:tc>
        <w:tc>
          <w:tcPr>
            <w:tcW w:w="2560" w:type="dxa"/>
            <w:vAlign w:val="bottom"/>
            <w:vMerge w:val="restart"/>
            <w:shd w:val="clear" w:color="auto" w:fill="EAEAEA"/>
          </w:tcPr>
          <w:p>
            <w:pPr>
              <w:ind w:left="220"/>
              <w:spacing w:after="0"/>
              <w:rPr>
                <w:sz w:val="20"/>
                <w:szCs w:val="20"/>
                <w:color w:val="auto"/>
              </w:rPr>
            </w:pPr>
            <w:r>
              <w:rPr>
                <w:rFonts w:ascii="Arial" w:cs="Arial" w:eastAsia="Arial" w:hAnsi="Arial"/>
                <w:sz w:val="16"/>
                <w:szCs w:val="16"/>
                <w:b w:val="1"/>
                <w:bCs w:val="1"/>
                <w:color w:val="auto"/>
              </w:rPr>
              <w:t>expanding our capabilities</w:t>
            </w:r>
          </w:p>
        </w:tc>
        <w:tc>
          <w:tcPr>
            <w:tcW w:w="240" w:type="dxa"/>
            <w:vAlign w:val="bottom"/>
          </w:tcPr>
          <w:p>
            <w:pPr>
              <w:spacing w:after="0"/>
              <w:rPr>
                <w:sz w:val="9"/>
                <w:szCs w:val="9"/>
                <w:color w:val="auto"/>
              </w:rPr>
            </w:pPr>
          </w:p>
        </w:tc>
        <w:tc>
          <w:tcPr>
            <w:tcW w:w="44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000" w:type="dxa"/>
            <w:vAlign w:val="bottom"/>
            <w:vMerge w:val="restart"/>
            <w:shd w:val="clear" w:color="auto" w:fill="EAEAEA"/>
          </w:tcPr>
          <w:p>
            <w:pPr>
              <w:ind w:left="2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9"/>
                <w:szCs w:val="9"/>
                <w:color w:val="auto"/>
              </w:rPr>
            </w:pPr>
          </w:p>
        </w:tc>
        <w:tc>
          <w:tcPr>
            <w:tcW w:w="46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2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0" w:type="dxa"/>
            <w:vAlign w:val="bottom"/>
            <w:shd w:val="clear" w:color="auto" w:fill="EAEAEA"/>
          </w:tcPr>
          <w:p>
            <w:pPr>
              <w:spacing w:after="0"/>
              <w:rPr>
                <w:sz w:val="9"/>
                <w:szCs w:val="9"/>
                <w:color w:val="auto"/>
              </w:rPr>
            </w:pPr>
          </w:p>
        </w:tc>
        <w:tc>
          <w:tcPr>
            <w:tcW w:w="920" w:type="dxa"/>
            <w:vAlign w:val="bottom"/>
            <w:shd w:val="clear" w:color="auto" w:fill="EAEAEA"/>
          </w:tcPr>
          <w:p>
            <w:pPr>
              <w:spacing w:after="0"/>
              <w:rPr>
                <w:sz w:val="9"/>
                <w:szCs w:val="9"/>
                <w:color w:val="auto"/>
              </w:rPr>
            </w:pPr>
          </w:p>
        </w:tc>
        <w:tc>
          <w:tcPr>
            <w:tcW w:w="2560" w:type="dxa"/>
            <w:vAlign w:val="bottom"/>
            <w:vMerge w:val="continue"/>
            <w:shd w:val="clear" w:color="auto" w:fill="EAEAEA"/>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000" w:type="dxa"/>
            <w:vAlign w:val="bottom"/>
            <w:vMerge w:val="continue"/>
            <w:shd w:val="clear" w:color="auto" w:fill="EAEAEA"/>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240" w:type="dxa"/>
            <w:vAlign w:val="bottom"/>
            <w:vMerge w:val="restart"/>
            <w:shd w:val="clear" w:color="auto" w:fill="EAEAEA"/>
          </w:tcPr>
          <w:p>
            <w:pPr>
              <w:ind w:left="240"/>
              <w:spacing w:after="0"/>
              <w:rPr>
                <w:sz w:val="20"/>
                <w:szCs w:val="20"/>
                <w:color w:val="auto"/>
              </w:rPr>
            </w:pPr>
            <w:r>
              <w:rPr>
                <w:rFonts w:ascii="Arial" w:cs="Arial" w:eastAsia="Arial" w:hAnsi="Arial"/>
                <w:sz w:val="16"/>
                <w:szCs w:val="16"/>
                <w:b w:val="1"/>
                <w:bCs w:val="1"/>
                <w:color w:val="auto"/>
              </w:rPr>
              <w:t>share repurchases</w:t>
            </w:r>
          </w:p>
        </w:tc>
        <w:tc>
          <w:tcPr>
            <w:tcW w:w="0" w:type="dxa"/>
            <w:vAlign w:val="bottom"/>
          </w:tcPr>
          <w:p>
            <w:pPr>
              <w:spacing w:after="0"/>
              <w:rPr>
                <w:sz w:val="1"/>
                <w:szCs w:val="1"/>
                <w:color w:val="auto"/>
              </w:rPr>
            </w:pPr>
          </w:p>
        </w:tc>
      </w:tr>
      <w:tr>
        <w:trPr>
          <w:trHeight w:val="107"/>
        </w:trPr>
        <w:tc>
          <w:tcPr>
            <w:tcW w:w="160" w:type="dxa"/>
            <w:vAlign w:val="bottom"/>
            <w:shd w:val="clear" w:color="auto" w:fill="EAEAEA"/>
          </w:tcPr>
          <w:p>
            <w:pPr>
              <w:spacing w:after="0"/>
              <w:rPr>
                <w:sz w:val="9"/>
                <w:szCs w:val="9"/>
                <w:color w:val="auto"/>
              </w:rPr>
            </w:pPr>
          </w:p>
        </w:tc>
        <w:tc>
          <w:tcPr>
            <w:tcW w:w="920" w:type="dxa"/>
            <w:vAlign w:val="bottom"/>
            <w:shd w:val="clear" w:color="auto" w:fill="EAEAEA"/>
          </w:tcPr>
          <w:p>
            <w:pPr>
              <w:spacing w:after="0"/>
              <w:rPr>
                <w:sz w:val="9"/>
                <w:szCs w:val="9"/>
                <w:color w:val="auto"/>
              </w:rPr>
            </w:pPr>
          </w:p>
        </w:tc>
        <w:tc>
          <w:tcPr>
            <w:tcW w:w="2560" w:type="dxa"/>
            <w:vAlign w:val="bottom"/>
            <w:shd w:val="clear" w:color="auto" w:fill="EAEAEA"/>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000" w:type="dxa"/>
            <w:vAlign w:val="bottom"/>
            <w:shd w:val="clear" w:color="auto" w:fill="EAEAEA"/>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shd w:val="clear" w:color="auto" w:fill="EAEAEA"/>
          </w:tcPr>
          <w:p>
            <w:pPr>
              <w:spacing w:after="0"/>
              <w:rPr>
                <w:sz w:val="9"/>
                <w:szCs w:val="9"/>
                <w:color w:val="auto"/>
              </w:rPr>
            </w:pPr>
          </w:p>
        </w:tc>
        <w:tc>
          <w:tcPr>
            <w:tcW w:w="840" w:type="dxa"/>
            <w:vAlign w:val="bottom"/>
            <w:shd w:val="clear" w:color="auto" w:fill="EAEAEA"/>
          </w:tcPr>
          <w:p>
            <w:pPr>
              <w:spacing w:after="0"/>
              <w:rPr>
                <w:sz w:val="9"/>
                <w:szCs w:val="9"/>
                <w:color w:val="auto"/>
              </w:rPr>
            </w:pPr>
          </w:p>
        </w:tc>
        <w:tc>
          <w:tcPr>
            <w:tcW w:w="224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160" w:type="dxa"/>
            <w:vAlign w:val="bottom"/>
            <w:shd w:val="clear" w:color="auto" w:fill="EAEAEA"/>
          </w:tcPr>
          <w:p>
            <w:pPr>
              <w:spacing w:after="0"/>
              <w:rPr>
                <w:sz w:val="24"/>
                <w:szCs w:val="24"/>
                <w:color w:val="auto"/>
              </w:rPr>
            </w:pPr>
          </w:p>
        </w:tc>
        <w:tc>
          <w:tcPr>
            <w:tcW w:w="920" w:type="dxa"/>
            <w:vAlign w:val="bottom"/>
            <w:shd w:val="clear" w:color="auto" w:fill="EAEAEA"/>
          </w:tcPr>
          <w:p>
            <w:pPr>
              <w:spacing w:after="0"/>
              <w:rPr>
                <w:sz w:val="24"/>
                <w:szCs w:val="24"/>
                <w:color w:val="auto"/>
              </w:rPr>
            </w:pPr>
          </w:p>
        </w:tc>
        <w:tc>
          <w:tcPr>
            <w:tcW w:w="2560" w:type="dxa"/>
            <w:vAlign w:val="bottom"/>
            <w:shd w:val="clear" w:color="auto" w:fill="EAEAEA"/>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shd w:val="clear" w:color="auto" w:fill="EAEAEA"/>
          </w:tcPr>
          <w:p>
            <w:pPr>
              <w:spacing w:after="0"/>
              <w:rPr>
                <w:sz w:val="24"/>
                <w:szCs w:val="24"/>
                <w:color w:val="auto"/>
              </w:rPr>
            </w:pPr>
          </w:p>
        </w:tc>
        <w:tc>
          <w:tcPr>
            <w:tcW w:w="840" w:type="dxa"/>
            <w:vAlign w:val="bottom"/>
            <w:shd w:val="clear" w:color="auto" w:fill="EAEAEA"/>
          </w:tcPr>
          <w:p>
            <w:pPr>
              <w:spacing w:after="0"/>
              <w:rPr>
                <w:sz w:val="24"/>
                <w:szCs w:val="24"/>
                <w:color w:val="auto"/>
              </w:rPr>
            </w:pPr>
          </w:p>
        </w:tc>
        <w:tc>
          <w:tcPr>
            <w:tcW w:w="2000" w:type="dxa"/>
            <w:vAlign w:val="bottom"/>
            <w:shd w:val="clear" w:color="auto" w:fill="EAEAEA"/>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shd w:val="clear" w:color="auto" w:fill="EAEAEA"/>
          </w:tcPr>
          <w:p>
            <w:pPr>
              <w:spacing w:after="0"/>
              <w:rPr>
                <w:sz w:val="24"/>
                <w:szCs w:val="24"/>
                <w:color w:val="auto"/>
              </w:rPr>
            </w:pPr>
          </w:p>
        </w:tc>
        <w:tc>
          <w:tcPr>
            <w:tcW w:w="840" w:type="dxa"/>
            <w:vAlign w:val="bottom"/>
            <w:shd w:val="clear" w:color="auto" w:fill="EAEAEA"/>
          </w:tcPr>
          <w:p>
            <w:pPr>
              <w:spacing w:after="0"/>
              <w:rPr>
                <w:sz w:val="24"/>
                <w:szCs w:val="24"/>
                <w:color w:val="auto"/>
              </w:rPr>
            </w:pPr>
          </w:p>
        </w:tc>
        <w:tc>
          <w:tcPr>
            <w:tcW w:w="224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480" w:top="304" w:right="49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Performance Highlights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fiscal 2023, we delivered strong results, as reflected in the following financial and operational highlights: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40" w:type="dxa"/>
            <w:vAlign w:val="bottom"/>
          </w:tcPr>
          <w:p>
            <w:pPr>
              <w:jc w:val="right"/>
              <w:ind w:right="429"/>
              <w:spacing w:after="0"/>
              <w:rPr>
                <w:sz w:val="20"/>
                <w:szCs w:val="20"/>
                <w:color w:val="auto"/>
              </w:rPr>
            </w:pPr>
            <w:r>
              <w:rPr>
                <w:rFonts w:ascii="Arial" w:cs="Arial" w:eastAsia="Arial" w:hAnsi="Arial"/>
                <w:sz w:val="14"/>
                <w:szCs w:val="14"/>
                <w:b w:val="1"/>
                <w:bCs w:val="1"/>
                <w:color w:val="002856"/>
              </w:rPr>
              <w:t>2023</w:t>
            </w:r>
          </w:p>
        </w:tc>
        <w:tc>
          <w:tcPr>
            <w:tcW w:w="1340" w:type="dxa"/>
            <w:vAlign w:val="bottom"/>
          </w:tcPr>
          <w:p>
            <w:pPr>
              <w:jc w:val="right"/>
              <w:ind w:right="449"/>
              <w:spacing w:after="0"/>
              <w:rPr>
                <w:sz w:val="20"/>
                <w:szCs w:val="20"/>
                <w:color w:val="auto"/>
              </w:rPr>
            </w:pPr>
            <w:r>
              <w:rPr>
                <w:rFonts w:ascii="Arial" w:cs="Arial" w:eastAsia="Arial" w:hAnsi="Arial"/>
                <w:sz w:val="14"/>
                <w:szCs w:val="14"/>
                <w:b w:val="1"/>
                <w:bCs w:val="1"/>
                <w:color w:val="002856"/>
              </w:rPr>
              <w:t>2022</w:t>
            </w:r>
          </w:p>
        </w:tc>
      </w:tr>
      <w:tr>
        <w:trPr>
          <w:trHeight w:val="190"/>
        </w:trPr>
        <w:tc>
          <w:tcPr>
            <w:tcW w:w="4860" w:type="dxa"/>
            <w:vAlign w:val="bottom"/>
            <w:tcBorders>
              <w:bottom w:val="single" w:sz="8" w:color="C6093B"/>
            </w:tcBorders>
          </w:tcPr>
          <w:p>
            <w:pPr>
              <w:spacing w:after="0"/>
              <w:rPr>
                <w:sz w:val="16"/>
                <w:szCs w:val="16"/>
                <w:color w:val="auto"/>
              </w:rPr>
            </w:pPr>
          </w:p>
        </w:tc>
        <w:tc>
          <w:tcPr>
            <w:tcW w:w="1840" w:type="dxa"/>
            <w:vAlign w:val="bottom"/>
            <w:tcBorders>
              <w:bottom w:val="single" w:sz="8" w:color="C6093B"/>
            </w:tcBorders>
          </w:tcPr>
          <w:p>
            <w:pPr>
              <w:jc w:val="right"/>
              <w:ind w:right="29"/>
              <w:spacing w:after="0"/>
              <w:rPr>
                <w:sz w:val="20"/>
                <w:szCs w:val="20"/>
                <w:color w:val="auto"/>
              </w:rPr>
            </w:pPr>
            <w:r>
              <w:rPr>
                <w:rFonts w:ascii="Arial" w:cs="Arial" w:eastAsia="Arial" w:hAnsi="Arial"/>
                <w:sz w:val="14"/>
                <w:szCs w:val="14"/>
                <w:b w:val="1"/>
                <w:bCs w:val="1"/>
                <w:color w:val="002856"/>
              </w:rPr>
              <w:t>PERFORMANCE</w:t>
            </w:r>
          </w:p>
        </w:tc>
        <w:tc>
          <w:tcPr>
            <w:tcW w:w="1340" w:type="dxa"/>
            <w:vAlign w:val="bottom"/>
            <w:tcBorders>
              <w:bottom w:val="single" w:sz="8" w:color="C6093B"/>
            </w:tcBorders>
          </w:tcPr>
          <w:p>
            <w:pPr>
              <w:jc w:val="right"/>
              <w:ind w:right="49"/>
              <w:spacing w:after="0"/>
              <w:rPr>
                <w:sz w:val="20"/>
                <w:szCs w:val="20"/>
                <w:color w:val="auto"/>
              </w:rPr>
            </w:pPr>
            <w:r>
              <w:rPr>
                <w:rFonts w:ascii="Arial" w:cs="Arial" w:eastAsia="Arial" w:hAnsi="Arial"/>
                <w:sz w:val="14"/>
                <w:szCs w:val="14"/>
                <w:b w:val="1"/>
                <w:bCs w:val="1"/>
                <w:color w:val="002856"/>
              </w:rPr>
              <w:t>PERFORMANCE</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Total revenue</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$4.257 billion</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$3.573 billion</w:t>
            </w:r>
          </w:p>
        </w:tc>
      </w:tr>
      <w:tr>
        <w:trPr>
          <w:trHeight w:val="246"/>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Net Income</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$871 million</w:t>
            </w:r>
            <w:r>
              <w:rPr>
                <w:rFonts w:ascii="Arial" w:cs="Arial" w:eastAsia="Arial" w:hAnsi="Arial"/>
                <w:sz w:val="21"/>
                <w:szCs w:val="21"/>
                <w:b w:val="1"/>
                <w:bCs w:val="1"/>
                <w:color w:val="1D4F90"/>
                <w:vertAlign w:val="superscript"/>
              </w:rPr>
              <w:t>1</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$672 million</w:t>
            </w:r>
          </w:p>
        </w:tc>
      </w:tr>
      <w:tr>
        <w:trPr>
          <w:trHeight w:val="231"/>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Diluted earnings per share</w:t>
            </w:r>
          </w:p>
        </w:tc>
        <w:tc>
          <w:tcPr>
            <w:tcW w:w="1840" w:type="dxa"/>
            <w:vAlign w:val="bottom"/>
          </w:tcPr>
          <w:p>
            <w:pPr>
              <w:jc w:val="right"/>
              <w:ind w:right="29"/>
              <w:spacing w:after="0" w:line="231" w:lineRule="exact"/>
              <w:rPr>
                <w:sz w:val="20"/>
                <w:szCs w:val="20"/>
                <w:color w:val="auto"/>
              </w:rPr>
            </w:pPr>
            <w:r>
              <w:rPr>
                <w:rFonts w:ascii="Arial" w:cs="Arial" w:eastAsia="Arial" w:hAnsi="Arial"/>
                <w:sz w:val="14"/>
                <w:szCs w:val="14"/>
                <w:b w:val="1"/>
                <w:bCs w:val="1"/>
                <w:color w:val="1D4F90"/>
              </w:rPr>
              <w:t>$3.05</w:t>
            </w:r>
            <w:r>
              <w:rPr>
                <w:rFonts w:ascii="Arial" w:cs="Arial" w:eastAsia="Arial" w:hAnsi="Arial"/>
                <w:sz w:val="21"/>
                <w:szCs w:val="21"/>
                <w:b w:val="1"/>
                <w:bCs w:val="1"/>
                <w:color w:val="1D4F90"/>
                <w:vertAlign w:val="superscript"/>
              </w:rPr>
              <w:t>1</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$2.37</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Company total commissions and fees growth</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17.9%</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16.9%</w:t>
            </w:r>
          </w:p>
        </w:tc>
      </w:tr>
      <w:tr>
        <w:trPr>
          <w:trHeight w:val="260"/>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Retail segment</w:t>
            </w: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 xml:space="preserve"> total commissions and fees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16.9%</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17.9%</w:t>
            </w:r>
          </w:p>
        </w:tc>
      </w:tr>
      <w:tr>
        <w:trPr>
          <w:trHeight w:val="189"/>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National Programs segment total commissions and fees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24.0%</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22.4%</w:t>
            </w:r>
          </w:p>
        </w:tc>
      </w:tr>
      <w:tr>
        <w:trPr>
          <w:trHeight w:val="227"/>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Wholesale Brokerage segment total commissions and fees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19.0%</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12.5%</w:t>
            </w:r>
          </w:p>
        </w:tc>
      </w:tr>
      <w:tr>
        <w:trPr>
          <w:trHeight w:val="227"/>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Services segment total commissions and fees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(3.9)%</w:t>
            </w:r>
          </w:p>
        </w:tc>
      </w:tr>
      <w:tr>
        <w:trPr>
          <w:trHeight w:val="264"/>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Company Organic Revenue</w:t>
            </w:r>
            <w:r>
              <w:rPr>
                <w:rFonts w:ascii="Arial" w:cs="Arial" w:eastAsia="Arial" w:hAnsi="Arial"/>
                <w:sz w:val="21"/>
                <w:szCs w:val="21"/>
                <w:b w:val="1"/>
                <w:bCs w:val="1"/>
                <w:color w:val="1D4F90"/>
                <w:vertAlign w:val="superscript"/>
              </w:rPr>
              <w:t>3</w:t>
            </w:r>
            <w:r>
              <w:rPr>
                <w:rFonts w:ascii="Arial" w:cs="Arial" w:eastAsia="Arial" w:hAnsi="Arial"/>
                <w:sz w:val="14"/>
                <w:szCs w:val="14"/>
                <w:b w:val="1"/>
                <w:bCs w:val="1"/>
                <w:color w:val="1D4F90"/>
              </w:rPr>
              <w:t xml:space="preserve"> growth</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10.2%</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8.1%</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Retail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7.9%</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6.5%</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National Programs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17.2%</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15.7%</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Wholesale Brokerage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7.6%</w:t>
            </w:r>
          </w:p>
        </w:tc>
      </w:tr>
      <w:tr>
        <w:trPr>
          <w:trHeight w:val="225"/>
        </w:trPr>
        <w:tc>
          <w:tcPr>
            <w:tcW w:w="4860" w:type="dxa"/>
            <w:vAlign w:val="bottom"/>
          </w:tcPr>
          <w:p>
            <w:pPr>
              <w:ind w:left="80"/>
              <w:spacing w:after="0" w:line="225" w:lineRule="exact"/>
              <w:rPr>
                <w:sz w:val="20"/>
                <w:szCs w:val="20"/>
                <w:color w:val="auto"/>
              </w:rPr>
            </w:pPr>
            <w:r>
              <w:rPr>
                <w:rFonts w:ascii="Arial" w:cs="Arial" w:eastAsia="Arial" w:hAnsi="Arial"/>
                <w:sz w:val="14"/>
                <w:szCs w:val="14"/>
                <w:i w:val="1"/>
                <w:iCs w:val="1"/>
                <w:color w:val="auto"/>
              </w:rPr>
              <w:t>Services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(2.9)%</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b w:val="1"/>
                <w:bCs w:val="1"/>
                <w:color w:val="1D4F90"/>
              </w:rPr>
              <w:t>Income before income taxes margin</w:t>
            </w:r>
            <w:r>
              <w:rPr>
                <w:rFonts w:ascii="Arial" w:cs="Arial" w:eastAsia="Arial" w:hAnsi="Arial"/>
                <w:sz w:val="21"/>
                <w:szCs w:val="21"/>
                <w:b w:val="1"/>
                <w:bCs w:val="1"/>
                <w:color w:val="1D4F90"/>
                <w:vertAlign w:val="superscript"/>
              </w:rPr>
              <w:t>4</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26.9%</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24.5%</w:t>
            </w:r>
          </w:p>
        </w:tc>
      </w:tr>
      <w:tr>
        <w:trPr>
          <w:trHeight w:val="231"/>
        </w:trPr>
        <w:tc>
          <w:tcPr>
            <w:tcW w:w="4860" w:type="dxa"/>
            <w:vAlign w:val="bottom"/>
          </w:tcPr>
          <w:p>
            <w:pPr>
              <w:ind w:left="80"/>
              <w:spacing w:after="0" w:line="231" w:lineRule="exact"/>
              <w:rPr>
                <w:sz w:val="20"/>
                <w:szCs w:val="20"/>
                <w:color w:val="auto"/>
              </w:rPr>
            </w:pPr>
            <w:r>
              <w:rPr>
                <w:rFonts w:ascii="Arial" w:cs="Arial" w:eastAsia="Arial" w:hAnsi="Arial"/>
                <w:sz w:val="14"/>
                <w:szCs w:val="14"/>
                <w:b w:val="1"/>
                <w:bCs w:val="1"/>
                <w:color w:val="1D4F90"/>
              </w:rPr>
              <w:t>Adjusted EBITDAC Margin</w:t>
            </w:r>
            <w:r>
              <w:rPr>
                <w:rFonts w:ascii="Arial" w:cs="Arial" w:eastAsia="Arial" w:hAnsi="Arial"/>
                <w:sz w:val="21"/>
                <w:szCs w:val="21"/>
                <w:b w:val="1"/>
                <w:bCs w:val="1"/>
                <w:color w:val="1D4F90"/>
                <w:vertAlign w:val="superscript"/>
              </w:rPr>
              <w:t>3</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34.2%</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32.9%</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Net cash provided by operating activities</w:t>
            </w:r>
          </w:p>
        </w:tc>
        <w:tc>
          <w:tcPr>
            <w:tcW w:w="1840" w:type="dxa"/>
            <w:vAlign w:val="bottom"/>
          </w:tcPr>
          <w:p>
            <w:pPr>
              <w:jc w:val="right"/>
              <w:ind w:right="29"/>
              <w:spacing w:after="0"/>
              <w:rPr>
                <w:sz w:val="20"/>
                <w:szCs w:val="20"/>
                <w:color w:val="auto"/>
              </w:rPr>
            </w:pPr>
            <w:r>
              <w:rPr>
                <w:rFonts w:ascii="Arial" w:cs="Arial" w:eastAsia="Arial" w:hAnsi="Arial"/>
                <w:sz w:val="14"/>
                <w:szCs w:val="14"/>
                <w:b w:val="1"/>
                <w:bCs w:val="1"/>
                <w:color w:val="1D4F90"/>
              </w:rPr>
              <w:t>$1,010 million</w:t>
            </w:r>
          </w:p>
        </w:tc>
        <w:tc>
          <w:tcPr>
            <w:tcW w:w="1340" w:type="dxa"/>
            <w:vAlign w:val="bottom"/>
          </w:tcPr>
          <w:p>
            <w:pPr>
              <w:jc w:val="right"/>
              <w:ind w:right="49"/>
              <w:spacing w:after="0"/>
              <w:rPr>
                <w:sz w:val="20"/>
                <w:szCs w:val="20"/>
                <w:color w:val="auto"/>
              </w:rPr>
            </w:pPr>
            <w:r>
              <w:rPr>
                <w:rFonts w:ascii="Arial" w:cs="Arial" w:eastAsia="Arial" w:hAnsi="Arial"/>
                <w:sz w:val="14"/>
                <w:szCs w:val="14"/>
                <w:b w:val="1"/>
                <w:bCs w:val="1"/>
                <w:color w:val="1D4F90"/>
              </w:rPr>
              <w:t>$881 million</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840" w:type="dxa"/>
            <w:vAlign w:val="bottom"/>
            <w:tcBorders>
              <w:top w:val="single" w:sz="8" w:color="C6093B"/>
            </w:tcBorders>
            <w:vMerge w:val="restart"/>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2"/>
                <w:szCs w:val="12"/>
                <w:color w:val="auto"/>
              </w:rPr>
              <w:t>  Amount includes a pre-tax gain on disposal of $134.6 million associated with the sale of certain third-party claims administration and</w:t>
            </w:r>
          </w:p>
        </w:tc>
        <w:tc>
          <w:tcPr>
            <w:tcW w:w="200" w:type="dxa"/>
            <w:vAlign w:val="bottom"/>
            <w:tcBorders>
              <w:top w:val="single" w:sz="8" w:color="C6093B"/>
            </w:tcBorders>
          </w:tcPr>
          <w:p>
            <w:pPr>
              <w:ind w:left="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80"/>
        </w:trPr>
        <w:tc>
          <w:tcPr>
            <w:tcW w:w="7840" w:type="dxa"/>
            <w:vAlign w:val="bottom"/>
            <w:vMerge w:val="continue"/>
          </w:tcPr>
          <w:p>
            <w:pPr>
              <w:spacing w:after="0"/>
              <w:rPr>
                <w:sz w:val="6"/>
                <w:szCs w:val="6"/>
                <w:color w:val="auto"/>
              </w:rPr>
            </w:pPr>
          </w:p>
        </w:tc>
        <w:tc>
          <w:tcPr>
            <w:tcW w:w="200" w:type="dxa"/>
            <w:vAlign w:val="bottom"/>
            <w:vMerge w:val="restart"/>
          </w:tcPr>
          <w:p>
            <w:pPr>
              <w:ind w:left="80"/>
              <w:spacing w:after="0" w:line="134"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53"/>
        </w:trPr>
        <w:tc>
          <w:tcPr>
            <w:tcW w:w="7840" w:type="dxa"/>
            <w:vAlign w:val="bottom"/>
            <w:vMerge w:val="restart"/>
          </w:tcPr>
          <w:p>
            <w:pPr>
              <w:ind w:left="140"/>
              <w:spacing w:after="0"/>
              <w:rPr>
                <w:sz w:val="20"/>
                <w:szCs w:val="20"/>
                <w:color w:val="auto"/>
              </w:rPr>
            </w:pPr>
            <w:r>
              <w:rPr>
                <w:rFonts w:ascii="Arial" w:cs="Arial" w:eastAsia="Arial" w:hAnsi="Arial"/>
                <w:sz w:val="12"/>
                <w:szCs w:val="12"/>
                <w:color w:val="auto"/>
              </w:rPr>
              <w:t>adjusting services businesses in the fourth quarter of 2023.</w:t>
            </w: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7840" w:type="dxa"/>
            <w:vAlign w:val="bottom"/>
            <w:vMerge w:val="continue"/>
          </w:tcPr>
          <w:p>
            <w:pPr>
              <w:spacing w:after="0"/>
              <w:rPr>
                <w:sz w:val="9"/>
                <w:szCs w:val="9"/>
                <w:color w:val="auto"/>
              </w:rPr>
            </w:pPr>
          </w:p>
        </w:tc>
        <w:tc>
          <w:tcPr>
            <w:tcW w:w="200" w:type="dxa"/>
            <w:vAlign w:val="bottom"/>
            <w:vMerge w:val="restart"/>
          </w:tcPr>
          <w:p>
            <w:pPr>
              <w:ind w:left="80"/>
              <w:spacing w:after="0" w:line="134"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40" w:type="dxa"/>
            <w:vAlign w:val="bottom"/>
          </w:tcPr>
          <w:p>
            <w:pPr>
              <w:spacing w:after="0" w:line="161" w:lineRule="exact"/>
              <w:rPr>
                <w:sz w:val="20"/>
                <w:szCs w:val="20"/>
                <w:color w:val="auto"/>
              </w:rPr>
            </w:pPr>
            <w:r>
              <w:rPr>
                <w:rFonts w:ascii="Arial" w:cs="Arial" w:eastAsia="Arial" w:hAnsi="Arial"/>
                <w:sz w:val="18"/>
                <w:szCs w:val="18"/>
                <w:color w:val="auto"/>
                <w:vertAlign w:val="superscript"/>
              </w:rPr>
              <w:t>(2)</w:t>
            </w:r>
            <w:r>
              <w:rPr>
                <w:rFonts w:ascii="Arial" w:cs="Arial" w:eastAsia="Arial" w:hAnsi="Arial"/>
                <w:sz w:val="12"/>
                <w:szCs w:val="12"/>
                <w:color w:val="auto"/>
              </w:rPr>
              <w:t> The Retail segment includes commissions and fees reported in the “Other” column of the Segment Information table in Note 16 to our</w:t>
            </w:r>
          </w:p>
        </w:tc>
        <w:tc>
          <w:tcPr>
            <w:tcW w:w="200" w:type="dxa"/>
            <w:vAlign w:val="bottom"/>
          </w:tcPr>
          <w:p>
            <w:pPr>
              <w:ind w:left="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4"/>
        </w:trPr>
        <w:tc>
          <w:tcPr>
            <w:tcW w:w="7840" w:type="dxa"/>
            <w:vAlign w:val="bottom"/>
          </w:tcPr>
          <w:p>
            <w:pPr>
              <w:ind w:left="140"/>
              <w:spacing w:after="0" w:line="134" w:lineRule="exact"/>
              <w:rPr>
                <w:sz w:val="20"/>
                <w:szCs w:val="20"/>
                <w:color w:val="auto"/>
              </w:rPr>
            </w:pPr>
            <w:r>
              <w:rPr>
                <w:rFonts w:ascii="Arial" w:cs="Arial" w:eastAsia="Arial" w:hAnsi="Arial"/>
                <w:sz w:val="12"/>
                <w:szCs w:val="12"/>
                <w:color w:val="auto"/>
              </w:rPr>
              <w:t>audited consolidated financial statements in our Annual Report on Form 10-K for the fiscal year ended December 31, 2023, which includes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140"/>
              <w:spacing w:after="0"/>
              <w:rPr>
                <w:sz w:val="20"/>
                <w:szCs w:val="20"/>
                <w:color w:val="auto"/>
              </w:rPr>
            </w:pPr>
            <w:r>
              <w:rPr>
                <w:rFonts w:ascii="Arial" w:cs="Arial" w:eastAsia="Arial" w:hAnsi="Arial"/>
                <w:sz w:val="12"/>
                <w:szCs w:val="12"/>
                <w:color w:val="auto"/>
              </w:rPr>
              <w:t>corporate and consolidation items.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0" w:right="340" w:hanging="124"/>
        <w:spacing w:after="0" w:line="207"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2"/>
          <w:szCs w:val="12"/>
          <w:color w:val="auto"/>
        </w:rPr>
        <w:t xml:space="preserve">  See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Organic Revenue, Organic Revenue growth and Adjusted EBITDAC Margin, which are non-GAAP financial measures, including a reconciliation to the most closely comparable GAAP financial measure.</w:t>
      </w:r>
    </w:p>
    <w:p>
      <w:pPr>
        <w:spacing w:after="0" w:line="50" w:lineRule="exact"/>
        <w:rPr>
          <w:sz w:val="20"/>
          <w:szCs w:val="20"/>
          <w:color w:val="auto"/>
        </w:rPr>
      </w:pPr>
    </w:p>
    <w:p>
      <w:pPr>
        <w:ind w:left="140" w:right="200" w:hanging="124"/>
        <w:spacing w:after="0" w:line="207" w:lineRule="auto"/>
        <w:rPr>
          <w:sz w:val="20"/>
          <w:szCs w:val="20"/>
          <w:color w:val="auto"/>
        </w:rPr>
      </w:pPr>
      <w:r>
        <w:rPr>
          <w:rFonts w:ascii="Arial" w:cs="Arial" w:eastAsia="Arial" w:hAnsi="Arial"/>
          <w:sz w:val="18"/>
          <w:szCs w:val="18"/>
          <w:color w:val="auto"/>
          <w:vertAlign w:val="superscript"/>
        </w:rPr>
        <w:t>(4)</w:t>
      </w:r>
      <w:r>
        <w:rPr>
          <w:rFonts w:ascii="Arial" w:cs="Arial" w:eastAsia="Arial" w:hAnsi="Arial"/>
          <w:sz w:val="12"/>
          <w:szCs w:val="12"/>
          <w:color w:val="auto"/>
        </w:rPr>
        <w:t>  Income before income taxes margin is calculated as the Company’s income before income taxes, as reported, divided by total revenues, as reported.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 xml:space="preserve">Strong total and </w:t>
      </w:r>
      <w:r>
        <w:rPr>
          <w:rFonts w:ascii="Arial" w:cs="Arial" w:eastAsia="Arial" w:hAnsi="Arial"/>
          <w:sz w:val="19"/>
          <w:szCs w:val="19"/>
          <w:b w:val="1"/>
          <w:bCs w:val="1"/>
          <w:color w:val="1D4F90"/>
        </w:rPr>
        <w:t>ORGANIC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-165735</wp:posOffset>
            </wp:positionV>
            <wp:extent cx="17145" cy="383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3830320"/>
                    </a:xfrm>
                    <a:prstGeom prst="rect">
                      <a:avLst/>
                    </a:prstGeom>
                    <a:noFill/>
                  </pic:spPr>
                </pic:pic>
              </a:graphicData>
            </a:graphic>
          </wp:anchor>
        </w:drawing>
      </w:r>
    </w:p>
    <w:p>
      <w:pPr>
        <w:ind w:left="7"/>
        <w:spacing w:after="0"/>
        <w:rPr>
          <w:sz w:val="20"/>
          <w:szCs w:val="20"/>
          <w:color w:val="auto"/>
        </w:rPr>
      </w:pPr>
      <w:r>
        <w:rPr>
          <w:rFonts w:ascii="Arial" w:cs="Arial" w:eastAsia="Arial" w:hAnsi="Arial"/>
          <w:sz w:val="20"/>
          <w:szCs w:val="20"/>
          <w:b w:val="1"/>
          <w:bCs w:val="1"/>
          <w:color w:val="1D4F90"/>
        </w:rPr>
        <w:t>REVENUE GROWTH</w:t>
      </w:r>
    </w:p>
    <w:p>
      <w:pPr>
        <w:ind w:left="7"/>
        <w:spacing w:after="0"/>
        <w:rPr>
          <w:sz w:val="20"/>
          <w:szCs w:val="20"/>
          <w:color w:val="auto"/>
        </w:rPr>
      </w:pPr>
      <w:r>
        <w:rPr>
          <w:rFonts w:ascii="Arial" w:cs="Arial" w:eastAsia="Arial" w:hAnsi="Arial"/>
          <w:sz w:val="16"/>
          <w:szCs w:val="16"/>
          <w:b w:val="1"/>
          <w:bCs w:val="1"/>
          <w:color w:val="auto"/>
        </w:rPr>
        <w:t>companywide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53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 w:right="260"/>
        <w:spacing w:after="0" w:line="248" w:lineRule="auto"/>
        <w:rPr>
          <w:sz w:val="20"/>
          <w:szCs w:val="20"/>
          <w:color w:val="auto"/>
        </w:rPr>
      </w:pPr>
      <w:r>
        <w:rPr>
          <w:rFonts w:ascii="Arial" w:cs="Arial" w:eastAsia="Arial" w:hAnsi="Arial"/>
          <w:sz w:val="19"/>
          <w:szCs w:val="19"/>
          <w:b w:val="1"/>
          <w:bCs w:val="1"/>
          <w:color w:val="1D4F90"/>
        </w:rPr>
        <w:t xml:space="preserve">INCREASED </w:t>
      </w:r>
      <w:r>
        <w:rPr>
          <w:rFonts w:ascii="Arial" w:cs="Arial" w:eastAsia="Arial" w:hAnsi="Arial"/>
          <w:sz w:val="15"/>
          <w:szCs w:val="15"/>
          <w:b w:val="1"/>
          <w:bCs w:val="1"/>
          <w:color w:val="000000"/>
        </w:rPr>
        <w:t>our industry-leading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1553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7" w:right="20"/>
        <w:spacing w:after="0" w:line="279" w:lineRule="auto"/>
        <w:rPr>
          <w:sz w:val="20"/>
          <w:szCs w:val="20"/>
          <w:color w:val="auto"/>
        </w:rPr>
      </w:pPr>
      <w:r>
        <w:rPr>
          <w:rFonts w:ascii="Arial" w:cs="Arial" w:eastAsia="Arial" w:hAnsi="Arial"/>
          <w:sz w:val="15"/>
          <w:szCs w:val="15"/>
          <w:b w:val="1"/>
          <w:bCs w:val="1"/>
          <w:color w:val="1D4F90"/>
        </w:rPr>
        <w:t xml:space="preserve">30TH </w:t>
      </w:r>
      <w:r>
        <w:rPr>
          <w:rFonts w:ascii="Arial" w:cs="Arial" w:eastAsia="Arial" w:hAnsi="Arial"/>
          <w:sz w:val="15"/>
          <w:szCs w:val="15"/>
          <w:b w:val="1"/>
          <w:bCs w:val="1"/>
          <w:color w:val="000000"/>
        </w:rPr>
        <w:t>consecutive annual</w:t>
      </w:r>
      <w:r>
        <w:rPr>
          <w:rFonts w:ascii="Arial" w:cs="Arial" w:eastAsia="Arial" w:hAnsi="Arial"/>
          <w:sz w:val="15"/>
          <w:szCs w:val="15"/>
          <w:b w:val="1"/>
          <w:bCs w:val="1"/>
          <w:color w:val="1D4F90"/>
        </w:rPr>
        <w:t xml:space="preserve"> </w:t>
      </w:r>
      <w:r>
        <w:rPr>
          <w:rFonts w:ascii="Arial" w:cs="Arial" w:eastAsia="Arial" w:hAnsi="Arial"/>
          <w:sz w:val="15"/>
          <w:szCs w:val="15"/>
          <w:b w:val="1"/>
          <w:bCs w:val="1"/>
          <w:color w:val="000000"/>
        </w:rPr>
        <w:t xml:space="preserve">dividend increase, returning approximately </w:t>
      </w:r>
      <w:r>
        <w:rPr>
          <w:rFonts w:ascii="Arial" w:cs="Arial" w:eastAsia="Arial" w:hAnsi="Arial"/>
          <w:sz w:val="18"/>
          <w:szCs w:val="18"/>
          <w:b w:val="1"/>
          <w:bCs w:val="1"/>
          <w:color w:val="1D4F90"/>
        </w:rPr>
        <w:t>$ 135 MILLION</w:t>
      </w:r>
      <w:r>
        <w:rPr>
          <w:rFonts w:ascii="Arial" w:cs="Arial" w:eastAsia="Arial" w:hAnsi="Arial"/>
          <w:sz w:val="15"/>
          <w:szCs w:val="15"/>
          <w:b w:val="1"/>
          <w:bCs w:val="1"/>
          <w:color w:val="000000"/>
        </w:rPr>
        <w:t xml:space="preserve"> to shareholders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1553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 w:right="200"/>
        <w:spacing w:after="0" w:line="235" w:lineRule="auto"/>
        <w:rPr>
          <w:sz w:val="20"/>
          <w:szCs w:val="20"/>
          <w:color w:val="auto"/>
        </w:rPr>
      </w:pPr>
      <w:r>
        <w:rPr>
          <w:rFonts w:ascii="Arial" w:cs="Arial" w:eastAsia="Arial" w:hAnsi="Arial"/>
          <w:sz w:val="20"/>
          <w:szCs w:val="20"/>
          <w:b w:val="1"/>
          <w:bCs w:val="1"/>
          <w:color w:val="1D4F90"/>
        </w:rPr>
        <w:t xml:space="preserve">ROBUST GROWTH </w:t>
      </w:r>
      <w:r>
        <w:rPr>
          <w:rFonts w:ascii="Arial" w:cs="Arial" w:eastAsia="Arial" w:hAnsi="Arial"/>
          <w:sz w:val="16"/>
          <w:szCs w:val="16"/>
          <w:b w:val="1"/>
          <w:bCs w:val="1"/>
          <w:color w:val="000000"/>
        </w:rPr>
        <w:t>in net</w:t>
      </w:r>
      <w:r>
        <w:rPr>
          <w:rFonts w:ascii="Arial" w:cs="Arial" w:eastAsia="Arial" w:hAnsi="Arial"/>
          <w:sz w:val="20"/>
          <w:szCs w:val="20"/>
          <w:b w:val="1"/>
          <w:bCs w:val="1"/>
          <w:color w:val="1D4F90"/>
        </w:rPr>
        <w:t xml:space="preserve"> </w:t>
      </w:r>
      <w:r>
        <w:rPr>
          <w:rFonts w:ascii="Arial" w:cs="Arial" w:eastAsia="Arial" w:hAnsi="Arial"/>
          <w:sz w:val="16"/>
          <w:szCs w:val="16"/>
          <w:b w:val="1"/>
          <w:bCs w:val="1"/>
          <w:color w:val="000000"/>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1553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 w:right="660" w:hanging="7"/>
        <w:spacing w:after="0" w:line="249" w:lineRule="auto"/>
        <w:tabs>
          <w:tab w:leader="none" w:pos="279" w:val="left"/>
        </w:tabs>
        <w:numPr>
          <w:ilvl w:val="0"/>
          <w:numId w:val="10"/>
        </w:numPr>
        <w:rPr>
          <w:rFonts w:ascii="Arial" w:cs="Arial" w:eastAsia="Arial" w:hAnsi="Arial"/>
          <w:sz w:val="19"/>
          <w:szCs w:val="19"/>
          <w:b w:val="1"/>
          <w:bCs w:val="1"/>
          <w:color w:val="1D4F90"/>
        </w:rPr>
      </w:pPr>
      <w:r>
        <w:rPr>
          <w:rFonts w:ascii="Arial" w:cs="Arial" w:eastAsia="Arial" w:hAnsi="Arial"/>
          <w:sz w:val="19"/>
          <w:szCs w:val="19"/>
          <w:b w:val="1"/>
          <w:bCs w:val="1"/>
          <w:color w:val="1D4F90"/>
        </w:rPr>
        <w:t xml:space="preserve">STRATEGIC ACQUISITIONS </w:t>
      </w:r>
      <w:r>
        <w:rPr>
          <w:rFonts w:ascii="Arial" w:cs="Arial" w:eastAsia="Arial" w:hAnsi="Arial"/>
          <w:sz w:val="15"/>
          <w:szCs w:val="15"/>
          <w:b w:val="1"/>
          <w:bCs w:val="1"/>
          <w:color w:val="000000"/>
        </w:rPr>
        <w:t>with</w:t>
      </w:r>
    </w:p>
    <w:p>
      <w:pPr>
        <w:ind w:left="7" w:right="180"/>
        <w:spacing w:after="0" w:line="306" w:lineRule="auto"/>
        <w:rPr>
          <w:sz w:val="20"/>
          <w:szCs w:val="20"/>
          <w:color w:val="auto"/>
        </w:rPr>
      </w:pPr>
      <w:r>
        <w:rPr>
          <w:rFonts w:ascii="Arial" w:cs="Arial" w:eastAsia="Arial" w:hAnsi="Arial"/>
          <w:sz w:val="15"/>
          <w:szCs w:val="15"/>
          <w:b w:val="1"/>
          <w:bCs w:val="1"/>
          <w:color w:val="auto"/>
        </w:rPr>
        <w:t xml:space="preserve">aggregate annual revenues of approximately </w:t>
      </w:r>
      <w:r>
        <w:rPr>
          <w:rFonts w:ascii="Arial" w:cs="Arial" w:eastAsia="Arial" w:hAnsi="Arial"/>
          <w:sz w:val="15"/>
          <w:szCs w:val="15"/>
          <w:b w:val="1"/>
          <w:bCs w:val="1"/>
          <w:color w:val="1D4F90"/>
        </w:rPr>
        <w:t>$162 MILLION</w:t>
      </w:r>
    </w:p>
    <w:p>
      <w:pPr>
        <w:spacing w:after="0" w:line="200" w:lineRule="exact"/>
        <w:rPr>
          <w:sz w:val="20"/>
          <w:szCs w:val="20"/>
          <w:color w:val="auto"/>
        </w:rPr>
      </w:pPr>
    </w:p>
    <w:p>
      <w:pPr>
        <w:sectPr>
          <w:pgSz w:w="11900" w:h="16838" w:orient="portrait"/>
          <w:cols w:equalWidth="0" w:num="2">
            <w:col w:w="8040" w:space="433"/>
            <w:col w:w="2447"/>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4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3</w:t>
      </w:r>
    </w:p>
    <w:p>
      <w:pPr>
        <w:sectPr>
          <w:pgSz w:w="11900" w:h="16838" w:orient="portrait"/>
          <w:cols w:equalWidth="0" w:num="1">
            <w:col w:w="10920"/>
          </w:cols>
          <w:pgMar w:left="480" w:top="304" w:right="4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6"/>
          <w:szCs w:val="36"/>
          <w:b w:val="1"/>
          <w:bCs w:val="1"/>
          <w:color w:val="002856"/>
        </w:rPr>
        <w:t xml:space="preserve">Proposal 1: </w:t>
      </w:r>
      <w:r>
        <w:rPr>
          <w:rFonts w:ascii="Arial" w:cs="Arial" w:eastAsia="Arial" w:hAnsi="Arial"/>
          <w:sz w:val="36"/>
          <w:szCs w:val="36"/>
          <w:color w:val="002856"/>
        </w:rPr>
        <w:t>Election of Directors</w:t>
      </w:r>
    </w:p>
    <w:p>
      <w:pPr>
        <w:spacing w:after="0" w:line="34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At the Meeting, 15 directors will stand for reelection for a term expiring at the 2025 Annual Meeting of Shareholders. Information about each nominee’s experience and qualifications appears below.</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All nominees have consented to being named in the Proxy Statement and have agreed to serve if elected. If any director nominee becomes unable or unwilling to serve, proxies will be voted for any substitute nominee(s) as the Board of Directors (the “Board”) may nominate on the recommendation of the Nominating/Corporate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69297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Vote Required; Majority Voting; Board Recommendation</w:t>
      </w:r>
    </w:p>
    <w:p>
      <w:pPr>
        <w:sectPr>
          <w:pgSz w:w="11900" w:h="16838" w:orient="portrait"/>
          <w:cols w:equalWidth="0" w:num="1">
            <w:col w:w="10940"/>
          </w:cols>
          <w:pgMar w:left="480" w:top="1440" w:right="479" w:bottom="1440" w:gutter="0" w:footer="0" w:header="0"/>
        </w:sectPr>
      </w:pP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By-Laws provide for a majority voting standard for the election of our directors in uncontested elections. If the director election were contested, the plurality standard would apply, which means the nominees receiving the greatest numbers of votes would be elected to serve as directors.</w:t>
      </w:r>
    </w:p>
    <w:p>
      <w:pPr>
        <w:spacing w:after="0" w:line="13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To be elected, a nominee must receive the affirmative vote of more than 50% of the votes cast, present either in person or by proxy, at the Meeting. If an incumbent director does not receive more than 50% of the votes cast with respect to his or her election, he or she must promptly tender a conditional resignation following certification of the vote. The Nominating/ Corporate Governance Committee will then consider the resignation and recommend to the Board whether to accept it, and the Board would be expected to act on the recommendation within 90 days. Thereafter, the Board will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promptly publicly disclose its decision concerning whether to accept the director’s resignation offer (and, if applicable, the reasons for rejecting the offer). If the Board does not accept the resignation, the director will continue to serve until the next annual meeting and until a successor has been elected and qualified. If the Board accepts the resignation, then the Board may fill any resulting vacancy or may decrease the size of the Board.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1140" w:type="dxa"/>
            <w:vAlign w:val="bottom"/>
            <w:shd w:val="clear" w:color="auto" w:fill="EAEAEA"/>
          </w:tcPr>
          <w:p>
            <w:pPr>
              <w:spacing w:after="0"/>
              <w:rPr>
                <w:sz w:val="24"/>
                <w:szCs w:val="24"/>
                <w:color w:val="auto"/>
              </w:rPr>
            </w:pPr>
          </w:p>
        </w:tc>
        <w:tc>
          <w:tcPr>
            <w:tcW w:w="3760" w:type="dxa"/>
            <w:vAlign w:val="bottom"/>
            <w:shd w:val="clear" w:color="auto" w:fill="EAEAEA"/>
          </w:tcPr>
          <w:p>
            <w:pPr>
              <w:ind w:left="940"/>
              <w:spacing w:after="0"/>
              <w:rPr>
                <w:sz w:val="20"/>
                <w:szCs w:val="20"/>
                <w:color w:val="auto"/>
              </w:rPr>
            </w:pPr>
            <w:r>
              <w:rPr>
                <w:rFonts w:ascii="Arial" w:cs="Arial" w:eastAsia="Arial" w:hAnsi="Arial"/>
                <w:sz w:val="25"/>
                <w:szCs w:val="25"/>
                <w:color w:val="1D4F90"/>
              </w:rPr>
              <w:t>The Board unanimously</w:t>
            </w:r>
          </w:p>
        </w:tc>
        <w:tc>
          <w:tcPr>
            <w:tcW w:w="460" w:type="dxa"/>
            <w:vAlign w:val="bottom"/>
            <w:vMerge w:val="restart"/>
            <w:shd w:val="clear" w:color="auto" w:fill="EAEAEA"/>
          </w:tcPr>
          <w:p>
            <w:pPr>
              <w:ind w:left="200"/>
              <w:spacing w:after="0"/>
              <w:rPr>
                <w:sz w:val="20"/>
                <w:szCs w:val="20"/>
                <w:color w:val="auto"/>
              </w:rPr>
            </w:pPr>
            <w:r>
              <w:rPr>
                <w:rFonts w:ascii="Arial" w:cs="Arial" w:eastAsia="Arial" w:hAnsi="Arial"/>
                <w:sz w:val="18"/>
                <w:szCs w:val="18"/>
                <w:color w:val="1D4F90"/>
              </w:rPr>
              <w:t> </w:t>
            </w:r>
          </w:p>
        </w:tc>
        <w:tc>
          <w:tcPr>
            <w:tcW w:w="0" w:type="dxa"/>
            <w:vAlign w:val="bottom"/>
          </w:tcPr>
          <w:p>
            <w:pPr>
              <w:spacing w:after="0"/>
              <w:rPr>
                <w:sz w:val="1"/>
                <w:szCs w:val="1"/>
                <w:color w:val="auto"/>
              </w:rPr>
            </w:pPr>
          </w:p>
        </w:tc>
      </w:tr>
      <w:tr>
        <w:trPr>
          <w:trHeight w:val="145"/>
        </w:trPr>
        <w:tc>
          <w:tcPr>
            <w:tcW w:w="1140" w:type="dxa"/>
            <w:vAlign w:val="bottom"/>
            <w:shd w:val="clear" w:color="auto" w:fill="EAEAEA"/>
          </w:tcPr>
          <w:p>
            <w:pPr>
              <w:spacing w:after="0"/>
              <w:rPr>
                <w:sz w:val="12"/>
                <w:szCs w:val="12"/>
                <w:color w:val="auto"/>
              </w:rPr>
            </w:pPr>
          </w:p>
        </w:tc>
        <w:tc>
          <w:tcPr>
            <w:tcW w:w="3760" w:type="dxa"/>
            <w:vAlign w:val="bottom"/>
            <w:vMerge w:val="restart"/>
            <w:shd w:val="clear" w:color="auto" w:fill="EAEAEA"/>
          </w:tcPr>
          <w:p>
            <w:pPr>
              <w:ind w:left="940"/>
              <w:spacing w:after="0"/>
              <w:rPr>
                <w:sz w:val="20"/>
                <w:szCs w:val="20"/>
                <w:color w:val="auto"/>
              </w:rPr>
            </w:pPr>
            <w:r>
              <w:rPr>
                <w:rFonts w:ascii="Arial" w:cs="Arial" w:eastAsia="Arial" w:hAnsi="Arial"/>
                <w:sz w:val="25"/>
                <w:szCs w:val="25"/>
                <w:color w:val="1D4F90"/>
              </w:rPr>
              <w:t>recommends a vote</w:t>
            </w:r>
          </w:p>
        </w:tc>
        <w:tc>
          <w:tcPr>
            <w:tcW w:w="460" w:type="dxa"/>
            <w:vAlign w:val="bottom"/>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shd w:val="clear" w:color="auto" w:fill="EAEAEA"/>
          </w:tcPr>
          <w:p>
            <w:pPr>
              <w:spacing w:after="0"/>
              <w:rPr>
                <w:sz w:val="12"/>
                <w:szCs w:val="12"/>
                <w:color w:val="auto"/>
              </w:rPr>
            </w:pPr>
          </w:p>
        </w:tc>
        <w:tc>
          <w:tcPr>
            <w:tcW w:w="3760" w:type="dxa"/>
            <w:vAlign w:val="bottom"/>
            <w:vMerge w:val="continue"/>
            <w:shd w:val="clear" w:color="auto" w:fill="EAEAEA"/>
          </w:tcPr>
          <w:p>
            <w:pPr>
              <w:spacing w:after="0"/>
              <w:rPr>
                <w:sz w:val="12"/>
                <w:szCs w:val="12"/>
                <w:color w:val="auto"/>
              </w:rPr>
            </w:pPr>
          </w:p>
        </w:tc>
        <w:tc>
          <w:tcPr>
            <w:tcW w:w="46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1140" w:type="dxa"/>
            <w:vAlign w:val="bottom"/>
            <w:shd w:val="clear" w:color="auto" w:fill="EAEAEA"/>
          </w:tcPr>
          <w:p>
            <w:pPr>
              <w:ind w:left="160"/>
              <w:spacing w:after="0"/>
              <w:rPr>
                <w:sz w:val="20"/>
                <w:szCs w:val="20"/>
                <w:color w:val="auto"/>
              </w:rPr>
            </w:pPr>
            <w:r>
              <w:rPr>
                <w:rFonts w:ascii="Arial" w:cs="Arial" w:eastAsia="Arial" w:hAnsi="Arial"/>
                <w:sz w:val="18"/>
                <w:szCs w:val="18"/>
                <w:color w:val="auto"/>
              </w:rPr>
              <w:t> </w:t>
            </w:r>
          </w:p>
        </w:tc>
        <w:tc>
          <w:tcPr>
            <w:tcW w:w="3760" w:type="dxa"/>
            <w:vAlign w:val="bottom"/>
            <w:shd w:val="clear" w:color="auto" w:fill="EAEAEA"/>
          </w:tcPr>
          <w:p>
            <w:pPr>
              <w:ind w:left="940"/>
              <w:spacing w:after="0"/>
              <w:rPr>
                <w:sz w:val="20"/>
                <w:szCs w:val="20"/>
                <w:color w:val="auto"/>
              </w:rPr>
            </w:pPr>
            <w:r>
              <w:rPr>
                <w:rFonts w:ascii="Arial" w:cs="Arial" w:eastAsia="Arial" w:hAnsi="Arial"/>
                <w:sz w:val="25"/>
                <w:szCs w:val="25"/>
                <w:b w:val="1"/>
                <w:bCs w:val="1"/>
                <w:color w:val="1D4F90"/>
              </w:rPr>
              <w:t xml:space="preserve">“FOR” </w:t>
            </w:r>
            <w:r>
              <w:rPr>
                <w:rFonts w:ascii="Arial" w:cs="Arial" w:eastAsia="Arial" w:hAnsi="Arial"/>
                <w:sz w:val="25"/>
                <w:szCs w:val="25"/>
                <w:color w:val="1D4F90"/>
              </w:rPr>
              <w:t>each of the</w:t>
            </w:r>
          </w:p>
        </w:tc>
        <w:tc>
          <w:tcPr>
            <w:tcW w:w="46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140" w:type="dxa"/>
            <w:vAlign w:val="bottom"/>
            <w:shd w:val="clear" w:color="auto" w:fill="EAEAEA"/>
          </w:tcPr>
          <w:p>
            <w:pPr>
              <w:spacing w:after="0"/>
              <w:rPr>
                <w:sz w:val="24"/>
                <w:szCs w:val="24"/>
                <w:color w:val="auto"/>
              </w:rPr>
            </w:pPr>
          </w:p>
        </w:tc>
        <w:tc>
          <w:tcPr>
            <w:tcW w:w="3760" w:type="dxa"/>
            <w:vAlign w:val="bottom"/>
            <w:shd w:val="clear" w:color="auto" w:fill="EAEAEA"/>
          </w:tcPr>
          <w:p>
            <w:pPr>
              <w:ind w:left="940"/>
              <w:spacing w:after="0"/>
              <w:rPr>
                <w:sz w:val="20"/>
                <w:szCs w:val="20"/>
                <w:color w:val="auto"/>
              </w:rPr>
            </w:pPr>
            <w:r>
              <w:rPr>
                <w:rFonts w:ascii="Arial" w:cs="Arial" w:eastAsia="Arial" w:hAnsi="Arial"/>
                <w:sz w:val="25"/>
                <w:szCs w:val="25"/>
                <w:color w:val="1D4F90"/>
              </w:rPr>
              <w:t>15 director nominees</w:t>
            </w:r>
          </w:p>
        </w:tc>
        <w:tc>
          <w:tcPr>
            <w:tcW w:w="46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shd w:val="clear" w:color="auto" w:fill="EAEAEA"/>
          </w:tcPr>
          <w:p>
            <w:pPr>
              <w:spacing w:after="0"/>
              <w:rPr>
                <w:sz w:val="16"/>
                <w:szCs w:val="16"/>
                <w:color w:val="auto"/>
              </w:rPr>
            </w:pPr>
          </w:p>
        </w:tc>
        <w:tc>
          <w:tcPr>
            <w:tcW w:w="3760" w:type="dxa"/>
            <w:vAlign w:val="bottom"/>
            <w:shd w:val="clear" w:color="auto" w:fill="EAEAEA"/>
          </w:tcPr>
          <w:p>
            <w:pPr>
              <w:spacing w:after="0"/>
              <w:rPr>
                <w:sz w:val="16"/>
                <w:szCs w:val="16"/>
                <w:color w:val="auto"/>
              </w:rPr>
            </w:pPr>
          </w:p>
        </w:tc>
        <w:tc>
          <w:tcPr>
            <w:tcW w:w="46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-874395</wp:posOffset>
            </wp:positionV>
            <wp:extent cx="577215" cy="543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215" cy="543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380"/>
            <w:col w:w="5360"/>
          </w:cols>
          <w:pgMar w:left="480" w:top="1440" w:right="47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w:t>
      </w:r>
      <w:r>
        <w:rPr>
          <w:rFonts w:ascii="Arial" w:cs="Arial" w:eastAsia="Arial" w:hAnsi="Arial"/>
          <w:sz w:val="14"/>
          <w:szCs w:val="14"/>
          <w:color w:val="4C4C4C"/>
        </w:rPr>
        <w:t xml:space="preserve">  |  BROWN &amp; BROWN, INC.</w:t>
      </w:r>
    </w:p>
    <w:p>
      <w:pPr>
        <w:sectPr>
          <w:pgSz w:w="11900" w:h="16838" w:orient="portrait"/>
          <w:cols w:equalWidth="0" w:num="1">
            <w:col w:w="10940"/>
          </w:cols>
          <w:pgMar w:left="480" w:top="1440" w:right="47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Director Nominees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Nominees and Qualifications</w:t>
      </w:r>
    </w:p>
    <w:p>
      <w:pPr>
        <w:spacing w:after="0" w:line="10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Set forth below is certain information concerning our current directors, all of whom are director nominees. All directors hold office for one-year terms or until their successors are elected and qualified.</w:t>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942340" cy="942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1993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J. HYATT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-177800</wp:posOffset>
            </wp:positionV>
            <wp:extent cx="8255" cy="2343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23437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Chairman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Hyatt Brown was our Chief Executive Officer from 1993 to 2009 and our President from 1993 to December 2002 and served as President and Chief Executive Officer of our predecessor corporation from 1961 to 1993. He was a member of the Florida House of Representatives from 1972 to 1980 and Speaker of the House from 1978 to 1980. Mr. Brown served on the Board of Directors of International Speedway Corporation, a publicly held company, until 2019, and he previously served on the Board of Directors of Verisk Analytics, Inc. (formerly Insurance Services Office). Mr. Brown is a member of the Board of Trustees of Stetson University, of which he is a past Chairman, and the Florida Council of 100. Mr. Hyatt Brown’s sons, J. Powell Brown and P. Barrett Brown, are employed by us as President and Chief Executive Officer, and as Executive Vice President and President – Retail Segment, respectively. His son, J. Powell Brown, has served as a director since October 2007.</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Mr. Hyatt Brown’s extensive business and industry experience, knowledge of our company, service on boards of other publicly traded companies and proven leadership ability are just a few of the attributes that make him uniquely qualified to serve on and chair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4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942340" cy="942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2007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-177800</wp:posOffset>
            </wp:positionV>
            <wp:extent cx="8255" cy="2106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21062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Director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Mr. Powell Brown was named Chief Executive Officer in July 2009. He has been our President since January 2007 and was appointed to be a director in October 2007. Prior to 2007, he served as one of our Regional Executive Vice Presidents starting in 2002. Mr. Brown was previously responsible for overseeing certain or all parts of our segments and worked in various capacities throughout the Company since joining us in 1995. Mr. Brown has served on the Board of Directors of WestRock Company (formerly RockTenn Company), a publicly held company, since January 2010. He is the son of our Chairman, J. Hyatt Brown, and the brother of P. Barrett Brown, our Executive Vice President and President – Retail Segment.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color w:val="auto"/>
        </w:rPr>
        <w:t>Mr. Powell Brown’s work in all segments of our Company, leadership experience at every level of our Company, current position as President and Chief Executive Officer and experience on other boards are among the qualities considered in connection with his nomination for reelection to the Board.</w:t>
      </w:r>
    </w:p>
    <w:p>
      <w:pPr>
        <w:spacing w:after="0" w:line="124" w:lineRule="exact"/>
        <w:rPr>
          <w:sz w:val="20"/>
          <w:szCs w:val="20"/>
          <w:color w:val="auto"/>
        </w:rPr>
      </w:pPr>
    </w:p>
    <w:p>
      <w:pPr>
        <w:sectPr>
          <w:pgSz w:w="11900" w:h="16838" w:orient="portrait"/>
          <w:cols w:equalWidth="0" w:num="2">
            <w:col w:w="1560" w:space="620"/>
            <w:col w:w="8740"/>
          </w:cols>
          <w:pgMar w:left="480" w:top="304" w:right="499" w:bottom="1440" w:gutter="0" w:footer="0" w:header="0"/>
          <w:type w:val="continuous"/>
        </w:sectPr>
      </w:pPr>
    </w:p>
    <w:p>
      <w:pPr>
        <w:ind w:left="904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5</w:t>
      </w:r>
    </w:p>
    <w:p>
      <w:pPr>
        <w:sectPr>
          <w:pgSz w:w="11900" w:h="16838" w:orient="portrait"/>
          <w:cols w:equalWidth="0" w:num="1">
            <w:col w:w="10920"/>
          </w:cols>
          <w:pgMar w:left="480" w:top="304"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97610" cy="2343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97610" cy="234378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2018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 Acquisition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 Compensation (Chair)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LAWRENCE L. GELLERSTEDT III</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Mr. Gellerstedt has been a partner of Sweetwater Holdings Company, an Atlanta-based real estate investment firm, since March 2019. He previously served as Chairman of the Board and Chief Executive Officer of Cousins Properties Incorporated (Cousins) from July 2017 until January 2019 and as Cousins’ Executive Chairman of the Board from January 2019 until his retirement in April 2020. He served as President and Chief Executive Officer of Cousins from July 2009 to July 2017. Prior to this time, he held other roles at Cousins, including President and Chief Operating Officer, Executive Vice President and Chief Development Officer, and Senior Vice President and President of the Office/Multi-Family Division.</w:t>
      </w:r>
    </w:p>
    <w:p>
      <w:pPr>
        <w:spacing w:after="0" w:line="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Mr. Gellerstedt joined Cousins in 2005 following the acquisition of his firm, The Gellerstedt Group. He currently serves as a director of Georgia Power Co., a publicly held company, and previously served as a director of WestRock Company (formerly RockTenn Company) from 2000 to 2017.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Mr. Gellerstedt’s breadth and depth of experience running businesses and serving on boards of both privately held and publicly traded companies, as well as his significant knowledge in real estate development, construction and project management, were all considered in connection with his nomination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460"/>
            <w:col w:w="874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942340" cy="942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2018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 Acquisition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JAMES C. HAYS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-177800</wp:posOffset>
            </wp:positionV>
            <wp:extent cx="8255" cy="1749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74942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Director and Vice Chairman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Mr. James Hays joined us as Vice Chairman in November 2018 following Brown &amp; Brown’s acquisition of The Hays Group, Inc. and certain of its affiliates (collectively, Hays Companies). He co-founded Hays Companies in 1994 and served as its Chief Executive Officer and President and as a Director since its inception. Mr. James C. Hays serves on the Board of Directors of Skyward Specialty Insurance Group, Inc., a publicly held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Mr. James Hays’ extensive experience in, and knowledge of, the insurance industry, as well as his impressive track record as an entrepreneur and investor in businesses, were among the factors considered in connection with his nomination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4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97610" cy="1893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97610" cy="189357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1994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3" w:lineRule="exact"/>
        <w:rPr>
          <w:sz w:val="20"/>
          <w:szCs w:val="20"/>
          <w:color w:val="auto"/>
        </w:rPr>
      </w:pPr>
    </w:p>
    <w:p>
      <w:pPr>
        <w:ind w:left="160" w:right="180" w:hanging="160"/>
        <w:spacing w:after="0" w:line="292" w:lineRule="auto"/>
        <w:rPr>
          <w:sz w:val="20"/>
          <w:szCs w:val="20"/>
          <w:color w:val="auto"/>
        </w:rPr>
      </w:pPr>
      <w:r>
        <w:rPr>
          <w:rFonts w:ascii="Arial" w:cs="Arial" w:eastAsia="Arial" w:hAnsi="Arial"/>
          <w:sz w:val="15"/>
          <w:szCs w:val="15"/>
          <w:color w:val="auto"/>
        </w:rPr>
        <w:t>•   Nominating/Corporate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6</w:t>
      </w:r>
      <w:r>
        <w:rPr>
          <w:rFonts w:ascii="Arial" w:cs="Arial" w:eastAsia="Arial" w:hAnsi="Arial"/>
          <w:sz w:val="14"/>
          <w:szCs w:val="14"/>
          <w:color w:val="4C4C4C"/>
        </w:rPr>
        <w:t xml:space="preserve">  |  BROWN &amp; BROWN, INC.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THEODORE J. HOEPNER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Mr. Hoepner served as Vice Chairman of SunTrust Bank, Inc. from January 2000 to December 2004 and as Vice Chairman of SunTrust Bank Holding Company from January 2005 until June 2005, when he retired. From 1995 to 2000, Mr. Hoepner was Executive Vice President of SunTrust Bank, Inc. and Chairman of the Board, President and Chief Executive Officer of SunTrust Banks of Florida, Inc.</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Mr. Hoepner’s years of experience in the banking industry, including extensive experience in management, make him a valuable addition to the Board. He previously chaired our Audit, Compensation and Acquisition Committees. These attributes were among the factors considered in connection with his nomination for reelection to the Board.</w:t>
      </w:r>
    </w:p>
    <w:p>
      <w:pPr>
        <w:sectPr>
          <w:pgSz w:w="11900" w:h="16838" w:orient="portrait"/>
          <w:cols w:equalWidth="0" w:num="2">
            <w:col w:w="1900" w:space="280"/>
            <w:col w:w="8740"/>
          </w:cols>
          <w:pgMar w:left="480" w:top="304" w:right="4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394335</wp:posOffset>
            </wp:positionV>
            <wp:extent cx="942340" cy="942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2013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 Acquisition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 Audit (Chair)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u w:val="single" w:color="auto"/>
          <w:color w:val="002856"/>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-206375</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JAMES S.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-177800</wp:posOffset>
            </wp:positionV>
            <wp:extent cx="8255" cy="2819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281940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Hunt held various senior finance positions, including Executive Vice President and Chief Financial Officer, with Walt Disney Parks and Resorts Worldwide until his retirement in 2012. During his employment with Disney, he was a member of the Boards of Directors of Disney’s operating subsidiaries in Hong Kong and Shanghai, China and Disney’s two insurance company subsidiaries. Prior to that, he was a Partner with Ernst &amp; Young. Mr. Hunt serves on the Board of Directors of Subway Worldwide, Inc., a private company and the world’s largest single-brand restaurant chain; the Board of Trustees of Penn Mutual Life, a mutual life insurance company, where he is a member of the Investment Committee and Chair of the Audit Committee; and the Board of Directors of the Nemours Foundation, where he is Chair of the Board of Directors, a member of the Nominating and Governance Committee and Chairman of the Audit, Finance and Compliance Committee. Mr. Hunt previously served as a director of two other publicly traded companies – Caesars Entertainment Corporation, where he was Chairman of the Board, and The St. Joe Company, where he was a member of the Compensation Committee and Chair of the Audit Committee. Mr Hunt is a member of the Standards and Emerging Issues Advisory Group, of the Public Company Accounting Oversight Board, to which he was appointed in 2022. He is a Certified Public Accountant (CPA) and a National Association of Corporate Directors-designated Board Leadership Fellow.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Mr. Hunt’s extensive experience in executive and senior executive finance, strategy and related operational roles, financial expertise and significant international experience, along with his past service as a member of the Compensation Committee, were factors considered in connection with his nomination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4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97610" cy="258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7610" cy="258191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2007</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3" w:lineRule="exact"/>
        <w:rPr>
          <w:sz w:val="20"/>
          <w:szCs w:val="20"/>
          <w:color w:val="auto"/>
        </w:rPr>
      </w:pPr>
    </w:p>
    <w:p>
      <w:pPr>
        <w:ind w:left="160" w:hanging="160"/>
        <w:spacing w:after="0" w:line="292" w:lineRule="auto"/>
        <w:rPr>
          <w:sz w:val="20"/>
          <w:szCs w:val="20"/>
          <w:color w:val="auto"/>
        </w:rPr>
      </w:pPr>
      <w:r>
        <w:rPr>
          <w:rFonts w:ascii="Arial" w:cs="Arial" w:eastAsia="Arial" w:hAnsi="Arial"/>
          <w:sz w:val="15"/>
          <w:szCs w:val="15"/>
          <w:color w:val="auto"/>
        </w:rPr>
        <w:t>•   Nominating/Corporate Governance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TONI JENNINGS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Ms. Jennings serves as Chairman of the Board of Jack Jennings &amp; Sons, Inc., a commercial construction firm based in Orlando, Florida, and Jennings &amp; Jennings, Inc., an architectural millwork firm based in Orlando, Florida. She served as President of Jack Jennings &amp; Sons, Inc. from 1982 until 2003. Ms. Jennings previously served on our Board of Directors from 1999 until April 2003. From 2003 through 2006, Ms. Jennings served as Lieutenant Governor of the State of Florida. Ms. Jennings was a member of the Florida Senate from 1980 to 2000 and President of the Florida Senate from 1996 to 2000. She served in the Florida House of Representatives from 1976 to 1980. She is a member of the Board of Directors of Mid-America Apartment Communities, Inc., a publicly traded real estate investment trust (REIT), and the Foundation for Florida’s Future. Ms. Jennings previously served on the Board of Directors of Next Era Energy, Inc., a publicly held company, until 2021. In 2019, Ms. Jennings was named one of the Most Influential Corporate Directors by </w:t>
      </w:r>
      <w:r>
        <w:rPr>
          <w:rFonts w:ascii="Arial" w:cs="Arial" w:eastAsia="Arial" w:hAnsi="Arial"/>
          <w:sz w:val="16"/>
          <w:szCs w:val="16"/>
          <w:u w:val="single" w:color="auto"/>
          <w:color w:val="auto"/>
        </w:rPr>
        <w:t>WomenInc</w:t>
      </w:r>
      <w:r>
        <w:rPr>
          <w:rFonts w:ascii="Arial" w:cs="Arial" w:eastAsia="Arial" w:hAnsi="Arial"/>
          <w:sz w:val="16"/>
          <w:szCs w:val="16"/>
          <w:color w:val="auto"/>
        </w:rPr>
        <w:t>. magazine.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Ms. Jennings’ experience as owner and operator of a successful business, and her years of service in the legislative and executive branches of the State of Florida, along with her past service as a member of the Audit Committee and the Chair of the Compensation Committee, are features considered in concluding that she should continue to serve as a director of the Company.</w:t>
      </w:r>
    </w:p>
    <w:p>
      <w:pPr>
        <w:spacing w:after="0" w:line="129" w:lineRule="exact"/>
        <w:rPr>
          <w:sz w:val="20"/>
          <w:szCs w:val="20"/>
          <w:color w:val="auto"/>
        </w:rPr>
      </w:pPr>
    </w:p>
    <w:p>
      <w:pPr>
        <w:sectPr>
          <w:pgSz w:w="11900" w:h="16838" w:orient="portrait"/>
          <w:cols w:equalWidth="0" w:num="2">
            <w:col w:w="1720" w:space="460"/>
            <w:col w:w="8740"/>
          </w:cols>
          <w:pgMar w:left="480" w:top="304" w:right="499" w:bottom="1440" w:gutter="0" w:footer="0" w:header="0"/>
          <w:type w:val="continuous"/>
        </w:sectPr>
      </w:pPr>
    </w:p>
    <w:p>
      <w:pPr>
        <w:ind w:left="904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7</w:t>
      </w:r>
    </w:p>
    <w:p>
      <w:pPr>
        <w:sectPr>
          <w:pgSz w:w="11900" w:h="16838" w:orient="portrait"/>
          <w:cols w:equalWidth="0" w:num="1">
            <w:col w:w="10920"/>
          </w:cols>
          <w:pgMar w:left="480" w:top="304" w:right="4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ectPr>
          <w:pgSz w:w="11900" w:h="16838" w:orient="portrait"/>
          <w:cols w:equalWidth="0" w:num="1">
            <w:col w:w="10900"/>
          </w:cols>
          <w:pgMar w:left="480" w:top="30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88720" cy="2225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88720" cy="22250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200"/>
        <w:spacing w:after="0" w:line="206" w:lineRule="auto"/>
        <w:rPr>
          <w:sz w:val="20"/>
          <w:szCs w:val="20"/>
          <w:color w:val="auto"/>
        </w:rPr>
      </w:pPr>
      <w:r>
        <w:rPr>
          <w:rFonts w:ascii="Arial" w:cs="Arial" w:eastAsia="Arial" w:hAnsi="Arial"/>
          <w:sz w:val="27"/>
          <w:szCs w:val="27"/>
          <w:b w:val="1"/>
          <w:bCs w:val="1"/>
          <w:color w:val="002856"/>
        </w:rPr>
        <w:t xml:space="preserve">PAUL J. KRUMP                   </w:t>
      </w:r>
      <w:r>
        <w:rPr>
          <w:rFonts w:ascii="Arial" w:cs="Arial" w:eastAsia="Arial" w:hAnsi="Arial"/>
          <w:sz w:val="16"/>
          <w:szCs w:val="16"/>
          <w:i w:val="1"/>
          <w:iCs w:val="1"/>
          <w:color w:val="002856"/>
        </w:rPr>
        <w:t>Recommended by Chief Executive Officer</w:t>
      </w:r>
      <w:r>
        <w:rPr>
          <w:rFonts w:ascii="Arial" w:cs="Arial" w:eastAsia="Arial" w:hAnsi="Arial"/>
          <w:sz w:val="27"/>
          <w:szCs w:val="27"/>
          <w:b w:val="1"/>
          <w:bCs w:val="1"/>
          <w:color w:val="002856"/>
        </w:rPr>
        <w:t xml:space="preserve"> </w:t>
      </w:r>
      <w:r>
        <w:rPr>
          <w:rFonts w:ascii="Arial" w:cs="Arial" w:eastAsia="Arial" w:hAnsi="Arial"/>
          <w:sz w:val="16"/>
          <w:szCs w:val="16"/>
          <w:i w:val="1"/>
          <w:iCs w:val="1"/>
          <w:color w:val="002856"/>
        </w:rPr>
        <w:t>Independent Director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Krump retired from Chubb Limited, the world’s largest publicly traded property and casualty insurance company, effective January 1, 2023, most recently serving as Vice Chairman, Global Underwriting and Claims from September 2020 until his retirement. From 2016 to 2020, Mr. Krump served as Executive Vice President, Chubb Group and President, North America Commercial and Personal Insurance. Before Chubb Limited’s January 2016 acquisition of The Chubb Corporation, Mr. Krump served as Chief Operating Officer of The Chubb Corporation. Mr. Krump joined The Chubb Corporation in 1982 as a commercial underwriting trainee in the Minneapolis office and held numerous headquarters and field positions in the United States and Europe, including President of Personal Lines and Claims and President of Commercial and Specialty Lines.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jc w:val="both"/>
        <w:ind w:right="280"/>
        <w:spacing w:after="0" w:line="262" w:lineRule="auto"/>
        <w:rPr>
          <w:sz w:val="20"/>
          <w:szCs w:val="20"/>
          <w:color w:val="auto"/>
        </w:rPr>
      </w:pPr>
      <w:r>
        <w:rPr>
          <w:rFonts w:ascii="Arial" w:cs="Arial" w:eastAsia="Arial" w:hAnsi="Arial"/>
          <w:sz w:val="16"/>
          <w:szCs w:val="16"/>
          <w:color w:val="auto"/>
        </w:rPr>
        <w:t>Mr. Krump’s long and successful career in various roles at one the world’s leading insurance companies, along with his extensive international experience, are among the attributes the Board believes make him well qualified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20"/>
          </w:cols>
          <w:pgMar w:left="480" w:top="30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88720" cy="18681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88720" cy="186817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2010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 Acquisition (Chair)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TIMOTHY R.M. MAIN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Mr. Main has served as Head of Investment Banking EMEA (U.K., Europe, Middle East &amp; Africa) at Barclays Plc since October 2022 and from September 2016 until October 2022 as Global Head of the Financial Institutions Group. From October 2011 until September 2016, he was a Senior Managing Director of Evercore Partners. Prior to joining Evercore, Mr. Main worked at JPMorgan Chase, a global investment bank, for 23 years, most recently as a Managing Director and Head of the Financial Institutions Group.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Mr. Main’s extensive experience with complex financial transactions and acquisitions, as well as his broad knowledge of the insurance industry acquired throughout his career, are key components considered in nominating Mr. Main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20"/>
          </w:cols>
          <w:pgMar w:left="480" w:top="30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88720" cy="17748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88720" cy="177482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8</w:t>
      </w:r>
      <w:r>
        <w:rPr>
          <w:rFonts w:ascii="Arial" w:cs="Arial" w:eastAsia="Arial" w:hAnsi="Arial"/>
          <w:sz w:val="14"/>
          <w:szCs w:val="14"/>
          <w:color w:val="4C4C4C"/>
        </w:rPr>
        <w:t xml:space="preserve">  |  BROWN &amp; BROWN, INC.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1120"/>
        <w:spacing w:after="0" w:line="206" w:lineRule="auto"/>
        <w:rPr>
          <w:sz w:val="20"/>
          <w:szCs w:val="20"/>
          <w:color w:val="auto"/>
        </w:rPr>
      </w:pPr>
      <w:r>
        <w:rPr>
          <w:rFonts w:ascii="Arial" w:cs="Arial" w:eastAsia="Arial" w:hAnsi="Arial"/>
          <w:sz w:val="27"/>
          <w:szCs w:val="27"/>
          <w:b w:val="1"/>
          <w:bCs w:val="1"/>
          <w:color w:val="002856"/>
        </w:rPr>
        <w:t xml:space="preserve">BRONISLAW E. MASOJADA </w:t>
      </w:r>
      <w:r>
        <w:rPr>
          <w:rFonts w:ascii="Arial" w:cs="Arial" w:eastAsia="Arial" w:hAnsi="Arial"/>
          <w:sz w:val="16"/>
          <w:szCs w:val="16"/>
          <w:i w:val="1"/>
          <w:iCs w:val="1"/>
          <w:color w:val="002856"/>
        </w:rPr>
        <w:t xml:space="preserve">            Recommended by Chief Executive Officer</w:t>
      </w:r>
      <w:r>
        <w:rPr>
          <w:rFonts w:ascii="Arial" w:cs="Arial" w:eastAsia="Arial" w:hAnsi="Arial"/>
          <w:sz w:val="27"/>
          <w:szCs w:val="27"/>
          <w:b w:val="1"/>
          <w:bCs w:val="1"/>
          <w:color w:val="002856"/>
        </w:rPr>
        <w:t xml:space="preserve"> </w:t>
      </w:r>
      <w:r>
        <w:rPr>
          <w:rFonts w:ascii="Arial" w:cs="Arial" w:eastAsia="Arial" w:hAnsi="Arial"/>
          <w:sz w:val="16"/>
          <w:szCs w:val="16"/>
          <w:i w:val="1"/>
          <w:iCs w:val="1"/>
          <w:color w:val="002856"/>
        </w:rPr>
        <w:t>Independent Director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Mr. Masojada served as Chief Executive Officer of Hiscox Group (“Hiscox”), a global specialist insurer and reinsurer listed on the London Stock Exchange, from 2000 until his retirement in 2021. Mr. Masojada first joined Hiscox in 1993 as Group Managing Director. Prior to joining Hiscox, Mr. Masojada began his career at McKinsey &amp; Company. Mr. Masojada served as Deputy Chairman of Lloyd’s of London from 2001 to 2007. Mr. Masojada currently serves as Chair of the Board of Directors of SiriusPoint Ltd. He is an Alderman of the City of London and currently serves as its Sheriff.</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Mr. Masojada’s long and successful career leading a global insurer makes him well qualified to serve on our Board.</w:t>
      </w:r>
    </w:p>
    <w:p>
      <w:pPr>
        <w:sectPr>
          <w:pgSz w:w="11900" w:h="16838" w:orient="portrait"/>
          <w:cols w:equalWidth="0" w:num="2">
            <w:col w:w="1900" w:space="280"/>
            <w:col w:w="8720"/>
          </w:cols>
          <w:pgMar w:left="480" w:top="304" w:right="5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394335</wp:posOffset>
            </wp:positionV>
            <wp:extent cx="942340" cy="942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56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2023</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 Acquisition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u w:val="single" w:color="auto"/>
          <w:color w:val="002856"/>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-206375</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JAYMIN B.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-177800</wp:posOffset>
            </wp:positionV>
            <wp:extent cx="8255" cy="2462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246253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Mr. Patel has served as the Executive Chairman of Perennial Climate Inc., a leading platform measuring, reporting and verifying soil-based carbon removal and climate-smart agriculture, since March 2019. From March 2015 to August 2018, he was Chief Executive Officer and a director of Brightstar Corporation, a global wireless device services company backed by Softbank (during that time). From 1994 to March 2015, Mr. Patel served in various executive and financial leadership roles at GTECH (now IGT), including President and Chief Executive Officer of GTECH Corporation, from 2007 to 2015, and Senior Vice President and Chief Financial Officer of the publicly traded GTECH Holdings Corporation from 2000 to 2006. Mr. Patel has served as a director of Bally’s Corporation since January 2021 and SpartanNash Company since February 2022. He previously was a director of Willis Towers Watson and Clarim Acquisition Corp., a special-purpose acquisition company, where he also served its President and Chief Financial Officer from January 2021 until December 2022.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Mr. Patel’s extensive background operating businesses in regulated industries, combined with his unique combination of international experience, insurance knowledge and financial acumen, are among the attributes considered in connection with his nomination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110490</wp:posOffset>
            </wp:positionV>
            <wp:extent cx="69297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620"/>
            <w:col w:w="874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97610" cy="1868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97610" cy="186817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2012</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 Nominating/Corporate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Governance (Chair)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H. PALMER PROCTOR, JR.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Lead 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Proctor has served as Chief Executive Officer of Ameris Bancorp, a publicly held company (“Ameris”), and Ameris’s wholly owned bank subsidiary, Ameris Bank, since July 2019. He also serves as a director of Ameris. He previously served as President and Chief Executive Officer and a Director of Fidelity Bank and its holding company, Fidelity Southern Corporation, until their merger with Ameris Bank and Ameris, respectively, in July 2019. He is a member of the Advisory Board of Allied Financial. Mr. Proctor previously served as Chairman of the Georgia Bankers Association.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Mr. Proctor’s business experience, leadership abilities and management expertise, along with his past service as a member of the Audit and Compensation Committees and Chair of the Acquisition Committee, were factors considered in connection with his nomination for reelection to the Board.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9</w:t>
      </w:r>
    </w:p>
    <w:p>
      <w:pPr>
        <w:sectPr>
          <w:pgSz w:w="11900" w:h="16838" w:orient="portrait"/>
          <w:cols w:equalWidth="0" w:num="2">
            <w:col w:w="1720" w:space="460"/>
            <w:col w:w="8740"/>
          </w:cols>
          <w:pgMar w:left="480" w:top="304"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97610" cy="2462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97610" cy="246253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2007</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3" w:lineRule="exact"/>
        <w:rPr>
          <w:sz w:val="20"/>
          <w:szCs w:val="20"/>
          <w:color w:val="auto"/>
        </w:rPr>
      </w:pPr>
    </w:p>
    <w:p>
      <w:pPr>
        <w:ind w:left="160" w:hanging="160"/>
        <w:spacing w:after="0" w:line="292" w:lineRule="auto"/>
        <w:rPr>
          <w:sz w:val="20"/>
          <w:szCs w:val="20"/>
          <w:color w:val="auto"/>
        </w:rPr>
      </w:pPr>
      <w:r>
        <w:rPr>
          <w:rFonts w:ascii="Arial" w:cs="Arial" w:eastAsia="Arial" w:hAnsi="Arial"/>
          <w:sz w:val="15"/>
          <w:szCs w:val="15"/>
          <w:color w:val="auto"/>
        </w:rPr>
        <w:t>•   Nominating/Corporate Governance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WENDELL S. REILLY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Mr. Reilly is Managing Partner of Grapevine Partners, LLC, of Atlanta, Georgia, a private investment company. He is also a General Partner of Peachtree Equity Partners II. Previously, he was Chairman of Berman Capital Advisors, as well as Chairman and Chief Executive Officer of Grapevine Communications, LLC, a group of local television stations. Earlier, he was the Chief Financial Officer of The Lamar Corporation and Haas Publishing Companies. Mr. Reilly currently serves on the Board of Directors of Lamar Advertising Company, a publicly traded company. He is Trustee </w:t>
      </w:r>
      <w:r>
        <w:rPr>
          <w:rFonts w:ascii="Arial" w:cs="Arial" w:eastAsia="Arial" w:hAnsi="Arial"/>
          <w:sz w:val="16"/>
          <w:szCs w:val="16"/>
          <w:i w:val="1"/>
          <w:iCs w:val="1"/>
          <w:color w:val="auto"/>
        </w:rPr>
        <w:t>Emeritus</w:t>
      </w:r>
      <w:r>
        <w:rPr>
          <w:rFonts w:ascii="Arial" w:cs="Arial" w:eastAsia="Arial" w:hAnsi="Arial"/>
          <w:sz w:val="16"/>
          <w:szCs w:val="16"/>
          <w:color w:val="auto"/>
        </w:rPr>
        <w:t xml:space="preserve"> of Emory University and is past Chair of the Governance Committee of Emory University’s Board of Trustees, and he serves on the Board of Trustees of The Carter Center and the Board of Directors of the International Center for Journalists. Mr. Reilly is a graduate of Emory University and earned his MBA in Finance from Vanderbilt University.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Mr. Reilly’s business background and experience enhance his ability to analyze and contribute valuable and unique insights on matters, including those relating to capital structure, financing and acquisition structure. Mr. Reilly’s contributions as a past Chairman of our Acquisition Committee, Compensation Committee and Nominating/Corporate Governance Committee, as well as his past service as Lead Independent Director, were also taken into consideration in connection with his nomination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114935</wp:posOffset>
            </wp:positionV>
            <wp:extent cx="69297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460"/>
            <w:col w:w="8740"/>
          </w:cols>
          <w:pgMar w:left="480" w:top="30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942340" cy="942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2340" cy="942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2024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220"/>
        <w:spacing w:after="0" w:line="206" w:lineRule="auto"/>
        <w:rPr>
          <w:sz w:val="20"/>
          <w:szCs w:val="20"/>
          <w:color w:val="auto"/>
        </w:rPr>
      </w:pPr>
      <w:r>
        <w:rPr>
          <w:rFonts w:ascii="Arial" w:cs="Arial" w:eastAsia="Arial" w:hAnsi="Arial"/>
          <w:sz w:val="27"/>
          <w:szCs w:val="27"/>
          <w:b w:val="1"/>
          <w:bCs w:val="1"/>
          <w:color w:val="002856"/>
        </w:rPr>
        <w:t xml:space="preserve">KATHLEEN A. SAVIO               </w:t>
      </w:r>
      <w:r>
        <w:rPr>
          <w:rFonts w:ascii="Arial" w:cs="Arial" w:eastAsia="Arial" w:hAnsi="Arial"/>
          <w:sz w:val="16"/>
          <w:szCs w:val="16"/>
          <w:i w:val="1"/>
          <w:iCs w:val="1"/>
          <w:color w:val="002856"/>
        </w:rPr>
        <w:t>Recommended by Chief Executive Officer</w:t>
      </w:r>
      <w:r>
        <w:rPr>
          <w:rFonts w:ascii="Arial" w:cs="Arial" w:eastAsia="Arial" w:hAnsi="Arial"/>
          <w:sz w:val="27"/>
          <w:szCs w:val="27"/>
          <w:b w:val="1"/>
          <w:bCs w:val="1"/>
          <w:color w:val="002856"/>
        </w:rPr>
        <w:t xml:space="preserve"> </w:t>
      </w:r>
      <w:r>
        <w:rPr>
          <w:rFonts w:ascii="Arial" w:cs="Arial" w:eastAsia="Arial" w:hAnsi="Arial"/>
          <w:sz w:val="16"/>
          <w:szCs w:val="16"/>
          <w:i w:val="1"/>
          <w:iCs w:val="1"/>
          <w:color w:val="002856"/>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-319405</wp:posOffset>
            </wp:positionV>
            <wp:extent cx="8255" cy="19869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98691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Ms. Savio retired from Zurich Insurance Group, effective December 31, 2023, most recently serving as Chief Transformation Officer from January 2021 until her retirement. From January 2018 to December 2020, she served as Chief Executive Officer for Zurich North America and Chairwoman of the Boards of Zurich American Insurance Company and Zurich Holding Company of America. From 2012 through 2017, Ms. Savio served as Zurich North America’s Head of Alternative Markets. She joined Zurich in 1991 as an entry-level technical writer and served in numerous positions, including Chief Administrative Officer for North America Commercial, as well as roles in product underwriting and corporate marketing. Ms. Savio was named the 2021 Association of Professional Insurance Women (APIW) Woman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Ms. Savio’s broad knowledge of the insurance industry, extraordinary leadership abilities and extensive experience growing businesses organically and via acquisition are among the attributes that make her qualified to serve on our Board.</w:t>
      </w:r>
    </w:p>
    <w:p>
      <w:pPr>
        <w:spacing w:after="0" w:line="112" w:lineRule="exact"/>
        <w:rPr>
          <w:sz w:val="20"/>
          <w:szCs w:val="20"/>
          <w:color w:val="auto"/>
        </w:rPr>
      </w:pPr>
    </w:p>
    <w:p>
      <w:pPr>
        <w:sectPr>
          <w:pgSz w:w="11900" w:h="16838" w:orient="portrait"/>
          <w:cols w:equalWidth="0" w:num="2">
            <w:col w:w="1560" w:space="620"/>
            <w:col w:w="8740"/>
          </w:cols>
          <w:pgMar w:left="480" w:top="304" w:right="499" w:bottom="1440" w:gutter="0" w:footer="0" w:header="0"/>
          <w:type w:val="continuous"/>
        </w:sectPr>
      </w:pPr>
    </w:p>
    <w:p>
      <w:pPr>
        <w:spacing w:after="0"/>
        <w:rPr>
          <w:sz w:val="20"/>
          <w:szCs w:val="20"/>
          <w:color w:val="auto"/>
        </w:rPr>
      </w:pPr>
      <w:r>
        <w:rPr>
          <w:rFonts w:ascii="Arial" w:cs="Arial" w:eastAsia="Arial" w:hAnsi="Arial"/>
          <w:sz w:val="14"/>
          <w:szCs w:val="14"/>
          <w:b w:val="1"/>
          <w:bCs w:val="1"/>
          <w:color w:val="002856"/>
        </w:rPr>
        <w:t>10</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309245</wp:posOffset>
            </wp:positionH>
            <wp:positionV relativeFrom="page">
              <wp:posOffset>394335</wp:posOffset>
            </wp:positionV>
            <wp:extent cx="1163320" cy="2343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63320"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81</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Director Since: </w:t>
      </w:r>
      <w:r>
        <w:rPr>
          <w:rFonts w:ascii="Arial" w:cs="Arial" w:eastAsia="Arial" w:hAnsi="Arial"/>
          <w:sz w:val="16"/>
          <w:szCs w:val="16"/>
          <w:color w:val="000000"/>
        </w:rPr>
        <w:t>2004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Committees Served: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 Compensation</w:t>
      </w:r>
    </w:p>
    <w:p>
      <w:pPr>
        <w:spacing w:after="0" w:line="3" w:lineRule="exact"/>
        <w:rPr>
          <w:sz w:val="20"/>
          <w:szCs w:val="20"/>
          <w:color w:val="auto"/>
        </w:rPr>
      </w:pPr>
    </w:p>
    <w:p>
      <w:pPr>
        <w:ind w:left="160" w:hanging="160"/>
        <w:spacing w:after="0" w:line="292" w:lineRule="auto"/>
        <w:rPr>
          <w:sz w:val="20"/>
          <w:szCs w:val="20"/>
          <w:color w:val="auto"/>
        </w:rPr>
      </w:pPr>
      <w:r>
        <w:rPr>
          <w:rFonts w:ascii="Arial" w:cs="Arial" w:eastAsia="Arial" w:hAnsi="Arial"/>
          <w:sz w:val="15"/>
          <w:szCs w:val="15"/>
          <w:color w:val="auto"/>
        </w:rPr>
        <w:t>•   Nominating/Corporate Governance</w:t>
      </w:r>
    </w:p>
    <w:p>
      <w:pPr>
        <w:spacing w:after="0" w:line="20" w:lineRule="exact"/>
        <w:rPr>
          <w:sz w:val="20"/>
          <w:szCs w:val="20"/>
          <w:color w:val="auto"/>
        </w:rPr>
      </w:pPr>
      <w:r>
        <w:rPr>
          <w:sz w:val="20"/>
          <w:szCs w:val="20"/>
          <w:color w:val="auto"/>
        </w:rPr>
        <w:br w:type="column"/>
      </w:r>
    </w:p>
    <w:p>
      <w:pPr>
        <w:ind w:left="5200"/>
        <w:spacing w:after="0"/>
        <w:rPr>
          <w:sz w:val="20"/>
          <w:szCs w:val="20"/>
          <w:color w:val="auto"/>
        </w:rPr>
      </w:pPr>
      <w:r>
        <w:rPr>
          <w:rFonts w:ascii="Arial" w:cs="Arial" w:eastAsia="Arial" w:hAnsi="Arial"/>
          <w:sz w:val="14"/>
          <w:szCs w:val="14"/>
          <w:b w:val="1"/>
          <w:bCs w:val="1"/>
          <w:u w:val="single" w:color="auto"/>
          <w:color w:val="002856"/>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-206375</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CHILTON D. VARNER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Independent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Ms. Varner has been a member of the law firm of King &amp; Spalding in Atlanta, Georgia, since 1976 and was partner from 1983 to 2017. Since January 2018, she has served as Senior Counsel at King &amp; Spalding. A graduate of Smith College, where she was named to membership in Phi Beta Kappa, and Emory University School of Law, Ms. Varner was honored with Emory University School of Law’s Distinguished Alumni Award in 1998. In 2001, the </w:t>
      </w:r>
      <w:r>
        <w:rPr>
          <w:rFonts w:ascii="Arial" w:cs="Arial" w:eastAsia="Arial" w:hAnsi="Arial"/>
          <w:sz w:val="16"/>
          <w:szCs w:val="16"/>
          <w:u w:val="single" w:color="auto"/>
          <w:color w:val="auto"/>
        </w:rPr>
        <w:t>National Law Journal</w:t>
      </w:r>
      <w:r>
        <w:rPr>
          <w:rFonts w:ascii="Arial" w:cs="Arial" w:eastAsia="Arial" w:hAnsi="Arial"/>
          <w:sz w:val="16"/>
          <w:szCs w:val="16"/>
          <w:color w:val="auto"/>
        </w:rPr>
        <w:t xml:space="preserve"> profiled Ms. Varner as one of the nation’s top ten women litigators. With more than 30 years of courtroom experience, she specializes in defending corporations in product liability, commercial and other civil disputes. She was a Trustee of Emory University from 1995 until 2014 and currently continues her services as a Trustee </w:t>
      </w:r>
      <w:r>
        <w:rPr>
          <w:rFonts w:ascii="Arial" w:cs="Arial" w:eastAsia="Arial" w:hAnsi="Arial"/>
          <w:sz w:val="16"/>
          <w:szCs w:val="16"/>
          <w:i w:val="1"/>
          <w:iCs w:val="1"/>
          <w:color w:val="auto"/>
        </w:rPr>
        <w:t>Emeritus.</w:t>
      </w:r>
      <w:r>
        <w:rPr>
          <w:rFonts w:ascii="Arial" w:cs="Arial" w:eastAsia="Arial" w:hAnsi="Arial"/>
          <w:sz w:val="16"/>
          <w:szCs w:val="16"/>
          <w:color w:val="auto"/>
        </w:rPr>
        <w:t xml:space="preserve"> In 2019, Ms. Varner was named one of the Most Influential Corporate Directors by </w:t>
      </w:r>
      <w:r>
        <w:rPr>
          <w:rFonts w:ascii="Arial" w:cs="Arial" w:eastAsia="Arial" w:hAnsi="Arial"/>
          <w:sz w:val="16"/>
          <w:szCs w:val="16"/>
          <w:u w:val="single" w:color="auto"/>
          <w:color w:val="auto"/>
        </w:rPr>
        <w:t>WomenInc</w:t>
      </w:r>
      <w:r>
        <w:rPr>
          <w:rFonts w:ascii="Arial" w:cs="Arial" w:eastAsia="Arial" w:hAnsi="Arial"/>
          <w:sz w:val="16"/>
          <w:szCs w:val="16"/>
          <w:color w:val="auto"/>
        </w:rPr>
        <w:t>. magazine.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Nominee Attributes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a practicing attorney at one of the nation’s premier law firms and a counselor to businesses, their directors and management concerning risk and risk control, Ms. Varner brings a depth of experience and a wealth of unique and valuable perspectives to our Board. Ms. Varner previously chaired the Compensation Committee and served as our Lead Independent Director.</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11</w:t>
      </w:r>
    </w:p>
    <w:p>
      <w:pPr>
        <w:sectPr>
          <w:pgSz w:w="11900" w:h="16838" w:orient="portrait"/>
          <w:cols w:equalWidth="0" w:num="2">
            <w:col w:w="1720" w:space="420"/>
            <w:col w:w="8780"/>
          </w:cols>
          <w:pgMar w:left="480" w:top="304" w:right="49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002856"/>
        </w:rPr>
        <w:t>Directors Emeritus</w:t>
      </w:r>
    </w:p>
    <w:p>
      <w:pPr>
        <w:spacing w:after="0" w:line="124" w:lineRule="exact"/>
        <w:rPr>
          <w:sz w:val="20"/>
          <w:szCs w:val="20"/>
          <w:color w:val="auto"/>
        </w:rPr>
      </w:pPr>
    </w:p>
    <w:p>
      <w:pPr>
        <w:jc w:val="both"/>
        <w:ind w:right="400"/>
        <w:spacing w:after="0" w:line="262" w:lineRule="auto"/>
        <w:rPr>
          <w:sz w:val="20"/>
          <w:szCs w:val="20"/>
          <w:color w:val="auto"/>
        </w:rPr>
      </w:pPr>
      <w:r>
        <w:rPr>
          <w:rFonts w:ascii="Arial" w:cs="Arial" w:eastAsia="Arial" w:hAnsi="Arial"/>
          <w:sz w:val="16"/>
          <w:szCs w:val="16"/>
          <w:color w:val="auto"/>
        </w:rPr>
        <w:t>From time to time, our Board may designate one or more of its former directors as “Director Emeritus” based on their past meritorious service to the Company. Our Directors Emeritus are entitled to attend Board meetings in an advisory capacity, but do not vote on Board matters, and they receive compensation and fees as may be deemed appropriate by the Company in view of their services to the Company.</w:t>
      </w:r>
    </w:p>
    <w:p>
      <w:pPr>
        <w:sectPr>
          <w:pgSz w:w="11900" w:h="16838" w:orient="portrait"/>
          <w:cols w:equalWidth="0" w:num="1">
            <w:col w:w="10860"/>
          </w:cols>
          <w:pgMar w:left="480" w:top="30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 xml:space="preserve">Age: </w:t>
      </w:r>
      <w:r>
        <w:rPr>
          <w:rFonts w:ascii="Arial" w:cs="Arial" w:eastAsia="Arial" w:hAnsi="Arial"/>
          <w:sz w:val="16"/>
          <w:szCs w:val="16"/>
          <w:color w:val="000000"/>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-1177290</wp:posOffset>
            </wp:positionV>
            <wp:extent cx="1155065" cy="1485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55065" cy="148590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Director from: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2004 until 2023</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12</w:t>
      </w:r>
      <w:r>
        <w:rPr>
          <w:rFonts w:ascii="Arial" w:cs="Arial" w:eastAsia="Arial" w:hAnsi="Arial"/>
          <w:sz w:val="14"/>
          <w:szCs w:val="14"/>
          <w:color w:val="4C4C4C"/>
        </w:rPr>
        <w:t xml:space="preserve">  |  BROWN &amp; BROWN, INC.</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HUGH M. BROWN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002856"/>
        </w:rPr>
        <w:t>Director Emeritus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Skills and Experience</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Mr. Brown, who is unrelated to Mr. Hyatt Brown and Mr. Powell Brown, founded BAMSI, Inc., a full-service engineering and technical services company, in 1978 and served as its President and Chief Executive Officer until his retirement in 1998. In 2017 and 2021, Mr. Brown was named one of the Most Influential Black Corporate Directors by </w:t>
      </w:r>
      <w:r>
        <w:rPr>
          <w:rFonts w:ascii="Arial" w:cs="Arial" w:eastAsia="Arial" w:hAnsi="Arial"/>
          <w:sz w:val="16"/>
          <w:szCs w:val="16"/>
          <w:u w:val="single" w:color="auto"/>
          <w:color w:val="auto"/>
        </w:rPr>
        <w:t>Savoy Magazine</w:t>
      </w:r>
      <w:r>
        <w:rPr>
          <w:rFonts w:ascii="Arial" w:cs="Arial" w:eastAsia="Arial" w:hAnsi="Arial"/>
          <w:sz w:val="16"/>
          <w:szCs w:val="16"/>
          <w:color w:val="auto"/>
        </w:rPr>
        <w:t>. The Board designated Mr. Hugh Brown as a Director Emeritus of the Company, effective immediately following the 2023 Annual Meeting of Shareholders.</w:t>
      </w:r>
    </w:p>
    <w:p>
      <w:pPr>
        <w:sectPr>
          <w:pgSz w:w="11900" w:h="16838" w:orient="portrait"/>
          <w:cols w:equalWidth="0" w:num="2">
            <w:col w:w="1980" w:space="160"/>
            <w:col w:w="8720"/>
          </w:cols>
          <w:pgMar w:left="480" w:top="304" w:right="55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Director Independence</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New York Stock Exchange (“NYSE”) listed company manual requires directors to satisfy certain criteria to be deemed “independent.” The Board applies these standards in determining whether any director has a material relationship with the Company that would impair his or her independence, as discussed below. As required by the NYSE listed company manual, the Board considers all material relevant facts and circumstances known to it in making an independence determination from the standpoints of both the director and persons or organizations with which the director has an affiliation.</w:t>
      </w:r>
    </w:p>
    <w:p>
      <w:pPr>
        <w:sectPr>
          <w:pgSz w:w="11900" w:h="16838" w:orient="portrait"/>
          <w:cols w:equalWidth="0" w:num="1">
            <w:col w:w="10920"/>
          </w:cols>
          <w:pgMar w:left="480" w:top="304" w:right="499" w:bottom="1440" w:gutter="0" w:footer="0" w:header="0"/>
        </w:sectPr>
      </w:pPr>
    </w:p>
    <w:p>
      <w:pPr>
        <w:spacing w:after="0" w:line="178" w:lineRule="exact"/>
        <w:rPr>
          <w:sz w:val="20"/>
          <w:szCs w:val="20"/>
          <w:color w:val="auto"/>
        </w:rPr>
      </w:pPr>
    </w:p>
    <w:p>
      <w:pPr>
        <w:ind w:right="2120"/>
        <w:spacing w:after="0" w:line="250" w:lineRule="auto"/>
        <w:rPr>
          <w:sz w:val="20"/>
          <w:szCs w:val="20"/>
          <w:color w:val="auto"/>
        </w:rPr>
      </w:pPr>
      <w:r>
        <w:rPr>
          <w:rFonts w:ascii="Arial" w:cs="Arial" w:eastAsia="Arial" w:hAnsi="Arial"/>
          <w:sz w:val="16"/>
          <w:szCs w:val="16"/>
          <w:color w:val="auto"/>
        </w:rPr>
        <w:t>The Board has considered the independence of our nominees in light of these NYSE standards and has affirmatively determined that the following 12 of the 15 director nominees have no material relationship with us other than service as a director, and are therefore independent: Lawrence L. Gellerstedt III; Theodore J. Hoepner; James S. Hunt; Toni Jennings; Paul J. Krump; Timothy R.M. Main; Bronislaw E. Masojada; Jaymin B. Patel; H. Palmer Proctor, Jr.; Wendell S. Reilly, Kathleen A. Savio and Chilton D. Varner. The following factors were relevant to the Board’s determination of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-791210</wp:posOffset>
            </wp:positionV>
            <wp:extent cx="866140" cy="866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66140" cy="866140"/>
                    </a:xfrm>
                    <a:prstGeom prst="rect">
                      <a:avLst/>
                    </a:prstGeom>
                    <a:noFill/>
                  </pic:spPr>
                </pic:pic>
              </a:graphicData>
            </a:graphic>
          </wp:anchor>
        </w:drawing>
      </w:r>
    </w:p>
    <w:p>
      <w:pPr>
        <w:spacing w:after="0" w:line="390"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The Board considered the relationships described below in “Relationships and Transactions with Affiliated Parties.”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98"/>
          <w:szCs w:val="98"/>
          <w:b w:val="1"/>
          <w:bCs w:val="1"/>
          <w:color w:val="002856"/>
        </w:rPr>
        <w:t>80</w:t>
      </w:r>
      <w:r>
        <w:rPr>
          <w:rFonts w:ascii="Arial" w:cs="Arial" w:eastAsia="Arial" w:hAnsi="Arial"/>
          <w:sz w:val="44"/>
          <w:szCs w:val="44"/>
          <w:b w:val="1"/>
          <w:bCs w:val="1"/>
          <w:color w:val="002856"/>
        </w:rPr>
        <w:t>%</w:t>
      </w:r>
    </w:p>
    <w:p>
      <w:pPr>
        <w:spacing w:after="0" w:line="89" w:lineRule="exact"/>
        <w:rPr>
          <w:sz w:val="20"/>
          <w:szCs w:val="20"/>
          <w:color w:val="auto"/>
        </w:rPr>
      </w:pPr>
    </w:p>
    <w:p>
      <w:pPr>
        <w:ind w:left="100" w:right="80" w:firstLine="30"/>
        <w:spacing w:after="0" w:line="273" w:lineRule="auto"/>
        <w:rPr>
          <w:sz w:val="20"/>
          <w:szCs w:val="20"/>
          <w:color w:val="auto"/>
        </w:rPr>
      </w:pPr>
      <w:r>
        <w:rPr>
          <w:rFonts w:ascii="Arial" w:cs="Arial" w:eastAsia="Arial" w:hAnsi="Arial"/>
          <w:sz w:val="17"/>
          <w:szCs w:val="17"/>
          <w:color w:val="002856"/>
        </w:rPr>
        <w:t>of Our Directors Are Independent</w:t>
      </w:r>
    </w:p>
    <w:p>
      <w:pPr>
        <w:spacing w:after="0" w:line="437" w:lineRule="exact"/>
        <w:rPr>
          <w:sz w:val="20"/>
          <w:szCs w:val="20"/>
          <w:color w:val="auto"/>
        </w:rPr>
      </w:pPr>
    </w:p>
    <w:p>
      <w:pPr>
        <w:sectPr>
          <w:pgSz w:w="11900" w:h="16838" w:orient="portrait"/>
          <w:cols w:equalWidth="0" w:num="2">
            <w:col w:w="8700" w:space="720"/>
            <w:col w:w="1500"/>
          </w:cols>
          <w:pgMar w:left="480" w:top="304" w:right="499" w:bottom="1440" w:gutter="0" w:footer="0" w:header="0"/>
          <w:type w:val="continuous"/>
        </w:sectPr>
      </w:pPr>
    </w:p>
    <w:p>
      <w:pPr>
        <w:ind w:left="220" w:right="240" w:hanging="213"/>
        <w:spacing w:after="0" w:line="262"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each case, the Board considered the fact that from time to time, in the ordinary course of business and on usual commercial terms, we and our subsidiaries may provide services in our capacities as insurance intermediaries to various directors of the Company, and to entities in which various directors of the Company have direct or indirect interests.</w:t>
      </w:r>
    </w:p>
    <w:p>
      <w:pPr>
        <w:spacing w:after="0" w:line="39" w:lineRule="exact"/>
        <w:rPr>
          <w:rFonts w:ascii="Arial" w:cs="Arial" w:eastAsia="Arial" w:hAnsi="Arial"/>
          <w:sz w:val="16"/>
          <w:szCs w:val="16"/>
          <w:color w:val="auto"/>
        </w:rPr>
      </w:pPr>
    </w:p>
    <w:p>
      <w:pPr>
        <w:ind w:left="220" w:right="20" w:hanging="213"/>
        <w:spacing w:after="0" w:line="248"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Mr. Main, the Board considered the fact that Mr. Main is Head of Investment Banking EMEA (U.K., Europe, Middle East &amp; Africa) at Barclays Plc. The Board considered that (i) Mr. Main’s ownership interest in Barclays does not exceed ten percent, and he is not an executive officer of Barclays; (ii) there are no existing projects or transactions between Barclays’ investment banking division (i.e., the division in which Mr. Main holds his position) and the Company; (iii) in his role at Barclays, Mr. Main (a) is not permitted to cover the insurance brokerage sector, (b) is required to recuse himself from any conversations with clients or Barclays employees regarding the insurance business sector, (c) is prohibited from appearing as the coverage person for the Company on any Barclays books, records or systems, and may not supervise any activity in relation to the Company or the insurance brokerage sector generally and (d) is prohibited from selling the Company’s common stock while it is on Barclays’ “watch” or “restricted” list, except in accordance with Barclays’ personal investment policy and (iv) certain of the Company’s subsidiaries have commercial banking relationships with Barclays, which include deposit and treasury relationship services, and concluded that these relationships were not material.</w:t>
      </w:r>
    </w:p>
    <w:p>
      <w:pPr>
        <w:spacing w:after="0" w:line="54" w:lineRule="exact"/>
        <w:rPr>
          <w:rFonts w:ascii="Arial" w:cs="Arial" w:eastAsia="Arial" w:hAnsi="Arial"/>
          <w:sz w:val="16"/>
          <w:szCs w:val="16"/>
          <w:color w:val="auto"/>
        </w:rPr>
      </w:pPr>
    </w:p>
    <w:p>
      <w:pPr>
        <w:ind w:left="220" w:right="40" w:hanging="213"/>
        <w:spacing w:after="0" w:line="256"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Mr. Hoepner, the Board considered the fact that he is an investor in a bank holding company in which Messrs. Hyatt Brown and Powell Brown also are investors, in which a bank account with a balance of approximately $1.6 million was maintained by the Company in 2023 and concluded that the investment, which in the aggregate comprised less than five percent of the outstanding stock of the bank holding company, was not material.</w:t>
      </w:r>
    </w:p>
    <w:p>
      <w:pPr>
        <w:spacing w:after="0" w:line="44" w:lineRule="exact"/>
        <w:rPr>
          <w:rFonts w:ascii="Arial" w:cs="Arial" w:eastAsia="Arial" w:hAnsi="Arial"/>
          <w:sz w:val="16"/>
          <w:szCs w:val="16"/>
          <w:color w:val="auto"/>
        </w:rPr>
      </w:pPr>
    </w:p>
    <w:p>
      <w:pPr>
        <w:ind w:left="220" w:hanging="213"/>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Mr. Proctor, the Board considered the fact that the Company maintains a money market account with a balance of approximately</w:t>
      </w:r>
    </w:p>
    <w:p>
      <w:pPr>
        <w:spacing w:after="0" w:line="19" w:lineRule="exact"/>
        <w:rPr>
          <w:rFonts w:ascii="Arial" w:cs="Arial" w:eastAsia="Arial" w:hAnsi="Arial"/>
          <w:sz w:val="16"/>
          <w:szCs w:val="16"/>
          <w:color w:val="auto"/>
        </w:rPr>
      </w:pPr>
    </w:p>
    <w:p>
      <w:pPr>
        <w:ind w:left="220" w:right="100"/>
        <w:spacing w:after="0" w:line="258" w:lineRule="auto"/>
        <w:rPr>
          <w:rFonts w:ascii="Arial" w:cs="Arial" w:eastAsia="Arial" w:hAnsi="Arial"/>
          <w:sz w:val="16"/>
          <w:szCs w:val="16"/>
          <w:color w:val="auto"/>
        </w:rPr>
      </w:pPr>
      <w:r>
        <w:rPr>
          <w:rFonts w:ascii="Arial" w:cs="Arial" w:eastAsia="Arial" w:hAnsi="Arial"/>
          <w:sz w:val="16"/>
          <w:szCs w:val="16"/>
          <w:color w:val="auto"/>
        </w:rPr>
        <w:t>$10.6 million with Ameris Bank, of which Mr. Proctor is Chief Executive Officer, as well as Chief Executive Officer and a director of its parent company (to which a subsidiary of the Company provides insurance services), and concluded that the relationship was not material.</w:t>
      </w:r>
    </w:p>
    <w:p>
      <w:pPr>
        <w:spacing w:after="0" w:line="43" w:lineRule="exact"/>
        <w:rPr>
          <w:rFonts w:ascii="Arial" w:cs="Arial" w:eastAsia="Arial" w:hAnsi="Arial"/>
          <w:sz w:val="16"/>
          <w:szCs w:val="16"/>
          <w:color w:val="auto"/>
        </w:rPr>
      </w:pPr>
    </w:p>
    <w:p>
      <w:pPr>
        <w:jc w:val="both"/>
        <w:ind w:left="220" w:right="200" w:hanging="213"/>
        <w:spacing w:after="0" w:line="262"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Messrs. Proctor and Gellerstedt, the Board considered the fact that Messrs. Hyatt Brown, Powell Brown and Proctor are investors in a fund managed by an entity in which Mr. Gellerstedt is a partner and concluded that the amounts invested were not material to Messrs. Hyatt Brown, Powell Brown or Proctor, or to the entity in which Mr. Gellerstedt is a partner.</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13</w:t>
      </w:r>
    </w:p>
    <w:p>
      <w:pPr>
        <w:sectPr>
          <w:pgSz w:w="11900" w:h="16838" w:orient="portrait"/>
          <w:cols w:equalWidth="0" w:num="1">
            <w:col w:w="10920"/>
          </w:cols>
          <w:pgMar w:left="480" w:top="304" w:right="4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Director Nominee Selection Process</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Nominating/Corporate Governance Committee is responsible for identifying and evaluating director nominees and for recommending to the Board a slate of nominees for election at each Annual Meeting of Shareholders. The Committee has not established “minimum qualifications” for director nominees because it believes that rigid “minimum qualifications” might preclude the consideration of otherwise desirable candidates for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69297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shd w:val="clear" w:color="auto" w:fill="EAEAEA"/>
          </w:tcPr>
          <w:p>
            <w:pPr>
              <w:spacing w:after="0"/>
              <w:rPr>
                <w:sz w:val="20"/>
                <w:szCs w:val="20"/>
                <w:color w:val="auto"/>
              </w:rPr>
            </w:pPr>
          </w:p>
        </w:tc>
        <w:tc>
          <w:tcPr>
            <w:tcW w:w="2540" w:type="dxa"/>
            <w:vAlign w:val="bottom"/>
            <w:shd w:val="clear" w:color="auto" w:fill="EAEAEA"/>
          </w:tcPr>
          <w:p>
            <w:pPr>
              <w:spacing w:after="0"/>
              <w:rPr>
                <w:sz w:val="20"/>
                <w:szCs w:val="20"/>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•   the need or desirability of maintaining or expanding the size of the Board;</w:t>
            </w:r>
          </w:p>
        </w:tc>
        <w:tc>
          <w:tcPr>
            <w:tcW w:w="0" w:type="dxa"/>
            <w:vAlign w:val="bottom"/>
          </w:tcPr>
          <w:p>
            <w:pPr>
              <w:spacing w:after="0"/>
              <w:rPr>
                <w:sz w:val="1"/>
                <w:szCs w:val="1"/>
                <w:color w:val="auto"/>
              </w:rPr>
            </w:pPr>
          </w:p>
        </w:tc>
      </w:tr>
      <w:tr>
        <w:trPr>
          <w:trHeight w:val="233"/>
        </w:trPr>
        <w:tc>
          <w:tcPr>
            <w:tcW w:w="660" w:type="dxa"/>
            <w:vAlign w:val="bottom"/>
            <w:shd w:val="clear" w:color="auto" w:fill="EAEAEA"/>
          </w:tcPr>
          <w:p>
            <w:pPr>
              <w:spacing w:after="0"/>
              <w:rPr>
                <w:sz w:val="20"/>
                <w:szCs w:val="20"/>
                <w:color w:val="auto"/>
              </w:rPr>
            </w:pPr>
          </w:p>
        </w:tc>
        <w:tc>
          <w:tcPr>
            <w:tcW w:w="2540" w:type="dxa"/>
            <w:vAlign w:val="bottom"/>
            <w:shd w:val="clear" w:color="auto" w:fill="EAEAEA"/>
          </w:tcPr>
          <w:p>
            <w:pPr>
              <w:spacing w:after="0"/>
              <w:rPr>
                <w:sz w:val="20"/>
                <w:szCs w:val="20"/>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•   independence;</w:t>
            </w:r>
          </w:p>
        </w:tc>
        <w:tc>
          <w:tcPr>
            <w:tcW w:w="0" w:type="dxa"/>
            <w:vAlign w:val="bottom"/>
          </w:tcPr>
          <w:p>
            <w:pPr>
              <w:spacing w:after="0"/>
              <w:rPr>
                <w:sz w:val="1"/>
                <w:szCs w:val="1"/>
                <w:color w:val="auto"/>
              </w:rPr>
            </w:pPr>
          </w:p>
        </w:tc>
      </w:tr>
      <w:tr>
        <w:trPr>
          <w:trHeight w:val="243"/>
        </w:trPr>
        <w:tc>
          <w:tcPr>
            <w:tcW w:w="660" w:type="dxa"/>
            <w:vAlign w:val="bottom"/>
            <w:shd w:val="clear" w:color="auto" w:fill="EAEAEA"/>
          </w:tcPr>
          <w:p>
            <w:pPr>
              <w:spacing w:after="0"/>
              <w:rPr>
                <w:sz w:val="21"/>
                <w:szCs w:val="21"/>
                <w:color w:val="auto"/>
              </w:rPr>
            </w:pPr>
          </w:p>
        </w:tc>
        <w:tc>
          <w:tcPr>
            <w:tcW w:w="2540" w:type="dxa"/>
            <w:vAlign w:val="bottom"/>
            <w:shd w:val="clear" w:color="auto" w:fill="EAEAEA"/>
          </w:tcPr>
          <w:p>
            <w:pPr>
              <w:spacing w:after="0"/>
              <w:rPr>
                <w:sz w:val="21"/>
                <w:szCs w:val="21"/>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•   credentials, including, without limitation, business experience, technology acumen, experience within</w:t>
            </w:r>
          </w:p>
        </w:tc>
        <w:tc>
          <w:tcPr>
            <w:tcW w:w="0" w:type="dxa"/>
            <w:vAlign w:val="bottom"/>
          </w:tcPr>
          <w:p>
            <w:pPr>
              <w:spacing w:after="0"/>
              <w:rPr>
                <w:sz w:val="1"/>
                <w:szCs w:val="1"/>
                <w:color w:val="auto"/>
              </w:rPr>
            </w:pPr>
          </w:p>
        </w:tc>
      </w:tr>
      <w:tr>
        <w:trPr>
          <w:trHeight w:val="211"/>
        </w:trPr>
        <w:tc>
          <w:tcPr>
            <w:tcW w:w="660" w:type="dxa"/>
            <w:vAlign w:val="bottom"/>
            <w:shd w:val="clear" w:color="auto" w:fill="EAEAEA"/>
          </w:tcPr>
          <w:p>
            <w:pPr>
              <w:spacing w:after="0"/>
              <w:rPr>
                <w:sz w:val="18"/>
                <w:szCs w:val="18"/>
                <w:color w:val="auto"/>
              </w:rPr>
            </w:pPr>
          </w:p>
        </w:tc>
        <w:tc>
          <w:tcPr>
            <w:tcW w:w="2540" w:type="dxa"/>
            <w:vAlign w:val="bottom"/>
            <w:shd w:val="clear" w:color="auto" w:fill="EAEAEA"/>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6"/>
                <w:szCs w:val="16"/>
                <w:color w:val="auto"/>
              </w:rPr>
              <w:t>the insurance industry, educational background, professional training, designations and certifications;</w:t>
            </w:r>
          </w:p>
        </w:tc>
        <w:tc>
          <w:tcPr>
            <w:tcW w:w="0" w:type="dxa"/>
            <w:vAlign w:val="bottom"/>
          </w:tcPr>
          <w:p>
            <w:pPr>
              <w:spacing w:after="0"/>
              <w:rPr>
                <w:sz w:val="1"/>
                <w:szCs w:val="1"/>
                <w:color w:val="auto"/>
              </w:rPr>
            </w:pPr>
          </w:p>
        </w:tc>
      </w:tr>
      <w:tr>
        <w:trPr>
          <w:trHeight w:val="267"/>
        </w:trPr>
        <w:tc>
          <w:tcPr>
            <w:tcW w:w="660" w:type="dxa"/>
            <w:vAlign w:val="bottom"/>
            <w:shd w:val="clear" w:color="auto" w:fill="EAEAEA"/>
          </w:tcPr>
          <w:p>
            <w:pPr>
              <w:spacing w:after="0"/>
              <w:rPr>
                <w:sz w:val="23"/>
                <w:szCs w:val="23"/>
                <w:color w:val="auto"/>
              </w:rPr>
            </w:pPr>
          </w:p>
        </w:tc>
        <w:tc>
          <w:tcPr>
            <w:tcW w:w="2540" w:type="dxa"/>
            <w:vAlign w:val="bottom"/>
            <w:vMerge w:val="restart"/>
            <w:shd w:val="clear" w:color="auto" w:fill="EAEAEA"/>
          </w:tcPr>
          <w:p>
            <w:pPr>
              <w:ind w:left="20"/>
              <w:spacing w:after="0"/>
              <w:rPr>
                <w:sz w:val="20"/>
                <w:szCs w:val="20"/>
                <w:color w:val="auto"/>
              </w:rPr>
            </w:pPr>
            <w:r>
              <w:rPr>
                <w:rFonts w:ascii="Arial" w:cs="Arial" w:eastAsia="Arial" w:hAnsi="Arial"/>
                <w:sz w:val="18"/>
                <w:szCs w:val="18"/>
                <w:b w:val="1"/>
                <w:bCs w:val="1"/>
                <w:color w:val="002856"/>
              </w:rPr>
              <w:t>The Committee evaluates</w:t>
            </w:r>
          </w:p>
        </w:tc>
        <w:tc>
          <w:tcPr>
            <w:tcW w:w="7720" w:type="dxa"/>
            <w:vAlign w:val="bottom"/>
          </w:tcPr>
          <w:p>
            <w:pPr>
              <w:ind w:left="320"/>
              <w:spacing w:after="0"/>
              <w:rPr>
                <w:sz w:val="20"/>
                <w:szCs w:val="20"/>
                <w:color w:val="auto"/>
              </w:rPr>
            </w:pPr>
            <w:r>
              <w:rPr>
                <w:rFonts w:ascii="Arial" w:cs="Arial" w:eastAsia="Arial" w:hAnsi="Arial"/>
                <w:sz w:val="16"/>
                <w:szCs w:val="16"/>
                <w:color w:val="auto"/>
              </w:rPr>
              <w:t>•   interest in, and willingness to serve on, the Board;</w:t>
            </w:r>
          </w:p>
        </w:tc>
        <w:tc>
          <w:tcPr>
            <w:tcW w:w="0" w:type="dxa"/>
            <w:vAlign w:val="bottom"/>
          </w:tcPr>
          <w:p>
            <w:pPr>
              <w:spacing w:after="0"/>
              <w:rPr>
                <w:sz w:val="1"/>
                <w:szCs w:val="1"/>
                <w:color w:val="auto"/>
              </w:rPr>
            </w:pPr>
          </w:p>
        </w:tc>
      </w:tr>
      <w:tr>
        <w:trPr>
          <w:trHeight w:val="92"/>
        </w:trPr>
        <w:tc>
          <w:tcPr>
            <w:tcW w:w="660" w:type="dxa"/>
            <w:vAlign w:val="bottom"/>
            <w:shd w:val="clear" w:color="auto" w:fill="EAEAEA"/>
          </w:tcPr>
          <w:p>
            <w:pPr>
              <w:spacing w:after="0"/>
              <w:rPr>
                <w:sz w:val="7"/>
                <w:szCs w:val="7"/>
                <w:color w:val="auto"/>
              </w:rPr>
            </w:pPr>
          </w:p>
        </w:tc>
        <w:tc>
          <w:tcPr>
            <w:tcW w:w="2540" w:type="dxa"/>
            <w:vAlign w:val="bottom"/>
            <w:vMerge w:val="continue"/>
            <w:shd w:val="clear" w:color="auto" w:fill="EAEAEA"/>
          </w:tcPr>
          <w:p>
            <w:pPr>
              <w:spacing w:after="0"/>
              <w:rPr>
                <w:sz w:val="7"/>
                <w:szCs w:val="7"/>
                <w:color w:val="auto"/>
              </w:rPr>
            </w:pPr>
          </w:p>
        </w:tc>
        <w:tc>
          <w:tcPr>
            <w:tcW w:w="7720" w:type="dxa"/>
            <w:vAlign w:val="bottom"/>
            <w:vMerge w:val="restart"/>
          </w:tcPr>
          <w:p>
            <w:pPr>
              <w:ind w:left="320"/>
              <w:spacing w:after="0"/>
              <w:rPr>
                <w:sz w:val="20"/>
                <w:szCs w:val="20"/>
                <w:color w:val="auto"/>
              </w:rPr>
            </w:pPr>
            <w:r>
              <w:rPr>
                <w:rFonts w:ascii="Arial" w:cs="Arial" w:eastAsia="Arial" w:hAnsi="Arial"/>
                <w:sz w:val="16"/>
                <w:szCs w:val="16"/>
                <w:color w:val="auto"/>
              </w:rPr>
              <w:t>•   ability to contribute by way of participation as a member of Board committees;</w:t>
            </w:r>
          </w:p>
        </w:tc>
        <w:tc>
          <w:tcPr>
            <w:tcW w:w="0" w:type="dxa"/>
            <w:vAlign w:val="bottom"/>
          </w:tcPr>
          <w:p>
            <w:pPr>
              <w:spacing w:after="0"/>
              <w:rPr>
                <w:sz w:val="1"/>
                <w:szCs w:val="1"/>
                <w:color w:val="auto"/>
              </w:rPr>
            </w:pPr>
          </w:p>
        </w:tc>
      </w:tr>
      <w:tr>
        <w:trPr>
          <w:trHeight w:val="201"/>
        </w:trPr>
        <w:tc>
          <w:tcPr>
            <w:tcW w:w="660" w:type="dxa"/>
            <w:vAlign w:val="bottom"/>
            <w:shd w:val="clear" w:color="auto" w:fill="EAEAEA"/>
          </w:tcPr>
          <w:p>
            <w:pPr>
              <w:spacing w:after="0"/>
              <w:rPr>
                <w:sz w:val="17"/>
                <w:szCs w:val="17"/>
                <w:color w:val="auto"/>
              </w:rPr>
            </w:pPr>
          </w:p>
        </w:tc>
        <w:tc>
          <w:tcPr>
            <w:tcW w:w="2540" w:type="dxa"/>
            <w:vAlign w:val="bottom"/>
            <w:shd w:val="clear" w:color="auto" w:fill="EAEAEA"/>
          </w:tcPr>
          <w:p>
            <w:pPr>
              <w:ind w:left="20"/>
              <w:spacing w:after="0" w:line="201" w:lineRule="exact"/>
              <w:rPr>
                <w:sz w:val="20"/>
                <w:szCs w:val="20"/>
                <w:color w:val="auto"/>
              </w:rPr>
            </w:pPr>
            <w:r>
              <w:rPr>
                <w:rFonts w:ascii="Arial" w:cs="Arial" w:eastAsia="Arial" w:hAnsi="Arial"/>
                <w:sz w:val="18"/>
                <w:szCs w:val="18"/>
                <w:b w:val="1"/>
                <w:bCs w:val="1"/>
                <w:color w:val="002856"/>
                <w:w w:val="99"/>
              </w:rPr>
              <w:t>director candidates based on</w:t>
            </w:r>
          </w:p>
        </w:tc>
        <w:tc>
          <w:tcPr>
            <w:tcW w:w="7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 w:type="dxa"/>
            <w:vAlign w:val="bottom"/>
            <w:shd w:val="clear" w:color="auto" w:fill="EAEAEA"/>
          </w:tcPr>
          <w:p>
            <w:pPr>
              <w:spacing w:after="0"/>
              <w:rPr>
                <w:sz w:val="16"/>
                <w:szCs w:val="16"/>
                <w:color w:val="auto"/>
              </w:rPr>
            </w:pPr>
          </w:p>
        </w:tc>
        <w:tc>
          <w:tcPr>
            <w:tcW w:w="2540" w:type="dxa"/>
            <w:vAlign w:val="bottom"/>
            <w:shd w:val="clear" w:color="auto" w:fill="EAEAEA"/>
          </w:tcPr>
          <w:p>
            <w:pPr>
              <w:ind w:left="20"/>
              <w:spacing w:after="0" w:line="193" w:lineRule="exact"/>
              <w:rPr>
                <w:sz w:val="20"/>
                <w:szCs w:val="20"/>
                <w:color w:val="auto"/>
              </w:rPr>
            </w:pPr>
            <w:r>
              <w:rPr>
                <w:rFonts w:ascii="Arial" w:cs="Arial" w:eastAsia="Arial" w:hAnsi="Arial"/>
                <w:sz w:val="18"/>
                <w:szCs w:val="18"/>
                <w:b w:val="1"/>
                <w:bCs w:val="1"/>
                <w:color w:val="002856"/>
              </w:rPr>
              <w:t>a number of factors,</w:t>
            </w:r>
          </w:p>
        </w:tc>
        <w:tc>
          <w:tcPr>
            <w:tcW w:w="7720" w:type="dxa"/>
            <w:vAlign w:val="bottom"/>
          </w:tcPr>
          <w:p>
            <w:pPr>
              <w:ind w:left="320"/>
              <w:spacing w:after="0"/>
              <w:rPr>
                <w:sz w:val="20"/>
                <w:szCs w:val="20"/>
                <w:color w:val="auto"/>
              </w:rPr>
            </w:pPr>
            <w:r>
              <w:rPr>
                <w:rFonts w:ascii="Arial" w:cs="Arial" w:eastAsia="Arial" w:hAnsi="Arial"/>
                <w:sz w:val="16"/>
                <w:szCs w:val="16"/>
                <w:color w:val="auto"/>
              </w:rPr>
              <w:t>•   financial expertise and sophistication;</w:t>
            </w:r>
          </w:p>
        </w:tc>
        <w:tc>
          <w:tcPr>
            <w:tcW w:w="0" w:type="dxa"/>
            <w:vAlign w:val="bottom"/>
          </w:tcPr>
          <w:p>
            <w:pPr>
              <w:spacing w:after="0"/>
              <w:rPr>
                <w:sz w:val="1"/>
                <w:szCs w:val="1"/>
                <w:color w:val="auto"/>
              </w:rPr>
            </w:pPr>
          </w:p>
        </w:tc>
      </w:tr>
      <w:tr>
        <w:trPr>
          <w:trHeight w:val="293"/>
        </w:trPr>
        <w:tc>
          <w:tcPr>
            <w:tcW w:w="3200" w:type="dxa"/>
            <w:vAlign w:val="bottom"/>
            <w:gridSpan w:val="2"/>
            <w:shd w:val="clear" w:color="auto" w:fill="EAEAEA"/>
          </w:tcPr>
          <w:p>
            <w:pPr>
              <w:ind w:left="180"/>
              <w:spacing w:after="0" w:line="294" w:lineRule="exact"/>
              <w:rPr>
                <w:sz w:val="20"/>
                <w:szCs w:val="20"/>
                <w:color w:val="auto"/>
              </w:rPr>
            </w:pPr>
            <w:r>
              <w:rPr>
                <w:rFonts w:ascii="Arial" w:cs="Arial" w:eastAsia="Arial" w:hAnsi="Arial"/>
                <w:sz w:val="34"/>
                <w:szCs w:val="34"/>
                <w:color w:val="002856"/>
              </w:rPr>
              <w:t>1</w:t>
            </w:r>
            <w:r>
              <w:rPr>
                <w:rFonts w:ascii="Arial" w:cs="Arial" w:eastAsia="Arial" w:hAnsi="Arial"/>
                <w:sz w:val="14"/>
                <w:szCs w:val="14"/>
                <w:b w:val="1"/>
                <w:bCs w:val="1"/>
                <w:color w:val="002856"/>
              </w:rPr>
              <w:t>including:</w:t>
            </w:r>
          </w:p>
        </w:tc>
        <w:tc>
          <w:tcPr>
            <w:tcW w:w="7720" w:type="dxa"/>
            <w:vAlign w:val="bottom"/>
          </w:tcPr>
          <w:p>
            <w:pPr>
              <w:ind w:left="320"/>
              <w:spacing w:after="0"/>
              <w:rPr>
                <w:sz w:val="20"/>
                <w:szCs w:val="20"/>
                <w:color w:val="auto"/>
              </w:rPr>
            </w:pPr>
            <w:r>
              <w:rPr>
                <w:rFonts w:ascii="Arial" w:cs="Arial" w:eastAsia="Arial" w:hAnsi="Arial"/>
                <w:sz w:val="16"/>
                <w:szCs w:val="16"/>
                <w:color w:val="auto"/>
              </w:rPr>
              <w:t>•   basic understanding of the Company’s principal operational and financial objectives, plans and</w:t>
            </w:r>
          </w:p>
        </w:tc>
        <w:tc>
          <w:tcPr>
            <w:tcW w:w="0" w:type="dxa"/>
            <w:vAlign w:val="bottom"/>
          </w:tcPr>
          <w:p>
            <w:pPr>
              <w:spacing w:after="0"/>
              <w:rPr>
                <w:sz w:val="1"/>
                <w:szCs w:val="1"/>
                <w:color w:val="auto"/>
              </w:rPr>
            </w:pPr>
          </w:p>
        </w:tc>
      </w:tr>
      <w:tr>
        <w:trPr>
          <w:trHeight w:val="187"/>
        </w:trPr>
        <w:tc>
          <w:tcPr>
            <w:tcW w:w="660" w:type="dxa"/>
            <w:vAlign w:val="bottom"/>
            <w:shd w:val="clear" w:color="auto" w:fill="EAEAEA"/>
          </w:tcPr>
          <w:p>
            <w:pPr>
              <w:spacing w:after="0"/>
              <w:rPr>
                <w:sz w:val="16"/>
                <w:szCs w:val="16"/>
                <w:color w:val="auto"/>
              </w:rPr>
            </w:pPr>
          </w:p>
        </w:tc>
        <w:tc>
          <w:tcPr>
            <w:tcW w:w="2540" w:type="dxa"/>
            <w:vAlign w:val="bottom"/>
            <w:shd w:val="clear" w:color="auto" w:fill="EAEAEA"/>
          </w:tcPr>
          <w:p>
            <w:pPr>
              <w:spacing w:after="0"/>
              <w:rPr>
                <w:sz w:val="16"/>
                <w:szCs w:val="16"/>
                <w:color w:val="auto"/>
              </w:rPr>
            </w:pPr>
          </w:p>
        </w:tc>
        <w:tc>
          <w:tcPr>
            <w:tcW w:w="7720" w:type="dxa"/>
            <w:vAlign w:val="bottom"/>
          </w:tcPr>
          <w:p>
            <w:pPr>
              <w:ind w:left="480"/>
              <w:spacing w:after="0"/>
              <w:rPr>
                <w:sz w:val="20"/>
                <w:szCs w:val="20"/>
                <w:color w:val="auto"/>
              </w:rPr>
            </w:pPr>
            <w:r>
              <w:rPr>
                <w:rFonts w:ascii="Arial" w:cs="Arial" w:eastAsia="Arial" w:hAnsi="Arial"/>
                <w:sz w:val="16"/>
                <w:szCs w:val="16"/>
                <w:color w:val="auto"/>
              </w:rPr>
              <w:t>strategies, results of operations and financial condition, and relative standing in relation to the</w:t>
            </w:r>
          </w:p>
        </w:tc>
        <w:tc>
          <w:tcPr>
            <w:tcW w:w="0" w:type="dxa"/>
            <w:vAlign w:val="bottom"/>
          </w:tcPr>
          <w:p>
            <w:pPr>
              <w:spacing w:after="0"/>
              <w:rPr>
                <w:sz w:val="1"/>
                <w:szCs w:val="1"/>
                <w:color w:val="auto"/>
              </w:rPr>
            </w:pPr>
          </w:p>
        </w:tc>
      </w:tr>
      <w:tr>
        <w:trPr>
          <w:trHeight w:val="211"/>
        </w:trPr>
        <w:tc>
          <w:tcPr>
            <w:tcW w:w="660" w:type="dxa"/>
            <w:vAlign w:val="bottom"/>
            <w:shd w:val="clear" w:color="auto" w:fill="EAEAEA"/>
          </w:tcPr>
          <w:p>
            <w:pPr>
              <w:spacing w:after="0"/>
              <w:rPr>
                <w:sz w:val="18"/>
                <w:szCs w:val="18"/>
                <w:color w:val="auto"/>
              </w:rPr>
            </w:pPr>
          </w:p>
        </w:tc>
        <w:tc>
          <w:tcPr>
            <w:tcW w:w="2540" w:type="dxa"/>
            <w:vAlign w:val="bottom"/>
            <w:shd w:val="clear" w:color="auto" w:fill="EAEAEA"/>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6"/>
                <w:szCs w:val="16"/>
                <w:color w:val="auto"/>
              </w:rPr>
              <w:t>Company’s competitors and</w:t>
            </w:r>
          </w:p>
        </w:tc>
        <w:tc>
          <w:tcPr>
            <w:tcW w:w="0" w:type="dxa"/>
            <w:vAlign w:val="bottom"/>
          </w:tcPr>
          <w:p>
            <w:pPr>
              <w:spacing w:after="0"/>
              <w:rPr>
                <w:sz w:val="1"/>
                <w:szCs w:val="1"/>
                <w:color w:val="auto"/>
              </w:rPr>
            </w:pPr>
          </w:p>
        </w:tc>
      </w:tr>
      <w:tr>
        <w:trPr>
          <w:trHeight w:val="243"/>
        </w:trPr>
        <w:tc>
          <w:tcPr>
            <w:tcW w:w="660" w:type="dxa"/>
            <w:vAlign w:val="bottom"/>
            <w:shd w:val="clear" w:color="auto" w:fill="EAEAEA"/>
          </w:tcPr>
          <w:p>
            <w:pPr>
              <w:spacing w:after="0"/>
              <w:rPr>
                <w:sz w:val="21"/>
                <w:szCs w:val="21"/>
                <w:color w:val="auto"/>
              </w:rPr>
            </w:pPr>
          </w:p>
        </w:tc>
        <w:tc>
          <w:tcPr>
            <w:tcW w:w="2540" w:type="dxa"/>
            <w:vAlign w:val="bottom"/>
            <w:shd w:val="clear" w:color="auto" w:fill="EAEAEA"/>
          </w:tcPr>
          <w:p>
            <w:pPr>
              <w:spacing w:after="0"/>
              <w:rPr>
                <w:sz w:val="21"/>
                <w:szCs w:val="21"/>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•   willingness to commit requisite time and attention to Board service, including preparation for and</w:t>
            </w:r>
          </w:p>
        </w:tc>
        <w:tc>
          <w:tcPr>
            <w:tcW w:w="0" w:type="dxa"/>
            <w:vAlign w:val="bottom"/>
          </w:tcPr>
          <w:p>
            <w:pPr>
              <w:spacing w:after="0"/>
              <w:rPr>
                <w:sz w:val="1"/>
                <w:szCs w:val="1"/>
                <w:color w:val="auto"/>
              </w:rPr>
            </w:pPr>
          </w:p>
        </w:tc>
      </w:tr>
      <w:tr>
        <w:trPr>
          <w:trHeight w:val="187"/>
        </w:trPr>
        <w:tc>
          <w:tcPr>
            <w:tcW w:w="660" w:type="dxa"/>
            <w:vAlign w:val="bottom"/>
            <w:shd w:val="clear" w:color="auto" w:fill="EAEAEA"/>
          </w:tcPr>
          <w:p>
            <w:pPr>
              <w:spacing w:after="0"/>
              <w:rPr>
                <w:sz w:val="16"/>
                <w:szCs w:val="16"/>
                <w:color w:val="auto"/>
              </w:rPr>
            </w:pPr>
          </w:p>
        </w:tc>
        <w:tc>
          <w:tcPr>
            <w:tcW w:w="2540" w:type="dxa"/>
            <w:vAlign w:val="bottom"/>
            <w:shd w:val="clear" w:color="auto" w:fill="EAEAEA"/>
          </w:tcPr>
          <w:p>
            <w:pPr>
              <w:spacing w:after="0"/>
              <w:rPr>
                <w:sz w:val="16"/>
                <w:szCs w:val="16"/>
                <w:color w:val="auto"/>
              </w:rPr>
            </w:pPr>
          </w:p>
        </w:tc>
        <w:tc>
          <w:tcPr>
            <w:tcW w:w="7720" w:type="dxa"/>
            <w:vAlign w:val="bottom"/>
          </w:tcPr>
          <w:p>
            <w:pPr>
              <w:ind w:left="480"/>
              <w:spacing w:after="0"/>
              <w:rPr>
                <w:sz w:val="20"/>
                <w:szCs w:val="20"/>
                <w:color w:val="auto"/>
              </w:rPr>
            </w:pPr>
            <w:r>
              <w:rPr>
                <w:rFonts w:ascii="Arial" w:cs="Arial" w:eastAsia="Arial" w:hAnsi="Arial"/>
                <w:sz w:val="16"/>
                <w:szCs w:val="16"/>
                <w:color w:val="auto"/>
              </w:rPr>
              <w:t>attendance at regular quarterly meetings, special meetings, committee meetings and periodic Board</w:t>
            </w:r>
          </w:p>
        </w:tc>
        <w:tc>
          <w:tcPr>
            <w:tcW w:w="0" w:type="dxa"/>
            <w:vAlign w:val="bottom"/>
          </w:tcPr>
          <w:p>
            <w:pPr>
              <w:spacing w:after="0"/>
              <w:rPr>
                <w:sz w:val="1"/>
                <w:szCs w:val="1"/>
                <w:color w:val="auto"/>
              </w:rPr>
            </w:pPr>
          </w:p>
        </w:tc>
      </w:tr>
      <w:tr>
        <w:trPr>
          <w:trHeight w:val="215"/>
        </w:trPr>
        <w:tc>
          <w:tcPr>
            <w:tcW w:w="660" w:type="dxa"/>
            <w:vAlign w:val="bottom"/>
            <w:shd w:val="clear" w:color="auto" w:fill="EAEAEA"/>
          </w:tcPr>
          <w:p>
            <w:pPr>
              <w:spacing w:after="0"/>
              <w:rPr>
                <w:sz w:val="18"/>
                <w:szCs w:val="18"/>
                <w:color w:val="auto"/>
              </w:rPr>
            </w:pPr>
          </w:p>
        </w:tc>
        <w:tc>
          <w:tcPr>
            <w:tcW w:w="2540" w:type="dxa"/>
            <w:vAlign w:val="bottom"/>
            <w:shd w:val="clear" w:color="auto" w:fill="EAEAEA"/>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6"/>
                <w:szCs w:val="16"/>
                <w:color w:val="auto"/>
              </w:rPr>
              <w:t>“retreats” and director education programs.</w:t>
            </w:r>
          </w:p>
        </w:tc>
        <w:tc>
          <w:tcPr>
            <w:tcW w:w="0" w:type="dxa"/>
            <w:vAlign w:val="bottom"/>
          </w:tcPr>
          <w:p>
            <w:pPr>
              <w:spacing w:after="0"/>
              <w:rPr>
                <w:sz w:val="1"/>
                <w:szCs w:val="1"/>
                <w:color w:val="auto"/>
              </w:rPr>
            </w:pPr>
          </w:p>
        </w:tc>
      </w:tr>
      <w:tr>
        <w:trPr>
          <w:trHeight w:val="187"/>
        </w:trPr>
        <w:tc>
          <w:tcPr>
            <w:tcW w:w="660" w:type="dxa"/>
            <w:vAlign w:val="bottom"/>
            <w:tcBorders>
              <w:bottom w:val="single" w:sz="8" w:color="4C4C4C"/>
            </w:tcBorders>
          </w:tcPr>
          <w:p>
            <w:pPr>
              <w:spacing w:after="0"/>
              <w:rPr>
                <w:sz w:val="16"/>
                <w:szCs w:val="16"/>
                <w:color w:val="auto"/>
              </w:rPr>
            </w:pPr>
          </w:p>
        </w:tc>
        <w:tc>
          <w:tcPr>
            <w:tcW w:w="2540" w:type="dxa"/>
            <w:vAlign w:val="bottom"/>
            <w:tcBorders>
              <w:bottom w:val="single" w:sz="8" w:color="4C4C4C"/>
            </w:tcBorders>
          </w:tcPr>
          <w:p>
            <w:pPr>
              <w:spacing w:after="0"/>
              <w:rPr>
                <w:sz w:val="16"/>
                <w:szCs w:val="16"/>
                <w:color w:val="auto"/>
              </w:rPr>
            </w:pPr>
          </w:p>
        </w:tc>
        <w:tc>
          <w:tcPr>
            <w:tcW w:w="772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720" w:type="dxa"/>
            <w:vAlign w:val="bottom"/>
          </w:tcPr>
          <w:p>
            <w:pPr>
              <w:ind w:left="320"/>
              <w:spacing w:after="0" w:line="18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73"/>
        </w:trPr>
        <w:tc>
          <w:tcPr>
            <w:tcW w:w="3200" w:type="dxa"/>
            <w:vAlign w:val="bottom"/>
            <w:gridSpan w:val="2"/>
            <w:vMerge w:val="restart"/>
            <w:shd w:val="clear" w:color="auto" w:fill="EAEAEA"/>
          </w:tcPr>
          <w:p>
            <w:pPr>
              <w:ind w:left="180"/>
              <w:spacing w:after="0"/>
              <w:rPr>
                <w:sz w:val="20"/>
                <w:szCs w:val="20"/>
                <w:color w:val="auto"/>
              </w:rPr>
            </w:pPr>
            <w:r>
              <w:rPr>
                <w:rFonts w:ascii="Arial" w:cs="Arial" w:eastAsia="Arial" w:hAnsi="Arial"/>
                <w:sz w:val="80"/>
                <w:szCs w:val="80"/>
                <w:color w:val="002856"/>
              </w:rPr>
              <w:t>2</w:t>
            </w:r>
            <w:r>
              <w:rPr>
                <w:rFonts w:ascii="Arial" w:cs="Arial" w:eastAsia="Arial" w:hAnsi="Arial"/>
                <w:sz w:val="17"/>
                <w:szCs w:val="17"/>
                <w:b w:val="1"/>
                <w:bCs w:val="1"/>
                <w:color w:val="002856"/>
              </w:rPr>
              <w:t>Board diversity</w:t>
            </w:r>
          </w:p>
        </w:tc>
        <w:tc>
          <w:tcPr>
            <w:tcW w:w="7720" w:type="dxa"/>
            <w:vAlign w:val="bottom"/>
          </w:tcPr>
          <w:p>
            <w:pPr>
              <w:ind w:left="320"/>
              <w:spacing w:after="0" w:line="173" w:lineRule="exact"/>
              <w:rPr>
                <w:sz w:val="20"/>
                <w:szCs w:val="20"/>
                <w:color w:val="auto"/>
              </w:rPr>
            </w:pPr>
            <w:r>
              <w:rPr>
                <w:rFonts w:ascii="Arial" w:cs="Arial" w:eastAsia="Arial" w:hAnsi="Arial"/>
                <w:sz w:val="16"/>
                <w:szCs w:val="16"/>
                <w:color w:val="auto"/>
              </w:rPr>
              <w:t>The Committee actively seeks diverse, highly qualified candidates for membership on the Board,</w:t>
            </w:r>
          </w:p>
        </w:tc>
        <w:tc>
          <w:tcPr>
            <w:tcW w:w="0" w:type="dxa"/>
            <w:vAlign w:val="bottom"/>
          </w:tcPr>
          <w:p>
            <w:pPr>
              <w:spacing w:after="0"/>
              <w:rPr>
                <w:sz w:val="1"/>
                <w:szCs w:val="1"/>
                <w:color w:val="auto"/>
              </w:rPr>
            </w:pPr>
          </w:p>
        </w:tc>
      </w:tr>
      <w:tr>
        <w:trPr>
          <w:trHeight w:val="187"/>
        </w:trPr>
        <w:tc>
          <w:tcPr>
            <w:tcW w:w="3200" w:type="dxa"/>
            <w:vAlign w:val="bottom"/>
            <w:gridSpan w:val="2"/>
            <w:vMerge w:val="continue"/>
            <w:shd w:val="clear" w:color="auto" w:fill="EAEAEA"/>
          </w:tcPr>
          <w:p>
            <w:pPr>
              <w:spacing w:after="0"/>
              <w:rPr>
                <w:sz w:val="16"/>
                <w:szCs w:val="16"/>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including gender-diverse candidates and candidates that are racially or ethnically diverse, as well as</w:t>
            </w:r>
          </w:p>
        </w:tc>
        <w:tc>
          <w:tcPr>
            <w:tcW w:w="0" w:type="dxa"/>
            <w:vAlign w:val="bottom"/>
          </w:tcPr>
          <w:p>
            <w:pPr>
              <w:spacing w:after="0"/>
              <w:rPr>
                <w:sz w:val="1"/>
                <w:szCs w:val="1"/>
                <w:color w:val="auto"/>
              </w:rPr>
            </w:pPr>
          </w:p>
        </w:tc>
      </w:tr>
      <w:tr>
        <w:trPr>
          <w:trHeight w:val="576"/>
        </w:trPr>
        <w:tc>
          <w:tcPr>
            <w:tcW w:w="3200" w:type="dxa"/>
            <w:vAlign w:val="bottom"/>
            <w:gridSpan w:val="2"/>
            <w:vMerge w:val="continue"/>
            <w:shd w:val="clear" w:color="auto" w:fill="EAEAEA"/>
          </w:tcPr>
          <w:p>
            <w:pPr>
              <w:spacing w:after="0"/>
              <w:rPr>
                <w:sz w:val="24"/>
                <w:szCs w:val="24"/>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candidates with diverse backgrounds, points of view, experience and credentials.</w:t>
            </w:r>
          </w:p>
        </w:tc>
        <w:tc>
          <w:tcPr>
            <w:tcW w:w="0" w:type="dxa"/>
            <w:vAlign w:val="bottom"/>
          </w:tcPr>
          <w:p>
            <w:pPr>
              <w:spacing w:after="0"/>
              <w:rPr>
                <w:sz w:val="1"/>
                <w:szCs w:val="1"/>
                <w:color w:val="auto"/>
              </w:rPr>
            </w:pPr>
          </w:p>
        </w:tc>
      </w:tr>
      <w:tr>
        <w:trPr>
          <w:trHeight w:val="187"/>
        </w:trPr>
        <w:tc>
          <w:tcPr>
            <w:tcW w:w="660" w:type="dxa"/>
            <w:vAlign w:val="bottom"/>
            <w:tcBorders>
              <w:bottom w:val="single" w:sz="8" w:color="4C4C4C"/>
            </w:tcBorders>
          </w:tcPr>
          <w:p>
            <w:pPr>
              <w:spacing w:after="0"/>
              <w:rPr>
                <w:sz w:val="16"/>
                <w:szCs w:val="16"/>
                <w:color w:val="auto"/>
              </w:rPr>
            </w:pPr>
          </w:p>
        </w:tc>
        <w:tc>
          <w:tcPr>
            <w:tcW w:w="2540" w:type="dxa"/>
            <w:vAlign w:val="bottom"/>
            <w:tcBorders>
              <w:bottom w:val="single" w:sz="8" w:color="4C4C4C"/>
            </w:tcBorders>
          </w:tcPr>
          <w:p>
            <w:pPr>
              <w:spacing w:after="0"/>
              <w:rPr>
                <w:sz w:val="16"/>
                <w:szCs w:val="16"/>
                <w:color w:val="auto"/>
              </w:rPr>
            </w:pPr>
          </w:p>
        </w:tc>
        <w:tc>
          <w:tcPr>
            <w:tcW w:w="772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720" w:type="dxa"/>
            <w:vAlign w:val="bottom"/>
          </w:tcPr>
          <w:p>
            <w:pPr>
              <w:ind w:left="320"/>
              <w:spacing w:after="0" w:line="167"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The Committee and the Board consider a variety of sources when identifying individuals as potential</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Board members, including other enterprises with which current Board members are or have previously</w:t>
            </w:r>
          </w:p>
        </w:tc>
        <w:tc>
          <w:tcPr>
            <w:tcW w:w="0" w:type="dxa"/>
            <w:vAlign w:val="bottom"/>
          </w:tcPr>
          <w:p>
            <w:pPr>
              <w:spacing w:after="0"/>
              <w:rPr>
                <w:sz w:val="1"/>
                <w:szCs w:val="1"/>
                <w:color w:val="auto"/>
              </w:rPr>
            </w:pPr>
          </w:p>
        </w:tc>
      </w:tr>
      <w:tr>
        <w:trPr>
          <w:trHeight w:val="187"/>
        </w:trPr>
        <w:tc>
          <w:tcPr>
            <w:tcW w:w="660" w:type="dxa"/>
            <w:vAlign w:val="bottom"/>
            <w:vMerge w:val="restart"/>
          </w:tcPr>
          <w:p>
            <w:pPr>
              <w:ind w:left="180"/>
              <w:spacing w:after="0"/>
              <w:rPr>
                <w:sz w:val="20"/>
                <w:szCs w:val="20"/>
                <w:color w:val="auto"/>
              </w:rPr>
            </w:pPr>
            <w:r>
              <w:rPr>
                <w:rFonts w:ascii="Arial" w:cs="Arial" w:eastAsia="Arial" w:hAnsi="Arial"/>
                <w:sz w:val="80"/>
                <w:szCs w:val="80"/>
                <w:color w:val="002856"/>
              </w:rPr>
              <w:t>3</w:t>
            </w:r>
          </w:p>
        </w:tc>
        <w:tc>
          <w:tcPr>
            <w:tcW w:w="2540" w:type="dxa"/>
            <w:vAlign w:val="bottom"/>
          </w:tcPr>
          <w:p>
            <w:pPr>
              <w:spacing w:after="0"/>
              <w:rPr>
                <w:sz w:val="16"/>
                <w:szCs w:val="16"/>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been involved and through which they have become acquainted with qualified candidates. The</w:t>
            </w:r>
          </w:p>
        </w:tc>
        <w:tc>
          <w:tcPr>
            <w:tcW w:w="0" w:type="dxa"/>
            <w:vAlign w:val="bottom"/>
          </w:tcPr>
          <w:p>
            <w:pPr>
              <w:spacing w:after="0"/>
              <w:rPr>
                <w:sz w:val="1"/>
                <w:szCs w:val="1"/>
                <w:color w:val="auto"/>
              </w:rPr>
            </w:pPr>
          </w:p>
        </w:tc>
      </w:tr>
      <w:tr>
        <w:trPr>
          <w:trHeight w:val="211"/>
        </w:trPr>
        <w:tc>
          <w:tcPr>
            <w:tcW w:w="66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Company does not pay any third party a fee to assist in the identification or evaluation of candidates.</w:t>
            </w:r>
          </w:p>
        </w:tc>
        <w:tc>
          <w:tcPr>
            <w:tcW w:w="0" w:type="dxa"/>
            <w:vAlign w:val="bottom"/>
          </w:tcPr>
          <w:p>
            <w:pPr>
              <w:spacing w:after="0"/>
              <w:rPr>
                <w:sz w:val="1"/>
                <w:szCs w:val="1"/>
                <w:color w:val="auto"/>
              </w:rPr>
            </w:pPr>
          </w:p>
        </w:tc>
      </w:tr>
      <w:tr>
        <w:trPr>
          <w:trHeight w:val="338"/>
        </w:trPr>
        <w:tc>
          <w:tcPr>
            <w:tcW w:w="660" w:type="dxa"/>
            <w:vAlign w:val="bottom"/>
            <w:vMerge w:val="continue"/>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18"/>
                <w:szCs w:val="18"/>
                <w:b w:val="1"/>
                <w:bCs w:val="1"/>
                <w:color w:val="002856"/>
              </w:rPr>
              <w:t>Sources for identifying</w:t>
            </w:r>
          </w:p>
        </w:tc>
        <w:tc>
          <w:tcPr>
            <w:tcW w:w="7720" w:type="dxa"/>
            <w:vAlign w:val="bottom"/>
          </w:tcPr>
          <w:p>
            <w:pPr>
              <w:ind w:left="320"/>
              <w:spacing w:after="0"/>
              <w:rPr>
                <w:sz w:val="20"/>
                <w:szCs w:val="20"/>
                <w:color w:val="auto"/>
              </w:rPr>
            </w:pPr>
            <w:r>
              <w:rPr>
                <w:rFonts w:ascii="Arial" w:cs="Arial" w:eastAsia="Arial" w:hAnsi="Arial"/>
                <w:sz w:val="16"/>
                <w:szCs w:val="16"/>
                <w:color w:val="auto"/>
              </w:rPr>
              <w:t>The Committee will consider director nominations that are submitted in writing by shareholders in</w:t>
            </w:r>
          </w:p>
        </w:tc>
        <w:tc>
          <w:tcPr>
            <w:tcW w:w="0" w:type="dxa"/>
            <w:vAlign w:val="bottom"/>
          </w:tcPr>
          <w:p>
            <w:pPr>
              <w:spacing w:after="0"/>
              <w:rPr>
                <w:sz w:val="1"/>
                <w:szCs w:val="1"/>
                <w:color w:val="auto"/>
              </w:rPr>
            </w:pPr>
          </w:p>
        </w:tc>
      </w:tr>
      <w:tr>
        <w:trPr>
          <w:trHeight w:val="213"/>
        </w:trPr>
        <w:tc>
          <w:tcPr>
            <w:tcW w:w="660" w:type="dxa"/>
            <w:vAlign w:val="bottom"/>
            <w:vMerge w:val="continue"/>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b w:val="1"/>
                <w:bCs w:val="1"/>
                <w:color w:val="002856"/>
              </w:rPr>
              <w:t>potential Board members</w:t>
            </w:r>
          </w:p>
        </w:tc>
        <w:tc>
          <w:tcPr>
            <w:tcW w:w="7720" w:type="dxa"/>
            <w:vAlign w:val="bottom"/>
          </w:tcPr>
          <w:p>
            <w:pPr>
              <w:ind w:left="320"/>
              <w:spacing w:after="0"/>
              <w:rPr>
                <w:sz w:val="20"/>
                <w:szCs w:val="20"/>
                <w:color w:val="auto"/>
              </w:rPr>
            </w:pPr>
            <w:r>
              <w:rPr>
                <w:rFonts w:ascii="Arial" w:cs="Arial" w:eastAsia="Arial" w:hAnsi="Arial"/>
                <w:sz w:val="16"/>
                <w:szCs w:val="16"/>
                <w:color w:val="auto"/>
              </w:rPr>
              <w:t>accordance with our procedures for shareholder proposals. See “Proposals of Shareholders” below.</w:t>
            </w:r>
          </w:p>
        </w:tc>
        <w:tc>
          <w:tcPr>
            <w:tcW w:w="0" w:type="dxa"/>
            <w:vAlign w:val="bottom"/>
          </w:tcPr>
          <w:p>
            <w:pPr>
              <w:spacing w:after="0"/>
              <w:rPr>
                <w:sz w:val="1"/>
                <w:szCs w:val="1"/>
                <w:color w:val="auto"/>
              </w:rPr>
            </w:pPr>
          </w:p>
        </w:tc>
      </w:tr>
      <w:tr>
        <w:trPr>
          <w:trHeight w:val="203"/>
        </w:trPr>
        <w:tc>
          <w:tcPr>
            <w:tcW w:w="66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7720" w:type="dxa"/>
            <w:vAlign w:val="bottom"/>
          </w:tcPr>
          <w:p>
            <w:pPr>
              <w:ind w:left="320"/>
              <w:spacing w:after="0"/>
              <w:rPr>
                <w:sz w:val="20"/>
                <w:szCs w:val="20"/>
                <w:color w:val="auto"/>
              </w:rPr>
            </w:pPr>
            <w:r>
              <w:rPr>
                <w:rFonts w:ascii="Arial" w:cs="Arial" w:eastAsia="Arial" w:hAnsi="Arial"/>
                <w:sz w:val="16"/>
                <w:szCs w:val="16"/>
                <w:color w:val="auto"/>
              </w:rPr>
              <w:t>Such proposals must contain all information with respect to a proposed candidate as required by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-960120</wp:posOffset>
            </wp:positionV>
            <wp:extent cx="2021205" cy="1324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21205" cy="1324610"/>
                    </a:xfrm>
                    <a:prstGeom prst="rect">
                      <a:avLst/>
                    </a:prstGeom>
                    <a:noFill/>
                  </pic:spPr>
                </pic:pic>
              </a:graphicData>
            </a:graphic>
          </wp:anchor>
        </w:drawing>
      </w:r>
    </w:p>
    <w:p>
      <w:pPr>
        <w:ind w:left="3520" w:right="200"/>
        <w:spacing w:after="0" w:line="251" w:lineRule="auto"/>
        <w:rPr>
          <w:sz w:val="20"/>
          <w:szCs w:val="20"/>
          <w:color w:val="auto"/>
        </w:rPr>
      </w:pPr>
      <w:r>
        <w:rPr>
          <w:rFonts w:ascii="Arial" w:cs="Arial" w:eastAsia="Arial" w:hAnsi="Arial"/>
          <w:sz w:val="16"/>
          <w:szCs w:val="16"/>
          <w:color w:val="auto"/>
        </w:rPr>
        <w:t>SEC’s proxy rules, must address the manner in which the proposed candidate meets the criteria described above, and must be accompanied by the consent of such proposed candidate to serve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69297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14</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19" w:name="page20"/>
    <w:bookmarkEnd w:id="19"/>
    <w:p>
      <w:pPr>
        <w:ind w:left="73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The Board’s Role and Responsibilities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Overview</w:t>
      </w:r>
    </w:p>
    <w:p>
      <w:pPr>
        <w:spacing w:after="0" w:line="10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role of the Board of Directors is to oversee the affairs of the Company for the benefit of our shareholders and other constituencies, including our teammates, customers, suppliers, carrier partners and the communities in which we do business. The Board strives to propel the success and continuity of the Company’s business through the selection of qualified management and through ongoing monitoring designed to assure the Company’s activities are conducted in a legal, responsible and ethical manner.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Risk Oversight</w:t>
      </w:r>
    </w:p>
    <w:p>
      <w:pPr>
        <w:spacing w:after="0" w:line="105" w:lineRule="exact"/>
        <w:rPr>
          <w:sz w:val="20"/>
          <w:szCs w:val="20"/>
          <w:color w:val="auto"/>
        </w:rPr>
      </w:pPr>
    </w:p>
    <w:p>
      <w:pPr>
        <w:jc w:val="both"/>
        <w:ind w:right="40"/>
        <w:spacing w:after="0" w:line="262" w:lineRule="auto"/>
        <w:rPr>
          <w:sz w:val="20"/>
          <w:szCs w:val="20"/>
          <w:color w:val="auto"/>
        </w:rPr>
      </w:pPr>
      <w:r>
        <w:rPr>
          <w:rFonts w:ascii="Arial" w:cs="Arial" w:eastAsia="Arial" w:hAnsi="Arial"/>
          <w:sz w:val="16"/>
          <w:szCs w:val="16"/>
          <w:color w:val="auto"/>
        </w:rPr>
        <w:t>The Board and its committees actively oversee the management of the Company’s risks. They receive regular reports from senior management on areas of material risk to the Company, including operational, financial, strategic, acquisition-related, technological, competitive, reputational, legal and regulatory risks.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Board believes risk oversight is a responsibility of the entire Board and does not delegate its responsibility to any individual director or committee.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However, our Board committees have specific oversight responsibilities relating to certain aspects of risk management: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3360" w:type="dxa"/>
            <w:vAlign w:val="bottom"/>
            <w:tcBorders>
              <w:top w:val="single" w:sz="8" w:color="C6093B"/>
            </w:tcBorders>
            <w:shd w:val="clear" w:color="auto" w:fill="EAEAEA"/>
          </w:tcPr>
          <w:p>
            <w:pPr>
              <w:ind w:left="160"/>
              <w:spacing w:after="0"/>
              <w:rPr>
                <w:sz w:val="20"/>
                <w:szCs w:val="20"/>
                <w:color w:val="auto"/>
              </w:rPr>
            </w:pPr>
            <w:r>
              <w:rPr>
                <w:rFonts w:ascii="Arial" w:cs="Arial" w:eastAsia="Arial" w:hAnsi="Arial"/>
                <w:sz w:val="18"/>
                <w:szCs w:val="18"/>
                <w:b w:val="1"/>
                <w:bCs w:val="1"/>
                <w:color w:val="002856"/>
              </w:rPr>
              <w:t>Our Audit Committee</w:t>
            </w:r>
          </w:p>
        </w:tc>
        <w:tc>
          <w:tcPr>
            <w:tcW w:w="420" w:type="dxa"/>
            <w:vAlign w:val="bottom"/>
          </w:tcPr>
          <w:p>
            <w:pPr>
              <w:ind w:left="200"/>
              <w:spacing w:after="0"/>
              <w:rPr>
                <w:sz w:val="20"/>
                <w:szCs w:val="20"/>
                <w:color w:val="auto"/>
              </w:rPr>
            </w:pPr>
            <w:r>
              <w:rPr>
                <w:rFonts w:ascii="Arial" w:cs="Arial" w:eastAsia="Arial" w:hAnsi="Arial"/>
                <w:sz w:val="16"/>
                <w:szCs w:val="16"/>
                <w:color w:val="auto"/>
              </w:rPr>
              <w:t> </w:t>
            </w:r>
          </w:p>
        </w:tc>
        <w:tc>
          <w:tcPr>
            <w:tcW w:w="3360" w:type="dxa"/>
            <w:vAlign w:val="bottom"/>
            <w:tcBorders>
              <w:top w:val="single" w:sz="8" w:color="C6093B"/>
            </w:tcBorders>
            <w:shd w:val="clear" w:color="auto" w:fill="EAEAEA"/>
          </w:tcPr>
          <w:p>
            <w:pPr>
              <w:ind w:left="100"/>
              <w:spacing w:after="0"/>
              <w:rPr>
                <w:sz w:val="20"/>
                <w:szCs w:val="20"/>
                <w:color w:val="auto"/>
              </w:rPr>
            </w:pPr>
            <w:r>
              <w:rPr>
                <w:rFonts w:ascii="Arial" w:cs="Arial" w:eastAsia="Arial" w:hAnsi="Arial"/>
                <w:sz w:val="18"/>
                <w:szCs w:val="18"/>
                <w:b w:val="1"/>
                <w:bCs w:val="1"/>
                <w:color w:val="002856"/>
              </w:rPr>
              <w:t>Our Compensation Committee</w:t>
            </w:r>
          </w:p>
        </w:tc>
        <w:tc>
          <w:tcPr>
            <w:tcW w:w="420" w:type="dxa"/>
            <w:vAlign w:val="bottom"/>
          </w:tcPr>
          <w:p>
            <w:pPr>
              <w:ind w:left="200"/>
              <w:spacing w:after="0"/>
              <w:rPr>
                <w:sz w:val="20"/>
                <w:szCs w:val="20"/>
                <w:color w:val="auto"/>
              </w:rPr>
            </w:pPr>
            <w:r>
              <w:rPr>
                <w:rFonts w:ascii="Arial" w:cs="Arial" w:eastAsia="Arial" w:hAnsi="Arial"/>
                <w:sz w:val="16"/>
                <w:szCs w:val="16"/>
                <w:color w:val="auto"/>
              </w:rPr>
              <w:t> </w:t>
            </w:r>
          </w:p>
        </w:tc>
        <w:tc>
          <w:tcPr>
            <w:tcW w:w="3380" w:type="dxa"/>
            <w:vAlign w:val="bottom"/>
            <w:tcBorders>
              <w:top w:val="single" w:sz="8" w:color="C6093B"/>
            </w:tcBorders>
            <w:shd w:val="clear" w:color="auto" w:fill="EAEAEA"/>
          </w:tcPr>
          <w:p>
            <w:pPr>
              <w:ind w:left="100"/>
              <w:spacing w:after="0"/>
              <w:rPr>
                <w:sz w:val="20"/>
                <w:szCs w:val="20"/>
                <w:color w:val="auto"/>
              </w:rPr>
            </w:pPr>
            <w:r>
              <w:rPr>
                <w:rFonts w:ascii="Arial" w:cs="Arial" w:eastAsia="Arial" w:hAnsi="Arial"/>
                <w:sz w:val="18"/>
                <w:szCs w:val="18"/>
                <w:b w:val="1"/>
                <w:bCs w:val="1"/>
                <w:color w:val="002856"/>
              </w:rPr>
              <w:t>Our Nominating/Corporate</w:t>
            </w:r>
          </w:p>
        </w:tc>
      </w:tr>
      <w:tr>
        <w:trPr>
          <w:trHeight w:val="192"/>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Regularly reviews our financial statements,</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Regularly reviews our executive</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line="192" w:lineRule="exact"/>
              <w:rPr>
                <w:sz w:val="20"/>
                <w:szCs w:val="20"/>
                <w:color w:val="auto"/>
              </w:rPr>
            </w:pPr>
            <w:r>
              <w:rPr>
                <w:rFonts w:ascii="Arial" w:cs="Arial" w:eastAsia="Arial" w:hAnsi="Arial"/>
                <w:sz w:val="18"/>
                <w:szCs w:val="18"/>
                <w:b w:val="1"/>
                <w:bCs w:val="1"/>
                <w:color w:val="002856"/>
              </w:rPr>
              <w:t>Governance Committee</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certain financial disclosures, our financial</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compensation policies and practices, and</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Considers issues associated with the</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and other internal controls, and regularly</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other related employee benefits, and the</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independence of our Board, corporate</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receives reports from management,</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risks associated with each. We believe our</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governance and potential conflicts of interest.</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including the Company’s Chief Information</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compensation policies and principles, in</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Additionally, the Committee oversees our</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Officer and the Company’s Chief Information</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conjunction with our internal oversight of</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environmental, social and governance (ESG)</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Security Officer, on the Company’s</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those policies and principles, reduce the</w:t>
            </w:r>
          </w:p>
        </w:tc>
        <w:tc>
          <w:tcPr>
            <w:tcW w:w="420" w:type="dxa"/>
            <w:vAlign w:val="bottom"/>
          </w:tcPr>
          <w:p>
            <w:pPr>
              <w:spacing w:after="0"/>
              <w:rPr>
                <w:sz w:val="16"/>
                <w:szCs w:val="16"/>
                <w:color w:val="auto"/>
              </w:rPr>
            </w:pPr>
          </w:p>
        </w:tc>
        <w:tc>
          <w:tcPr>
            <w:tcW w:w="33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policies and initiatives.</w:t>
            </w: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cybersecurity risks. Additionally, our Internal</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possibility of imprudent risk-taking. We do not</w:t>
            </w: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Audit Team and independent registered</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believe our compensation policies and</w:t>
            </w: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public accountants regularly identify and</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principles are reasonably likely to have a</w:t>
            </w: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discuss with the Committee risks and related</w:t>
            </w:r>
          </w:p>
        </w:tc>
        <w:tc>
          <w:tcPr>
            <w:tcW w:w="420" w:type="dxa"/>
            <w:vAlign w:val="bottom"/>
          </w:tcPr>
          <w:p>
            <w:pPr>
              <w:spacing w:after="0"/>
              <w:rPr>
                <w:sz w:val="16"/>
                <w:szCs w:val="16"/>
                <w:color w:val="auto"/>
              </w:rPr>
            </w:pPr>
          </w:p>
        </w:tc>
        <w:tc>
          <w:tcPr>
            <w:tcW w:w="3360" w:type="dxa"/>
            <w:vAlign w:val="bottom"/>
            <w:shd w:val="clear" w:color="auto" w:fill="EAEAEA"/>
          </w:tcPr>
          <w:p>
            <w:pPr>
              <w:ind w:left="100"/>
              <w:spacing w:after="0"/>
              <w:rPr>
                <w:sz w:val="20"/>
                <w:szCs w:val="20"/>
                <w:color w:val="auto"/>
              </w:rPr>
            </w:pPr>
            <w:r>
              <w:rPr>
                <w:rFonts w:ascii="Arial" w:cs="Arial" w:eastAsia="Arial" w:hAnsi="Arial"/>
                <w:sz w:val="16"/>
                <w:szCs w:val="16"/>
                <w:color w:val="auto"/>
              </w:rPr>
              <w:t>material adverse effect on the Company.</w:t>
            </w: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mitigation measures that may arise during</w:t>
            </w:r>
          </w:p>
        </w:tc>
        <w:tc>
          <w:tcPr>
            <w:tcW w:w="420" w:type="dxa"/>
            <w:vAlign w:val="bottom"/>
          </w:tcPr>
          <w:p>
            <w:pPr>
              <w:spacing w:after="0"/>
              <w:rPr>
                <w:sz w:val="16"/>
                <w:szCs w:val="16"/>
                <w:color w:val="auto"/>
              </w:rPr>
            </w:pPr>
          </w:p>
        </w:tc>
        <w:tc>
          <w:tcPr>
            <w:tcW w:w="3360" w:type="dxa"/>
            <w:vAlign w:val="bottom"/>
            <w:shd w:val="clear" w:color="auto" w:fill="EAEAEA"/>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their regular reviews of the Company’s</w:t>
            </w:r>
          </w:p>
        </w:tc>
        <w:tc>
          <w:tcPr>
            <w:tcW w:w="420" w:type="dxa"/>
            <w:vAlign w:val="bottom"/>
          </w:tcPr>
          <w:p>
            <w:pPr>
              <w:spacing w:after="0"/>
              <w:rPr>
                <w:sz w:val="16"/>
                <w:szCs w:val="16"/>
                <w:color w:val="auto"/>
              </w:rPr>
            </w:pPr>
          </w:p>
        </w:tc>
        <w:tc>
          <w:tcPr>
            <w:tcW w:w="3360" w:type="dxa"/>
            <w:vAlign w:val="bottom"/>
            <w:shd w:val="clear" w:color="auto" w:fill="EAEAEA"/>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87"/>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financial statements and audit work, as</w:t>
            </w:r>
          </w:p>
        </w:tc>
        <w:tc>
          <w:tcPr>
            <w:tcW w:w="420" w:type="dxa"/>
            <w:vAlign w:val="bottom"/>
          </w:tcPr>
          <w:p>
            <w:pPr>
              <w:spacing w:after="0"/>
              <w:rPr>
                <w:sz w:val="16"/>
                <w:szCs w:val="16"/>
                <w:color w:val="auto"/>
              </w:rPr>
            </w:pPr>
          </w:p>
        </w:tc>
        <w:tc>
          <w:tcPr>
            <w:tcW w:w="3360" w:type="dxa"/>
            <w:vAlign w:val="bottom"/>
            <w:shd w:val="clear" w:color="auto" w:fill="EAEAEA"/>
          </w:tcPr>
          <w:p>
            <w:pPr>
              <w:spacing w:after="0"/>
              <w:rPr>
                <w:sz w:val="16"/>
                <w:szCs w:val="16"/>
                <w:color w:val="auto"/>
              </w:rPr>
            </w:pPr>
          </w:p>
        </w:tc>
        <w:tc>
          <w:tcPr>
            <w:tcW w:w="420" w:type="dxa"/>
            <w:vAlign w:val="bottom"/>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211"/>
        </w:trPr>
        <w:tc>
          <w:tcPr>
            <w:tcW w:w="3360" w:type="dxa"/>
            <w:vAlign w:val="bottom"/>
            <w:shd w:val="clear" w:color="auto" w:fill="EAEAEA"/>
          </w:tcPr>
          <w:p>
            <w:pPr>
              <w:ind w:left="160"/>
              <w:spacing w:after="0"/>
              <w:rPr>
                <w:sz w:val="20"/>
                <w:szCs w:val="20"/>
                <w:color w:val="auto"/>
              </w:rPr>
            </w:pPr>
            <w:r>
              <w:rPr>
                <w:rFonts w:ascii="Arial" w:cs="Arial" w:eastAsia="Arial" w:hAnsi="Arial"/>
                <w:sz w:val="16"/>
                <w:szCs w:val="16"/>
                <w:color w:val="auto"/>
              </w:rPr>
              <w:t>applicable.</w:t>
            </w:r>
          </w:p>
        </w:tc>
        <w:tc>
          <w:tcPr>
            <w:tcW w:w="420" w:type="dxa"/>
            <w:vAlign w:val="bottom"/>
          </w:tcPr>
          <w:p>
            <w:pPr>
              <w:spacing w:after="0"/>
              <w:rPr>
                <w:sz w:val="18"/>
                <w:szCs w:val="18"/>
                <w:color w:val="auto"/>
              </w:rPr>
            </w:pPr>
          </w:p>
        </w:tc>
        <w:tc>
          <w:tcPr>
            <w:tcW w:w="3360" w:type="dxa"/>
            <w:vAlign w:val="bottom"/>
            <w:shd w:val="clear" w:color="auto" w:fill="EAEAEA"/>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shd w:val="clear" w:color="auto" w:fill="EAEAEA"/>
          </w:tcPr>
          <w:p>
            <w:pPr>
              <w:spacing w:after="0"/>
              <w:rPr>
                <w:sz w:val="18"/>
                <w:szCs w:val="18"/>
                <w:color w:val="auto"/>
              </w:rPr>
            </w:pPr>
          </w:p>
        </w:tc>
      </w:tr>
      <w:tr>
        <w:trPr>
          <w:trHeight w:val="217"/>
        </w:trPr>
        <w:tc>
          <w:tcPr>
            <w:tcW w:w="3360" w:type="dxa"/>
            <w:vAlign w:val="bottom"/>
            <w:shd w:val="clear" w:color="auto" w:fill="EAEAEA"/>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EAEAEA"/>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shd w:val="clear" w:color="auto" w:fill="EAEAEA"/>
          </w:tcPr>
          <w:p>
            <w:pPr>
              <w:spacing w:after="0"/>
              <w:rPr>
                <w:sz w:val="18"/>
                <w:szCs w:val="18"/>
                <w:color w:val="auto"/>
              </w:rPr>
            </w:pPr>
          </w:p>
        </w:tc>
      </w:tr>
    </w:tbl>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While each committee is responsible for evaluating certain risks and overseeing the management of such risks, the entire Board of Directors is regularly informed through attendance at committee meetings or through committee reports about such risks.</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We believe the Board’s approach to risk oversight, as described above, helps assess various risks, make informed decisions and proactively evaluate emerging risks for the Company.</w:t>
      </w:r>
    </w:p>
    <w:p>
      <w:pPr>
        <w:spacing w:after="0" w:line="12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Further, our Financial Internal Audit Team is responsible for the performance of the internal audit function and for testing compliance with policies and procedures relating to our financial reporting and control environment. Our Information Technology Audit Team is responsible for testing our systems and data security, as well as information technology controls. Our Insurance Operations Audit Team is responsible for the testing of our operational internal controls. Our Team Resources Audit Team tests compliance with internal guidelines and applicable employment law requirements relating to compensation and human resources and regularly assesses risks and potential risks associated with our operations. These teams report, through our Chief Audit Officer, to our Audit Committee quarterly, unless more frequent reports are necessary. Our Chief Audit Officer reports directly to the Audit Committee and has oversight for the audits of our businesses and related control environment</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Chief Legal Officer is primarily responsible for enterprise risk management for the Company. On a quarterly basis, our Chief Legal Officer presents an enterprise risk management analysis to our Audit Committee, which includes an assessment of overall risk, risk mitigation and elimination priorities, anonymous ethics hotline reports and claims liabilities. Also, our Chief Executive Officer and</w:t>
      </w:r>
    </w:p>
    <w:p>
      <w:pPr>
        <w:spacing w:after="0" w:line="111"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15</w:t>
      </w:r>
    </w:p>
    <w:p>
      <w:pPr>
        <w:sectPr>
          <w:pgSz w:w="11900" w:h="16838" w:orient="portrait"/>
          <w:cols w:equalWidth="0" w:num="1">
            <w:col w:w="10940"/>
          </w:cols>
          <w:pgMar w:left="480" w:top="304" w:right="47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42"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Chief Legal Officer annually deliver a detailed presentation to our Board of Directors about risks associated with our business. This presentation includes extensive discussion, analysis and categorization of risks with respect to the likelihood of occurrence, severity and frequency, as well as consideration of mitigating factors that contribute to lessening the potential adverse consequences associated with such risks (which can never, in any business, be fully eliminated). This presentation is prepared with input from the Company’s senior leaders, as well as our Chief Information Security Officer.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Talent Management and Succession Planning</w:t>
      </w:r>
    </w:p>
    <w:p>
      <w:pPr>
        <w:spacing w:after="0" w:line="10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Chairman of the Board, as well as our Chief Executive Officer and our Chief People Officer, routinely discuss with the Board, generally in executive sessions, the Company’s leadership development and succession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Communication with Directors</w:t>
      </w:r>
    </w:p>
    <w:p>
      <w:pPr>
        <w:spacing w:after="0" w:line="10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Interested parties, including shareholders, may communicate with our Board of Directors, with specified members or committees of our Board, with non-management directors as a group or with the Lead Independent Director, H. Palmer Proctor, Jr., by sending correspondence to our Corporate Secretary at 300 North Beach St., Daytona Beach, Florida 32114, and specifying in such correspondence that the message is for our Board or one or more of its members or committees. Communications will be relayed to directors no later than the next regularly scheduled quarterly meeting of the Board and Board Committees.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color w:val="002856"/>
        </w:rPr>
        <w:t>Corporate Governance Principles; Code of Business Conduct and Ethics; Code of Ethics for Chief Executive Officer and Senior Financial Officers</w:t>
      </w:r>
    </w:p>
    <w:p>
      <w:pPr>
        <w:spacing w:after="0" w:line="3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of Directors has adopted Corporate Governance Principles, a Code of Business Conduct and Ethics and a Code of Ethics for Chief Executive Officer and Senior Financial Officers, the full text of each of which can be found in the “Corporate Governance” section of the “Investor Relations” tab, under “Key Documents” on our website (www.bbinsurance.com), and each of which is available in print to any shareholder who requests a copy by writing to our Corporate Secretary at 300 North Beach St., Daytona Beach, Florida 32114.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Related Party Transactions Policy</w:t>
      </w:r>
    </w:p>
    <w:p>
      <w:pPr>
        <w:spacing w:after="0" w:line="10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Under our written Related Party Transactions Policy, our Chief Legal Officer (or our Chief Executive Officer if the related party is our Chief Legal Officer or an immediate family member of our Chief Legal Officer) will review any potential Related Party Transaction to determine if it is subject to the Policy. If so, the transaction will be referred to the Nominating/Corporate Governance Committee for approval or ratification. If, however, the Chief Legal Officer determines that it is not practical to wait until the next meeting of the Nominating/Corporate Governance Committee, the Chair of the Nominating/Corporate Governance Committee shall have the authority to act on behalf of the Nominating/Corporate Governance Committee on whether to approve or ratify a Related Party Transaction (unless the Chair of the Nominating/Corporate Governance Committee is a Related Party in the Related Party Transaction). In determining whether to approve or ratify a Related Party Transaction, the Nominating/Corporate Governance Committee (or, as applicable, the Chair of the Nominating/Corporate Governance Committee) will consider, among other things, the benefits of the transaction to the Company, the potential effect of entering into the transaction on a director’s independence, the availability of other sources for the products or services, the terms of the transaction and the terms available to unrelated third parties generally. The Nominating/Corporate Governance Committee has authority to administer the Policy and to amend it as appropriate from time to time.</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For purposes of our Policy, “Related Party Transactions” are transactions in which the Company is a participant, the amount involved exceeds $120,000 when all such transactions are aggregated with respect to an individual, and a “related party” had, has or will have a direct or indirect material interest. “Related parties” are our directors (including any nominees for election as directors), our executive officers, any shareholder who beneficially owns more than five percent (5%) of our outstanding common stock, and any firm, corporation, charitable organization or other entity in which any of the persons listed above is an officer, general partner or principal or in a similar position or in which the person has a beneficial ownership interest of ten percent (10%) or more.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Relationships and Transactions with Affiliated Parties</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Zambezi, LLC (“Zambezi”), a Florida limited liability company whose Members and Managers are J. Hyatt Brown and his wife, Cici Brown, owns a Cessna Citation Sovereign aircraft (the “Aircraft”), which the Company leases pursuant to an Aircraft Dry Lease Agreement (the “Agreement”) with Zambezi. In 2023, the Company paid Zambezi $237,092 under the Agreement to lease the Aircraft. Pursuant to the Agreement, subject to availability of the Aircraft and other specified conditions, Mr. Hyatt Brown has the right to use the Aircraft for personal use, subject to reimbursement paid to the Company at the maximum rate permitted by law. Mr. Hyatt Brown paid $171,633 to the Company for such personal use of the Aircraft in 2023. The Company and Zambezi also are party to an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16</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21" w:name="page22"/>
    <w:bookmarkEnd w:id="21"/>
    <w:p>
      <w:pPr>
        <w:ind w:left="73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Airside Sub-Lease Agreement and Services Agreement, pursuant to which Zambezi leases hangar space from the Company and pursuant to which pilots and mechanics employed by the Company are available to pilot and service the Aircraft as provided therein. In 2023, Zambezi paid the Company $19,937 for the lease of hangar space for the Aircraft and $334,716 for the services of pilots and mechanics employed by the Company and for parts, equipment and supplies related to the Aircraft’s maintenance and operation.</w:t>
      </w:r>
    </w:p>
    <w:p>
      <w:pPr>
        <w:spacing w:after="0" w:line="13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owners of The Hays Financial Group, Inc. (“HFG”), a Minnesota corporation and registered investment advisor, include Brian Whinnery, who is the son-in-law of Mr. James Hays, and who individually owns approximately 15% of the outstanding stock of HFG, and The HG Group, Inc., f/k/a The Hays Group, Inc., a Minnesota corporation (“THG”), which owns approximately 65% of the outstanding stock of HFG and of which Mr. James Hays individually owns approximately 21% of the outstanding stock. During 2023, HFG paid Hays Companies, Inc., a wholly owned subsidiary of the Company (“HCI”), approximately $788,632 in connection with business referrals made from HCI to HFG.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During 2023, THG paid to HCI approximately $118,000 in rent payments for office space used by HFG.</w:t>
      </w:r>
    </w:p>
    <w:p>
      <w:pPr>
        <w:spacing w:after="0" w:line="17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Jeffrey L. Hays, who is the son of Mr. James Hays, was the majority owner of RLA Insurance Intermediaries, LLC, a wholesale insurance brokerage firm headquartered in Boston, Massachusetts (“RLA”). Effective March 1, 2020, Peachtree Special Risk Brokers, LLC, a wholly owned subsidiary of the Company (“Peachtree”), acquired substantially all of the assets, and assumed certain liabilities, of RLA, pursuant to that certain asset purchase agreement (the “Asset Purchase Agreement”), by and among the Company, Peachtree, RLA and RLA’s individual owners. Pursuant to the Asset Purchase Agreement, Peachtree paid to RLA an initial purchase price of $50,725,000 at the closing of the transaction, and an additional amount of $22,500,000 in April 2023, which additional amount was based on the performance of the acquired assets during the three-year period following the effective date of the transaction. The Asset Purchase Agreement includes certain five-year non-competition and non-solicitation covenants applicable to Mr. Jeffrey Hays.</w:t>
      </w:r>
    </w:p>
    <w:p>
      <w:pPr>
        <w:spacing w:after="0" w:line="14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addition, effective as of March 1, 2020, Mr. Jeffrey Hays became employed by Peachtree as an Executive Vice President and office leader of our new “RLA Insurance Intermediaries” office, and he entered into an Employment Agreement with Peachtree that provides for payment of the following compensation for a three-year term of employment: (i) an annual base salary of $400,000, (ii) an annual bonus based upon the performance of the RLA Insurance Intermediaries office and (iii) additional commissions based upon the growth of his individual book of business. During the initial three-year employment term, Peachtree may only terminate the Employment Agreement “with cause.” Mr. Jeffrey Hays’ Employment Agreement includes a prohibition on directly or indirectly soliciting or servicing our customers or soliciting our employees to leave their employment with us. Following the conclusion of the initial three-year employment term, the terms of the employment agreement continued in effect, except that (i) the agreement may now be terminated by either party at any time, with or without cause or advance notice, and (ii) Mr. Jeffrey’s Hays’ annual compensation structure is as mutually agreed with Peachtree. For 2023, Mr. Jeffrey Hays received compensation of $541,101, consisting of $527,901 for services rendered in 2023 and $13,200 in matching contributions made by the Company to his 401(k) Plan account.</w:t>
      </w:r>
    </w:p>
    <w:p>
      <w:pPr>
        <w:spacing w:after="0" w:line="15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Andrew M. Walker, who is the son of Chris L. Walker, is employed by a subsidiary of the Company as an underwriter in the Company’s San Diego, California office and received compensation of $282,285, consisting of $271,630 for services rendered in 2023, $567 in cash dividends paid on restricted stock granted under our 2010 Stock Incentive Plan (“2010 SIP”) and our 2019 Stock Incentive Plan (“2019 SIP”) for which conditions of vesting other than time-based conditions have been satisfied, and $10,088 in matching contributions made by the Company to his 401(k) Plan account. In addition,</w:t>
      </w:r>
    </w:p>
    <w:p>
      <w:pPr>
        <w:spacing w:after="0" w:line="1" w:lineRule="exact"/>
        <w:rPr>
          <w:sz w:val="20"/>
          <w:szCs w:val="20"/>
          <w:color w:val="auto"/>
        </w:rPr>
      </w:pPr>
    </w:p>
    <w:p>
      <w:pPr>
        <w:ind w:right="680"/>
        <w:spacing w:after="0" w:line="258" w:lineRule="auto"/>
        <w:rPr>
          <w:sz w:val="20"/>
          <w:szCs w:val="20"/>
          <w:color w:val="auto"/>
        </w:rPr>
      </w:pPr>
      <w:r>
        <w:rPr>
          <w:rFonts w:ascii="Arial" w:cs="Arial" w:eastAsia="Arial" w:hAnsi="Arial"/>
          <w:sz w:val="16"/>
          <w:szCs w:val="16"/>
          <w:color w:val="auto"/>
        </w:rPr>
        <w:t>Mr. Andrew Walker received grants under our 2019 SIP in February 2023 and February 2024 with grant date fair values of $14,995 and $14,967, respectively.</w:t>
      </w:r>
    </w:p>
    <w:p>
      <w:pPr>
        <w:spacing w:after="0" w:line="13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Alexander J. Walker, who is the son of Chris L. Walker, is employed by a subsidiary of the Company as an underwriter in the Company’s Alpharetta, Georgia office and received compensation of $208,936, consisting of $201,130 for services rendered in 2023, $58 in cash dividends paid on restricted stock granted under our 2019 SIP for which conditions of vesting other than time-based conditions have been satisfied, and $7,748 in matching contributions made by the Company to his 401(k) Plan account. In addition, Mr. Alexander Walker received grants under our 2019 SIP in February 2023 and February 2024 with grant date fair values of $19,954 and $19,928,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Board Structure and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Board Leadership</w:t>
      </w:r>
    </w:p>
    <w:p>
      <w:pPr>
        <w:spacing w:after="0" w:line="105"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Board has the flexibility to determine whether the roles of Chairman of the Board and Chief Executive Officer should be separated or combined. The Board makes this decision based on its evaluation of the circumstances and the specific needs of the Company. Mr. Hyatt Brown, who retired from the position of Chief Executive Officer in 2009, continues to serve as Chairman of the Board, while Mr. Powell Brown serves as Chief Executive Officer.</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17</w:t>
      </w:r>
    </w:p>
    <w:p>
      <w:pPr>
        <w:sectPr>
          <w:pgSz w:w="11900" w:h="16838" w:orient="portrait"/>
          <w:cols w:equalWidth="0" w:num="1">
            <w:col w:w="10920"/>
          </w:cols>
          <w:pgMar w:left="480" w:top="304" w:right="49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believe our leadership structure is desirable because it allows Mr. Powell Brown to focus his efforts on running our business and managing the Company in the best interests of our shareholders while we continue to realize the benefits of Mr. Hyatt Brown’s extensive business and industry experience, knowledge of our company, current and past service on boards of other publicly traded companies and proven leadership ability.</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Board conducts executive sessions of non-management directors in connection with each regularly scheduled meeting of the Board. Our Lead Independent Director, H. Palmer Proctor, Jr., presides over these executive sessions.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18</w:t>
      </w:r>
      <w:r>
        <w:rPr>
          <w:rFonts w:ascii="Arial" w:cs="Arial" w:eastAsia="Arial" w:hAnsi="Arial"/>
          <w:sz w:val="14"/>
          <w:szCs w:val="14"/>
          <w:color w:val="4C4C4C"/>
        </w:rPr>
        <w:t xml:space="preserve">  |  BROWN &amp; BROWN, INC.</w:t>
      </w:r>
    </w:p>
    <w:p>
      <w:pPr>
        <w:sectPr>
          <w:pgSz w:w="11900" w:h="16838" w:orient="portrait"/>
          <w:cols w:equalWidth="0" w:num="1">
            <w:col w:w="10420"/>
          </w:cols>
          <w:pgMar w:left="480" w:top="304" w:right="99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Board and Board Committee Matters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of Directors has an Audit Committee, Compensation Committee and Nominating/Corporate Governance Committee. The charters of each of these Board committees are available in the “Corporate Governance” section of the “Investor Relations” tab, under “Key Documents” on our website (www.bbinsurance.com) and are also available in print to any shareholder who requests a copy from the Corporate Secretary at 300 North Beach St., Daytona Beach, Florida 32114. Our committee meetings are generally attended by all Board members, subject to the availability of each director, which we believe enables our Board to function in a more collaborative, transparent and effective manner, and which we believe promotes collegiality among the Board and enhances our directors’ knowledge about each area of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002856"/>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929755" cy="1910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191071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Members</w:t>
      </w:r>
    </w:p>
    <w:p>
      <w:pPr>
        <w:spacing w:after="0" w:line="19" w:lineRule="exact"/>
        <w:rPr>
          <w:sz w:val="20"/>
          <w:szCs w:val="20"/>
          <w:color w:val="auto"/>
        </w:rPr>
      </w:pPr>
    </w:p>
    <w:p>
      <w:pPr>
        <w:ind w:left="160" w:right="400"/>
        <w:spacing w:after="0" w:line="247" w:lineRule="auto"/>
        <w:rPr>
          <w:sz w:val="20"/>
          <w:szCs w:val="20"/>
          <w:color w:val="auto"/>
        </w:rPr>
      </w:pPr>
      <w:r>
        <w:rPr>
          <w:rFonts w:ascii="Arial" w:cs="Arial" w:eastAsia="Arial" w:hAnsi="Arial"/>
          <w:sz w:val="16"/>
          <w:szCs w:val="16"/>
          <w:b w:val="1"/>
          <w:bCs w:val="1"/>
          <w:color w:val="auto"/>
        </w:rPr>
        <w:t xml:space="preserve">James S. Hunt (Chair) </w:t>
      </w:r>
      <w:r>
        <w:rPr>
          <w:rFonts w:ascii="Arial" w:cs="Arial" w:eastAsia="Arial" w:hAnsi="Arial"/>
          <w:sz w:val="16"/>
          <w:szCs w:val="16"/>
          <w:color w:val="auto"/>
        </w:rPr>
        <w:t>Theodore J. Hoepner Paul J. Krump Bronislaw E. Masojada Jaymin B. Patel</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Meetings Held in 2023:</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80"/>
          <w:szCs w:val="80"/>
          <w:color w:val="002856"/>
        </w:rPr>
        <w:t>6</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Audit Committee is composed of independent directors as defined in the NYSE listed company manual and includes three audit committee financial experts, Theodore J. Hoepner, James S. Hunt and Jaymin B. Patel, among its members. The duties of the Audit Committee are to recommend to the Board of Directors the selection of independent registered public accountants, to meet with our independent registered public accountants to review and discuss the scope and results of the annual audit, and to consider various accounting, auditing and technology matters related to the Company, including our systems of internal controls and financial management practices.</w:t>
      </w:r>
    </w:p>
    <w:p>
      <w:pPr>
        <w:spacing w:after="0" w:line="1286" w:lineRule="exact"/>
        <w:rPr>
          <w:sz w:val="20"/>
          <w:szCs w:val="20"/>
          <w:color w:val="auto"/>
        </w:rPr>
      </w:pPr>
    </w:p>
    <w:p>
      <w:pPr>
        <w:sectPr>
          <w:pgSz w:w="11900" w:h="16838" w:orient="portrait"/>
          <w:cols w:equalWidth="0" w:num="2">
            <w:col w:w="2240" w:space="720"/>
            <w:col w:w="7960"/>
          </w:cols>
          <w:pgMar w:left="480" w:top="304" w:right="49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26"/>
          <w:szCs w:val="26"/>
          <w:b w:val="1"/>
          <w:bCs w:val="1"/>
          <w:color w:val="002856"/>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20294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202946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type w:val="continuous"/>
        </w:sect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Members</w:t>
      </w:r>
    </w:p>
    <w:p>
      <w:pPr>
        <w:spacing w:after="0" w:line="19" w:lineRule="exact"/>
        <w:rPr>
          <w:sz w:val="20"/>
          <w:szCs w:val="20"/>
          <w:color w:val="auto"/>
        </w:rPr>
      </w:pPr>
    </w:p>
    <w:p>
      <w:pPr>
        <w:ind w:left="160" w:right="80"/>
        <w:spacing w:after="0" w:line="244" w:lineRule="auto"/>
        <w:rPr>
          <w:sz w:val="20"/>
          <w:szCs w:val="20"/>
          <w:color w:val="auto"/>
        </w:rPr>
      </w:pPr>
      <w:r>
        <w:rPr>
          <w:rFonts w:ascii="Arial" w:cs="Arial" w:eastAsia="Arial" w:hAnsi="Arial"/>
          <w:sz w:val="16"/>
          <w:szCs w:val="16"/>
          <w:b w:val="1"/>
          <w:bCs w:val="1"/>
          <w:color w:val="auto"/>
        </w:rPr>
        <w:t>Lawrence L. Gellerstedt III (Chair)</w:t>
      </w:r>
    </w:p>
    <w:p>
      <w:pPr>
        <w:ind w:left="160" w:right="440"/>
        <w:spacing w:after="0" w:line="249" w:lineRule="auto"/>
        <w:rPr>
          <w:sz w:val="20"/>
          <w:szCs w:val="20"/>
          <w:color w:val="auto"/>
        </w:rPr>
      </w:pPr>
      <w:r>
        <w:rPr>
          <w:rFonts w:ascii="Arial" w:cs="Arial" w:eastAsia="Arial" w:hAnsi="Arial"/>
          <w:sz w:val="16"/>
          <w:szCs w:val="16"/>
          <w:color w:val="auto"/>
        </w:rPr>
        <w:t>Toni Jennings Bronislaw E. Masojada Wendell S. Reilly Chilton D. Varner</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Meetings Held in 2023:</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80"/>
          <w:szCs w:val="80"/>
          <w:color w:val="002856"/>
        </w:rPr>
        <w:t>6</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Each member of the Compensation Committee is independent as defined in the NYSE listed company manual. The Compensation Committee sets the compensation for our Chief Executive Officer and reviews and approves the compensation for our other executive officers, including the Named Executive Officers. See “Executive Compensation – Compensation Committee Report” and “Compensation Discussion and Analysis.” The Compensation Committee also reviews, makes recommendations with respect to, and approves our existing and proposed compensation plans and is responsible for administering our 1990 Employee Stock Purchase Plan (“ESPP”), our 2008 Sharesave Plan, our Performance Stock Plan (“PSP”), which was suspended in April 2010, our 2000 Incentive Stock Option Plan, which expired December 31, 2008, our 2010 SIP, which was suspended in May 2019, and our 2019 SIP. The Compensation Committee is authorized by its charter to form and delegate authority to subcommittees when appropriate.</w:t>
      </w:r>
    </w:p>
    <w:p>
      <w:pPr>
        <w:spacing w:after="0" w:line="914" w:lineRule="exact"/>
        <w:rPr>
          <w:sz w:val="20"/>
          <w:szCs w:val="20"/>
          <w:color w:val="auto"/>
        </w:rPr>
      </w:pPr>
    </w:p>
    <w:p>
      <w:pPr>
        <w:sectPr>
          <w:pgSz w:w="11900" w:h="16838" w:orient="portrait"/>
          <w:cols w:equalWidth="0" w:num="2">
            <w:col w:w="2240" w:space="720"/>
            <w:col w:w="7960"/>
          </w:cols>
          <w:pgMar w:left="480" w:top="304" w:right="49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26"/>
          <w:szCs w:val="26"/>
          <w:b w:val="1"/>
          <w:bCs w:val="1"/>
          <w:color w:val="002856"/>
        </w:rPr>
        <w:t>NOMINATING/CORPORATE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6929755" cy="1910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191071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type w:val="continuous"/>
        </w:sect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Members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H. Palmer Proctor, Jr. (Chair)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Theodore J. Hoepner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Toni Jennings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Wendell S. Reilly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Chilton D. Varner</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Meetings Held in 2023:</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80"/>
          <w:szCs w:val="80"/>
          <w:color w:val="002856"/>
        </w:rPr>
        <w:t>5</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Each member of the Nominating/Corporate Governance Committee is independent as defined in the NYSE listed company manual. This Committee’s duties include responsibilities associated with corporate governance, as well as the nomination of persons to stand for election to the Board at our Annual Meeting of Shareholders and recommendation of nominees to the Board of Directors to fill vacancies on, or as additions to, the Board.</w:t>
      </w:r>
    </w:p>
    <w:p>
      <w:pPr>
        <w:spacing w:after="0" w:line="1843" w:lineRule="exact"/>
        <w:rPr>
          <w:sz w:val="20"/>
          <w:szCs w:val="20"/>
          <w:color w:val="auto"/>
        </w:rPr>
      </w:pPr>
    </w:p>
    <w:p>
      <w:pPr>
        <w:sectPr>
          <w:pgSz w:w="11900" w:h="16838" w:orient="portrait"/>
          <w:cols w:equalWidth="0" w:num="2">
            <w:col w:w="2340" w:space="620"/>
            <w:col w:w="7960"/>
          </w:cols>
          <w:pgMar w:left="480" w:top="304" w:right="499" w:bottom="1440" w:gutter="0" w:footer="0" w:header="0"/>
          <w:type w:val="continuous"/>
        </w:sectPr>
      </w:pPr>
    </w:p>
    <w:p>
      <w:pPr>
        <w:spacing w:after="0" w:line="239"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19</w:t>
      </w:r>
    </w:p>
    <w:p>
      <w:pPr>
        <w:sectPr>
          <w:pgSz w:w="11900" w:h="16838" w:orient="portrait"/>
          <w:cols w:equalWidth="0" w:num="1">
            <w:col w:w="10920"/>
          </w:cols>
          <w:pgMar w:left="480" w:top="304" w:right="4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Tenure and Board Refreshment</w:t>
      </w:r>
    </w:p>
    <w:p>
      <w:pPr>
        <w:spacing w:after="0" w:line="1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Nominating/Corporate Governance Committee regularly considers the composition of the Board. However, we have not established a mandatory retirement age or other term limits because we believe longer-tenured directors can bring important experience and institutional knowledge that are critical to the success of our Board and the long-term interests of our shareholders. Consideration is given to rotating committee members, committee chairs and the Lead Independent Director position generally every three to five years because we believe we benefit from having a level of consistency in our committee compositions and committee chairs, but that fresh perspectives likewise facilitate enhanced Board and committee performance. Our Nominating/Corporate Governance Committee evaluates the performance of each incumbent director at least annually before recommending such director’s nomination for an additional term. In addition, any director who has a job change must submit a letter of resignation resigning from the Board. The submission of a letter of resignation provides an opportunity for the Board to review the continued appropriateness of the director’s membership on the Board under the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Board Evaluations</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Nominating/Corporate Governance Committee conducts an annual evaluation of the Board and its committees, as well as the individual performance of each director. As part of this process, all directors complete detailed confidential questionnaires to provide feedback on the effectiveness of the Board, the committees and the performance of individual directors. The results of the questionnaires are compiled anonymously by the Chair of the Nominating/Corporate Governance Committee in the form of summaries, and the feedback is reviewed and discussed by the Nominating/ Corporate Governance Committee and subsequently reported to the full Board. We believe these assessments allow us to continually improve the effectiveness of our Board and committee meetings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Director Orientation and Continuing Education</w:t>
      </w:r>
    </w:p>
    <w:p>
      <w:pPr>
        <w:spacing w:after="0" w:line="10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New directors participate in a director orientation program when they join the Company’s Board that familiarize the directors with the Company and their role. The Company offers, at its own expense, continuing education programs to assist the directors in maintaining skills and knowledge necessary to perform their duties.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Meetings and Attendance</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During 2023, our Board of Directors held eight meetings. Each incumbent director serving during 2023 attended at least 75% of the total number of Board meetings, and 75% of the total number of meetings of committees of which such director is or was a member. The Board expects, but does not require, directors, all of whom are director nominees, to attend the Annual Meeting of Shareholders. All then-current members of the Board attended the 2023 Annual Meeting of Shareholders. HB at 88%</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Shareholder Engagement</w:t>
      </w:r>
    </w:p>
    <w:p>
      <w:pPr>
        <w:spacing w:after="0" w:line="12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regularly meet with investors, prospective investors and investment analysts on a broad range of topics, including our business and capital allocation strategy, operating model, financial performance and technology initiatives. We also routinely engage with shareholders after each quarterly earnings call and material news announcement, as well as in connection with conferences and other events and on an ad-hoc basis. We view these conversations, which typically include our Chief Financial Officer, and may also include our Chief Executive Officer and/or the leaders of our operating segments, as opportunities for us to receive and discuss valuable insights into our shareholders’ priorities and perspectives throughout the year.</w:t>
      </w:r>
    </w:p>
    <w:p>
      <w:pPr>
        <w:spacing w:after="0" w:line="180" w:lineRule="exact"/>
        <w:rPr>
          <w:sz w:val="20"/>
          <w:szCs w:val="20"/>
          <w:color w:val="auto"/>
        </w:rPr>
      </w:pPr>
    </w:p>
    <w:p>
      <w:pPr>
        <w:ind w:right="660"/>
        <w:spacing w:after="0" w:line="279" w:lineRule="auto"/>
        <w:rPr>
          <w:sz w:val="20"/>
          <w:szCs w:val="20"/>
          <w:color w:val="auto"/>
        </w:rPr>
      </w:pPr>
      <w:r>
        <w:rPr>
          <w:rFonts w:ascii="Arial" w:cs="Arial" w:eastAsia="Arial" w:hAnsi="Arial"/>
          <w:sz w:val="16"/>
          <w:szCs w:val="16"/>
          <w:color w:val="auto"/>
        </w:rPr>
        <w:t>We also engage with shareholders on corporate governance matters and have implemented various enhancements to our corporate governance practices and disclosures based on feedback from investors.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Director Compensation</w:t>
      </w:r>
    </w:p>
    <w:p>
      <w:pPr>
        <w:spacing w:after="0" w:line="124"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Our Board of Directors reviews the compensation of our non-employee directors at least every two years or as such other time as circumstances may warrant.</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non-employee directors are paid an annual retainer of $100,000, payable in quarterly installments. In addition, the Chairs of the Acquisition, Audit and Compensation Committees are each paid a $20,000 retainer, the Chair of the Nominating/Corporate Governance receives a $15,000 retainer and the Company’s Lead Independent Director receives a $15,000 retainer, in each case for services associated with those positions. All directors receive reimbursement of reasonable out-of-pocket expenses incurred in connection with meetings of the Board.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20</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25" w:name="page26"/>
    <w:bookmarkEnd w:id="25"/>
    <w:p>
      <w:pPr>
        <w:ind w:left="73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42"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Also, each director who is not an employee of the Company receives a grant of fully vested shares valued at $120,000 of our common stock under our 2019 SIP.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 director who is an employee receives separate compensation for services rendered as a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2023 Director Compensation</w:t>
      </w:r>
    </w:p>
    <w:p>
      <w:pPr>
        <w:spacing w:after="0" w:line="105" w:lineRule="exact"/>
        <w:rPr>
          <w:sz w:val="20"/>
          <w:szCs w:val="20"/>
          <w:color w:val="auto"/>
        </w:rPr>
      </w:pPr>
    </w:p>
    <w:p>
      <w:pPr>
        <w:ind w:right="780"/>
        <w:spacing w:after="0" w:line="279" w:lineRule="auto"/>
        <w:rPr>
          <w:sz w:val="20"/>
          <w:szCs w:val="20"/>
          <w:color w:val="auto"/>
        </w:rPr>
      </w:pPr>
      <w:r>
        <w:rPr>
          <w:rFonts w:ascii="Arial" w:cs="Arial" w:eastAsia="Arial" w:hAnsi="Arial"/>
          <w:sz w:val="16"/>
          <w:szCs w:val="16"/>
          <w:color w:val="auto"/>
        </w:rPr>
        <w:t>In March 2023, Frederic W. Cook &amp; Co., Inc. (“FW Cook”), an independent outside compensation consulting firm retained by the Compensation Committee, conducted a comprehensive analysis of the Company’s non-employee director compensation, as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SURVEY COMPARISON</w:t>
      </w:r>
    </w:p>
    <w:p>
      <w:pPr>
        <w:spacing w:after="0" w:line="11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As part of FW Cook’s analysis, the Compensation Committee reviewed and considered data from the </w:t>
      </w:r>
      <w:r>
        <w:rPr>
          <w:rFonts w:ascii="Arial" w:cs="Arial" w:eastAsia="Arial" w:hAnsi="Arial"/>
          <w:sz w:val="16"/>
          <w:szCs w:val="16"/>
          <w:i w:val="1"/>
          <w:iCs w:val="1"/>
          <w:color w:val="auto"/>
        </w:rPr>
        <w:t>2021 – 2022 NACD Director Compensation Report</w:t>
      </w:r>
      <w:r>
        <w:rPr>
          <w:rFonts w:ascii="Arial" w:cs="Arial" w:eastAsia="Arial" w:hAnsi="Arial"/>
          <w:sz w:val="16"/>
          <w:szCs w:val="16"/>
          <w:color w:val="auto"/>
        </w:rPr>
        <w:t>, which consisted of data from general industry companies with a blend of medium and large company data with annual revenues between $2.5 and $10 billion.</w:t>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PEER COMPARISON GROUP</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FW Cook also reviewed the compensation practices of seven publicly traded insurance carriers and several other companies in the capital markets industry (the “Peer Comparison Group”). The Peer Comparison Group, which did not change in 2023 and which FW Cook also uses for conducting analyses of our pay practices and executive compensation levels, was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720"/>
        <w:spacing w:after="0" w:line="251" w:lineRule="auto"/>
        <w:rPr>
          <w:sz w:val="20"/>
          <w:szCs w:val="20"/>
          <w:color w:val="auto"/>
        </w:rPr>
      </w:pPr>
      <w:r>
        <w:rPr>
          <w:rFonts w:ascii="Arial" w:cs="Arial" w:eastAsia="Arial" w:hAnsi="Arial"/>
          <w:sz w:val="16"/>
          <w:szCs w:val="16"/>
          <w:b w:val="1"/>
          <w:bCs w:val="1"/>
          <w:color w:val="002856"/>
        </w:rPr>
        <w:t xml:space="preserve">At the time of analysis, our total </w:t>
      </w:r>
      <w:r>
        <w:rPr>
          <w:rFonts w:ascii="Arial" w:cs="Arial" w:eastAsia="Arial" w:hAnsi="Arial"/>
          <w:sz w:val="16"/>
          <w:szCs w:val="16"/>
          <w:color w:val="000000"/>
        </w:rPr>
        <w:t xml:space="preserve"> </w:t>
      </w:r>
      <w:r>
        <w:rPr>
          <w:rFonts w:ascii="Arial" w:cs="Arial" w:eastAsia="Arial" w:hAnsi="Arial"/>
          <w:sz w:val="16"/>
          <w:szCs w:val="16"/>
          <w:b w:val="1"/>
          <w:bCs w:val="1"/>
          <w:color w:val="002856"/>
        </w:rPr>
        <w:t xml:space="preserve"> revenue was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-234950</wp:posOffset>
            </wp:positionV>
            <wp:extent cx="2488565" cy="781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8565" cy="781050"/>
                    </a:xfrm>
                    <a:prstGeom prst="rect">
                      <a:avLst/>
                    </a:prstGeom>
                    <a:noFill/>
                  </pic:spPr>
                </pic:pic>
              </a:graphicData>
            </a:graphic>
          </wp:anchor>
        </w:drawing>
      </w:r>
    </w:p>
    <w:p>
      <w:pPr>
        <w:ind w:right="1060"/>
        <w:spacing w:after="0" w:line="220" w:lineRule="auto"/>
        <w:rPr>
          <w:sz w:val="20"/>
          <w:szCs w:val="20"/>
          <w:color w:val="auto"/>
        </w:rPr>
      </w:pPr>
      <w:r>
        <w:rPr>
          <w:rFonts w:ascii="Arial" w:cs="Arial" w:eastAsia="Arial" w:hAnsi="Arial"/>
          <w:sz w:val="20"/>
          <w:szCs w:val="20"/>
          <w:b w:val="1"/>
          <w:bCs w:val="1"/>
          <w:color w:val="1D4F90"/>
        </w:rPr>
        <w:t>46th percentile</w:t>
      </w:r>
      <w:r>
        <w:rPr>
          <w:rFonts w:ascii="Arial" w:cs="Arial" w:eastAsia="Arial" w:hAnsi="Arial"/>
          <w:sz w:val="16"/>
          <w:szCs w:val="16"/>
          <w:b w:val="1"/>
          <w:bCs w:val="1"/>
          <w:color w:val="002856"/>
        </w:rPr>
        <w:t>, and our</w:t>
      </w:r>
      <w:r>
        <w:rPr>
          <w:rFonts w:ascii="Arial" w:cs="Arial" w:eastAsia="Arial" w:hAnsi="Arial"/>
          <w:sz w:val="20"/>
          <w:szCs w:val="20"/>
          <w:b w:val="1"/>
          <w:bCs w:val="1"/>
          <w:color w:val="1D4F90"/>
        </w:rPr>
        <w:t xml:space="preserve"> </w:t>
      </w:r>
      <w:r>
        <w:rPr>
          <w:rFonts w:ascii="Arial" w:cs="Arial" w:eastAsia="Arial" w:hAnsi="Arial"/>
          <w:sz w:val="16"/>
          <w:szCs w:val="16"/>
          <w:b w:val="1"/>
          <w:bCs w:val="1"/>
          <w:color w:val="002856"/>
        </w:rPr>
        <w:t xml:space="preserve">market capitalization was at the </w:t>
      </w:r>
      <w:r>
        <w:rPr>
          <w:rFonts w:ascii="Arial" w:cs="Arial" w:eastAsia="Arial" w:hAnsi="Arial"/>
          <w:sz w:val="19"/>
          <w:szCs w:val="19"/>
          <w:b w:val="1"/>
          <w:bCs w:val="1"/>
          <w:color w:val="1D4F90"/>
        </w:rPr>
        <w:t xml:space="preserve">56th percentile </w:t>
      </w:r>
      <w:r>
        <w:rPr>
          <w:rFonts w:ascii="Arial" w:cs="Arial" w:eastAsia="Arial" w:hAnsi="Arial"/>
          <w:sz w:val="16"/>
          <w:szCs w:val="16"/>
          <w:b w:val="1"/>
          <w:bCs w:val="1"/>
          <w:color w:val="002856"/>
        </w:rPr>
        <w:t>of the peer</w:t>
      </w:r>
      <w:r>
        <w:rPr>
          <w:rFonts w:ascii="Arial" w:cs="Arial" w:eastAsia="Arial" w:hAnsi="Arial"/>
          <w:sz w:val="19"/>
          <w:szCs w:val="19"/>
          <w:b w:val="1"/>
          <w:bCs w:val="1"/>
          <w:color w:val="1D4F90"/>
        </w:rPr>
        <w:t xml:space="preserve"> </w:t>
      </w:r>
      <w:r>
        <w:rPr>
          <w:rFonts w:ascii="Arial" w:cs="Arial" w:eastAsia="Arial" w:hAnsi="Arial"/>
          <w:sz w:val="16"/>
          <w:szCs w:val="16"/>
          <w:b w:val="1"/>
          <w:bCs w:val="1"/>
          <w:color w:val="002856"/>
        </w:rPr>
        <w:t>comparison group.</w:t>
      </w:r>
    </w:p>
    <w:p>
      <w:pPr>
        <w:spacing w:after="0" w:line="200" w:lineRule="exact"/>
        <w:rPr>
          <w:sz w:val="20"/>
          <w:szCs w:val="20"/>
          <w:color w:val="auto"/>
        </w:rPr>
      </w:pPr>
    </w:p>
    <w:p>
      <w:pPr>
        <w:sectPr>
          <w:pgSz w:w="11900" w:h="16838" w:orient="portrait"/>
          <w:cols w:equalWidth="0" w:num="2">
            <w:col w:w="6860" w:space="580"/>
            <w:col w:w="3480"/>
          </w:cols>
          <w:pgMar w:left="480" w:top="304" w:right="499" w:bottom="1440" w:gutter="0" w:footer="0" w:header="0"/>
          <w:type w:val="continuous"/>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408"/>
        </w:trPr>
        <w:tc>
          <w:tcPr>
            <w:tcW w:w="780" w:type="dxa"/>
            <w:vAlign w:val="bottom"/>
            <w:tcBorders>
              <w:bottom w:val="single" w:sz="8" w:color="EAEAEA"/>
            </w:tcBorders>
            <w:shd w:val="clear" w:color="auto" w:fill="EAEAEA"/>
          </w:tcPr>
          <w:p>
            <w:pPr>
              <w:spacing w:after="0"/>
              <w:rPr>
                <w:sz w:val="24"/>
                <w:szCs w:val="24"/>
                <w:color w:val="auto"/>
              </w:rPr>
            </w:pPr>
          </w:p>
        </w:tc>
        <w:tc>
          <w:tcPr>
            <w:tcW w:w="4680" w:type="dxa"/>
            <w:vAlign w:val="bottom"/>
            <w:tcBorders>
              <w:bottom w:val="single" w:sz="8" w:color="C6093B"/>
            </w:tcBorders>
            <w:shd w:val="clear" w:color="auto" w:fill="EAEAEA"/>
          </w:tcPr>
          <w:p>
            <w:pPr>
              <w:jc w:val="center"/>
              <w:ind w:left="60"/>
              <w:spacing w:after="0"/>
              <w:rPr>
                <w:sz w:val="20"/>
                <w:szCs w:val="20"/>
                <w:color w:val="auto"/>
              </w:rPr>
            </w:pPr>
            <w:r>
              <w:rPr>
                <w:rFonts w:ascii="Arial" w:cs="Arial" w:eastAsia="Arial" w:hAnsi="Arial"/>
                <w:sz w:val="16"/>
                <w:szCs w:val="16"/>
                <w:b w:val="1"/>
                <w:bCs w:val="1"/>
                <w:color w:val="002856"/>
              </w:rPr>
              <w:t>Peer Company</w:t>
            </w:r>
          </w:p>
        </w:tc>
        <w:tc>
          <w:tcPr>
            <w:tcW w:w="4600" w:type="dxa"/>
            <w:vAlign w:val="bottom"/>
            <w:tcBorders>
              <w:bottom w:val="single" w:sz="8" w:color="C6093B"/>
            </w:tcBorders>
            <w:shd w:val="clear" w:color="auto" w:fill="EAEAEA"/>
          </w:tcPr>
          <w:p>
            <w:pPr>
              <w:jc w:val="center"/>
              <w:ind w:left="40"/>
              <w:spacing w:after="0"/>
              <w:rPr>
                <w:sz w:val="20"/>
                <w:szCs w:val="20"/>
                <w:color w:val="auto"/>
              </w:rPr>
            </w:pPr>
            <w:r>
              <w:rPr>
                <w:rFonts w:ascii="Arial" w:cs="Arial" w:eastAsia="Arial" w:hAnsi="Arial"/>
                <w:sz w:val="16"/>
                <w:szCs w:val="16"/>
                <w:b w:val="1"/>
                <w:bCs w:val="1"/>
                <w:color w:val="002856"/>
              </w:rPr>
              <w:t>Business Focus</w:t>
            </w:r>
          </w:p>
        </w:tc>
        <w:tc>
          <w:tcPr>
            <w:tcW w:w="860" w:type="dxa"/>
            <w:vAlign w:val="bottom"/>
            <w:tcBorders>
              <w:bottom w:val="single" w:sz="8" w:color="EAEAEA"/>
            </w:tcBorders>
            <w:shd w:val="clear" w:color="auto" w:fill="EAEAEA"/>
          </w:tcPr>
          <w:p>
            <w:pPr>
              <w:spacing w:after="0"/>
              <w:rPr>
                <w:sz w:val="24"/>
                <w:szCs w:val="24"/>
                <w:color w:val="auto"/>
              </w:rPr>
            </w:pPr>
          </w:p>
        </w:tc>
      </w:tr>
      <w:tr>
        <w:trPr>
          <w:trHeight w:val="261"/>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Arch Capital Group Ltd.</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w w:val="98"/>
              </w:rPr>
              <w:t>Aon plc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w w:val="99"/>
              </w:rPr>
              <w:t>Insurance Intermediary</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80"/>
              <w:spacing w:after="0"/>
              <w:rPr>
                <w:sz w:val="20"/>
                <w:szCs w:val="20"/>
                <w:color w:val="auto"/>
              </w:rPr>
            </w:pPr>
            <w:r>
              <w:rPr>
                <w:rFonts w:ascii="Arial" w:cs="Arial" w:eastAsia="Arial" w:hAnsi="Arial"/>
                <w:sz w:val="16"/>
                <w:szCs w:val="16"/>
                <w:b w:val="1"/>
                <w:bCs w:val="1"/>
                <w:color w:val="1D4F90"/>
              </w:rPr>
              <w:t>Argo Group International Holdings</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w w:val="99"/>
              </w:rPr>
              <w:t>Arthur J. Gallagher &amp; Co.</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w w:val="99"/>
              </w:rPr>
              <w:t>Insurance Intermediary</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AXIS Capital Holdings Limited</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CBIZ, Inc.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Research &amp; Consulting Services</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80"/>
              <w:spacing w:after="0"/>
              <w:rPr>
                <w:sz w:val="20"/>
                <w:szCs w:val="20"/>
                <w:color w:val="auto"/>
              </w:rPr>
            </w:pPr>
            <w:r>
              <w:rPr>
                <w:rFonts w:ascii="Arial" w:cs="Arial" w:eastAsia="Arial" w:hAnsi="Arial"/>
                <w:sz w:val="16"/>
                <w:szCs w:val="16"/>
                <w:b w:val="1"/>
                <w:bCs w:val="1"/>
                <w:color w:val="1D4F90"/>
              </w:rPr>
              <w:t>Crawford &amp; Company</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w w:val="99"/>
              </w:rPr>
              <w:t>Insurance Intermediary</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Erie Indemnity Company</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Marsh &amp; McLennan Companies Inc.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w w:val="99"/>
              </w:rPr>
              <w:t>Insurance Intermediary</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Primerica, Inc.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Life &amp; Health Insurance Company</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Raymond James Financial, Inc.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Investment Banking &amp; Brokerage</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RLI Corp.</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54"/>
        </w:trPr>
        <w:tc>
          <w:tcPr>
            <w:tcW w:w="780" w:type="dxa"/>
            <w:vAlign w:val="bottom"/>
            <w:shd w:val="clear" w:color="auto" w:fill="EAEAEA"/>
          </w:tcPr>
          <w:p>
            <w:pPr>
              <w:spacing w:after="0"/>
              <w:rPr>
                <w:sz w:val="22"/>
                <w:szCs w:val="22"/>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rPr>
              <w:t>Selective Insurance Group Inc.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rPr>
              <w:t>Property &amp; Casualty Insurance Carrier</w:t>
            </w:r>
          </w:p>
        </w:tc>
      </w:tr>
      <w:tr>
        <w:trPr>
          <w:trHeight w:val="220"/>
        </w:trPr>
        <w:tc>
          <w:tcPr>
            <w:tcW w:w="780" w:type="dxa"/>
            <w:vAlign w:val="bottom"/>
            <w:shd w:val="clear" w:color="auto" w:fill="EAEAEA"/>
          </w:tcPr>
          <w:p>
            <w:pPr>
              <w:spacing w:after="0"/>
              <w:rPr>
                <w:sz w:val="19"/>
                <w:szCs w:val="19"/>
                <w:color w:val="auto"/>
              </w:rPr>
            </w:pPr>
          </w:p>
        </w:tc>
        <w:tc>
          <w:tcPr>
            <w:tcW w:w="4680" w:type="dxa"/>
            <w:vAlign w:val="bottom"/>
            <w:shd w:val="clear" w:color="auto" w:fill="EAEAEA"/>
          </w:tcPr>
          <w:p>
            <w:pPr>
              <w:jc w:val="center"/>
              <w:ind w:left="60"/>
              <w:spacing w:after="0"/>
              <w:rPr>
                <w:sz w:val="20"/>
                <w:szCs w:val="20"/>
                <w:color w:val="auto"/>
              </w:rPr>
            </w:pPr>
            <w:r>
              <w:rPr>
                <w:rFonts w:ascii="Arial" w:cs="Arial" w:eastAsia="Arial" w:hAnsi="Arial"/>
                <w:sz w:val="16"/>
                <w:szCs w:val="16"/>
                <w:b w:val="1"/>
                <w:bCs w:val="1"/>
                <w:color w:val="1D4F90"/>
                <w:w w:val="98"/>
              </w:rPr>
              <w:t>Willis Towers Watson PLC</w:t>
            </w:r>
          </w:p>
        </w:tc>
        <w:tc>
          <w:tcPr>
            <w:tcW w:w="5460" w:type="dxa"/>
            <w:vAlign w:val="bottom"/>
            <w:gridSpan w:val="2"/>
            <w:shd w:val="clear" w:color="auto" w:fill="EAEAEA"/>
          </w:tcPr>
          <w:p>
            <w:pPr>
              <w:jc w:val="center"/>
              <w:ind w:right="740"/>
              <w:spacing w:after="0"/>
              <w:rPr>
                <w:sz w:val="20"/>
                <w:szCs w:val="20"/>
                <w:color w:val="auto"/>
              </w:rPr>
            </w:pPr>
            <w:r>
              <w:rPr>
                <w:rFonts w:ascii="Arial" w:cs="Arial" w:eastAsia="Arial" w:hAnsi="Arial"/>
                <w:sz w:val="16"/>
                <w:szCs w:val="16"/>
                <w:b w:val="1"/>
                <w:bCs w:val="1"/>
                <w:color w:val="1D4F90"/>
                <w:w w:val="99"/>
              </w:rPr>
              <w:t>Insurance Intermediary</w:t>
            </w:r>
          </w:p>
        </w:tc>
      </w:tr>
      <w:tr>
        <w:trPr>
          <w:trHeight w:val="201"/>
        </w:trPr>
        <w:tc>
          <w:tcPr>
            <w:tcW w:w="780" w:type="dxa"/>
            <w:vAlign w:val="bottom"/>
            <w:shd w:val="clear" w:color="auto" w:fill="EAEAEA"/>
          </w:tcPr>
          <w:p>
            <w:pPr>
              <w:spacing w:after="0"/>
              <w:rPr>
                <w:sz w:val="17"/>
                <w:szCs w:val="17"/>
                <w:color w:val="auto"/>
              </w:rPr>
            </w:pPr>
          </w:p>
        </w:tc>
        <w:tc>
          <w:tcPr>
            <w:tcW w:w="4680" w:type="dxa"/>
            <w:vAlign w:val="bottom"/>
            <w:shd w:val="clear" w:color="auto" w:fill="EAEAEA"/>
          </w:tcPr>
          <w:p>
            <w:pPr>
              <w:ind w:left="2340"/>
              <w:spacing w:after="0"/>
              <w:rPr>
                <w:sz w:val="20"/>
                <w:szCs w:val="20"/>
                <w:color w:val="auto"/>
              </w:rPr>
            </w:pPr>
            <w:r>
              <w:rPr>
                <w:rFonts w:ascii="Arial" w:cs="Arial" w:eastAsia="Arial" w:hAnsi="Arial"/>
                <w:sz w:val="16"/>
                <w:szCs w:val="16"/>
                <w:color w:val="auto"/>
              </w:rPr>
              <w:t> </w:t>
            </w:r>
          </w:p>
        </w:tc>
        <w:tc>
          <w:tcPr>
            <w:tcW w:w="460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Results of FW Cook’s Analysis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results of FW Cook’s analysis, the Compensation Committee concluded that:</w:t>
      </w:r>
    </w:p>
    <w:p>
      <w:pPr>
        <w:spacing w:after="0" w:line="124" w:lineRule="exact"/>
        <w:rPr>
          <w:sz w:val="20"/>
          <w:szCs w:val="20"/>
          <w:color w:val="auto"/>
        </w:rPr>
      </w:pPr>
    </w:p>
    <w:p>
      <w:pPr>
        <w:ind w:left="220" w:right="200" w:hanging="213"/>
        <w:spacing w:after="0" w:line="279"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pay for our non-employee directors (excluding retainers for our committee chairs and our Lead Independent Director) was below the market median,</w:t>
      </w:r>
    </w:p>
    <w:p>
      <w:pPr>
        <w:spacing w:after="0" w:line="26" w:lineRule="exact"/>
        <w:rPr>
          <w:rFonts w:ascii="Arial" w:cs="Arial" w:eastAsia="Arial" w:hAnsi="Arial"/>
          <w:sz w:val="16"/>
          <w:szCs w:val="16"/>
          <w:color w:val="auto"/>
        </w:rPr>
      </w:pPr>
    </w:p>
    <w:p>
      <w:pPr>
        <w:ind w:left="220" w:right="520" w:hanging="213"/>
        <w:spacing w:after="0" w:line="279"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pay mix for our non-employee director compensation was more heavily weighted toward equity than cash, which was consistent with market practice,</w:t>
      </w:r>
    </w:p>
    <w:p>
      <w:pPr>
        <w:spacing w:after="0" w:line="26" w:lineRule="exact"/>
        <w:rPr>
          <w:rFonts w:ascii="Arial" w:cs="Arial" w:eastAsia="Arial" w:hAnsi="Arial"/>
          <w:sz w:val="16"/>
          <w:szCs w:val="16"/>
          <w:color w:val="auto"/>
        </w:rPr>
      </w:pPr>
    </w:p>
    <w:p>
      <w:pPr>
        <w:ind w:left="220" w:hanging="213"/>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retainers paid to our Audit Committee chair and our Lead Independent Director were below the market median,</w:t>
      </w:r>
    </w:p>
    <w:p>
      <w:pPr>
        <w:spacing w:after="0" w:line="83" w:lineRule="exact"/>
        <w:rPr>
          <w:rFonts w:ascii="Arial" w:cs="Arial" w:eastAsia="Arial" w:hAnsi="Arial"/>
          <w:sz w:val="16"/>
          <w:szCs w:val="16"/>
          <w:color w:val="auto"/>
        </w:rPr>
      </w:pPr>
    </w:p>
    <w:p>
      <w:pPr>
        <w:ind w:left="220" w:right="400" w:hanging="213"/>
        <w:spacing w:after="0" w:line="279"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retainers paid to our Nominating/Corporate Governance Committee chair and Compensation Committee chair were generally aligned with the market median and</w:t>
      </w:r>
    </w:p>
    <w:p>
      <w:pPr>
        <w:spacing w:after="0" w:line="26" w:lineRule="exact"/>
        <w:rPr>
          <w:rFonts w:ascii="Arial" w:cs="Arial" w:eastAsia="Arial" w:hAnsi="Arial"/>
          <w:sz w:val="16"/>
          <w:szCs w:val="16"/>
          <w:color w:val="auto"/>
        </w:rPr>
      </w:pPr>
    </w:p>
    <w:p>
      <w:pPr>
        <w:ind w:left="220" w:hanging="213"/>
        <w:spacing w:after="0" w:line="279"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stock ownership guidelines, which require non-employee directors accumulate Brown &amp; Brown common stock valued at least five times the current annual cash retainer within five years of joining the Board, were aligned with market practices.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21</w:t>
      </w:r>
    </w:p>
    <w:p>
      <w:pPr>
        <w:sectPr>
          <w:pgSz w:w="11900" w:h="16838" w:orient="portrait"/>
          <w:cols w:equalWidth="0" w:num="1">
            <w:col w:w="10920"/>
          </w:cols>
          <w:pgMar w:left="480" w:top="304" w:right="4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BOARD AND CORPORATE GOVERNANCE MATTERS</w:t>
      </w:r>
    </w:p>
    <w:p>
      <w:pPr>
        <w:spacing w:after="0" w:line="14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Based upon FW’s Cook’s analysis and the Compensation Committee’s recommendation, in March 2023, the Board approved the following changes to the compensation for our non-employee directors, to be effective immediately following the 2023 Annual Meeting of Shareholders:</w:t>
      </w:r>
    </w:p>
    <w:p>
      <w:pPr>
        <w:spacing w:after="0" w:line="27" w:lineRule="exact"/>
        <w:rPr>
          <w:sz w:val="20"/>
          <w:szCs w:val="20"/>
          <w:color w:val="auto"/>
        </w:rPr>
      </w:pPr>
    </w:p>
    <w:p>
      <w:pPr>
        <w:ind w:left="220" w:hanging="213"/>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to the size of the annual cash retainer from $90,000 to $100,000 and</w:t>
      </w:r>
    </w:p>
    <w:p>
      <w:pPr>
        <w:spacing w:after="0" w:line="83" w:lineRule="exact"/>
        <w:rPr>
          <w:rFonts w:ascii="Arial" w:cs="Arial" w:eastAsia="Arial" w:hAnsi="Arial"/>
          <w:sz w:val="16"/>
          <w:szCs w:val="16"/>
          <w:color w:val="auto"/>
        </w:rPr>
      </w:pPr>
    </w:p>
    <w:p>
      <w:pPr>
        <w:ind w:left="220" w:right="360" w:hanging="213"/>
        <w:spacing w:after="0" w:line="279"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to the size of the annual grant of fully vested common stock from $100,000 to $120,000, valued as of the close of business on the last business day before the regular May meeting of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cash and other compensation earned during 2023 by directors who are not Named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2023 DIRECTOR COMPENSATION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180" w:type="dxa"/>
            <w:vAlign w:val="bottom"/>
          </w:tcPr>
          <w:p>
            <w:pPr>
              <w:jc w:val="center"/>
              <w:ind w:left="1481"/>
              <w:spacing w:after="0"/>
              <w:rPr>
                <w:sz w:val="20"/>
                <w:szCs w:val="20"/>
                <w:color w:val="auto"/>
              </w:rPr>
            </w:pPr>
            <w:r>
              <w:rPr>
                <w:rFonts w:ascii="Arial" w:cs="Arial" w:eastAsia="Arial" w:hAnsi="Arial"/>
                <w:sz w:val="14"/>
                <w:szCs w:val="14"/>
                <w:b w:val="1"/>
                <w:bCs w:val="1"/>
                <w:color w:val="002856"/>
              </w:rPr>
              <w:t>Fees Earned 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w w:val="99"/>
              </w:rPr>
              <w:t>Stock</w:t>
            </w:r>
          </w:p>
        </w:tc>
        <w:tc>
          <w:tcPr>
            <w:tcW w:w="1660" w:type="dxa"/>
            <w:vAlign w:val="bottom"/>
          </w:tcPr>
          <w:p>
            <w:pPr>
              <w:jc w:val="center"/>
              <w:ind w:right="61"/>
              <w:spacing w:after="0"/>
              <w:rPr>
                <w:sz w:val="20"/>
                <w:szCs w:val="20"/>
                <w:color w:val="auto"/>
              </w:rPr>
            </w:pPr>
            <w:r>
              <w:rPr>
                <w:rFonts w:ascii="Arial" w:cs="Arial" w:eastAsia="Arial" w:hAnsi="Arial"/>
                <w:sz w:val="14"/>
                <w:szCs w:val="14"/>
                <w:b w:val="1"/>
                <w:bCs w:val="1"/>
                <w:color w:val="002856"/>
              </w:rPr>
              <w:t>All Other</w:t>
            </w:r>
          </w:p>
        </w:tc>
        <w:tc>
          <w:tcPr>
            <w:tcW w:w="1020" w:type="dxa"/>
            <w:vAlign w:val="bottom"/>
          </w:tcPr>
          <w:p>
            <w:pPr>
              <w:spacing w:after="0"/>
              <w:rPr>
                <w:sz w:val="14"/>
                <w:szCs w:val="14"/>
                <w:color w:val="auto"/>
              </w:rPr>
            </w:pPr>
          </w:p>
        </w:tc>
      </w:tr>
      <w:tr>
        <w:trPr>
          <w:trHeight w:val="160"/>
        </w:trPr>
        <w:tc>
          <w:tcPr>
            <w:tcW w:w="3920" w:type="dxa"/>
            <w:vAlign w:val="bottom"/>
          </w:tcPr>
          <w:p>
            <w:pPr>
              <w:spacing w:after="0"/>
              <w:rPr>
                <w:sz w:val="13"/>
                <w:szCs w:val="13"/>
                <w:color w:val="auto"/>
              </w:rPr>
            </w:pPr>
          </w:p>
        </w:tc>
        <w:tc>
          <w:tcPr>
            <w:tcW w:w="3180" w:type="dxa"/>
            <w:vAlign w:val="bottom"/>
          </w:tcPr>
          <w:p>
            <w:pPr>
              <w:jc w:val="center"/>
              <w:ind w:left="1481"/>
              <w:spacing w:after="0"/>
              <w:rPr>
                <w:sz w:val="20"/>
                <w:szCs w:val="20"/>
                <w:color w:val="auto"/>
              </w:rPr>
            </w:pPr>
            <w:r>
              <w:rPr>
                <w:rFonts w:ascii="Arial" w:cs="Arial" w:eastAsia="Arial" w:hAnsi="Arial"/>
                <w:sz w:val="14"/>
                <w:szCs w:val="14"/>
                <w:b w:val="1"/>
                <w:bCs w:val="1"/>
                <w:color w:val="002856"/>
              </w:rPr>
              <w:t>Paid in Cash</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w w:val="98"/>
              </w:rPr>
              <w:t>Awards</w:t>
            </w:r>
          </w:p>
        </w:tc>
        <w:tc>
          <w:tcPr>
            <w:tcW w:w="1660" w:type="dxa"/>
            <w:vAlign w:val="bottom"/>
          </w:tcPr>
          <w:p>
            <w:pPr>
              <w:jc w:val="center"/>
              <w:ind w:right="61"/>
              <w:spacing w:after="0"/>
              <w:rPr>
                <w:sz w:val="20"/>
                <w:szCs w:val="20"/>
                <w:color w:val="auto"/>
              </w:rPr>
            </w:pPr>
            <w:r>
              <w:rPr>
                <w:rFonts w:ascii="Arial" w:cs="Arial" w:eastAsia="Arial" w:hAnsi="Arial"/>
                <w:sz w:val="14"/>
                <w:szCs w:val="14"/>
                <w:b w:val="1"/>
                <w:bCs w:val="1"/>
                <w:color w:val="002856"/>
              </w:rPr>
              <w:t>Compensation</w:t>
            </w:r>
          </w:p>
        </w:tc>
        <w:tc>
          <w:tcPr>
            <w:tcW w:w="1020" w:type="dxa"/>
            <w:vAlign w:val="bottom"/>
          </w:tcPr>
          <w:p>
            <w:pPr>
              <w:jc w:val="right"/>
              <w:ind w:right="201"/>
              <w:spacing w:after="0"/>
              <w:rPr>
                <w:sz w:val="20"/>
                <w:szCs w:val="20"/>
                <w:color w:val="auto"/>
              </w:rPr>
            </w:pPr>
            <w:r>
              <w:rPr>
                <w:rFonts w:ascii="Arial" w:cs="Arial" w:eastAsia="Arial" w:hAnsi="Arial"/>
                <w:sz w:val="14"/>
                <w:szCs w:val="14"/>
                <w:b w:val="1"/>
                <w:bCs w:val="1"/>
                <w:color w:val="002856"/>
              </w:rPr>
              <w:t>Total</w:t>
            </w:r>
          </w:p>
        </w:tc>
      </w:tr>
      <w:tr>
        <w:trPr>
          <w:trHeight w:val="190"/>
        </w:trPr>
        <w:tc>
          <w:tcPr>
            <w:tcW w:w="392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3180" w:type="dxa"/>
            <w:vAlign w:val="bottom"/>
            <w:tcBorders>
              <w:bottom w:val="single" w:sz="8" w:color="C6093B"/>
            </w:tcBorders>
          </w:tcPr>
          <w:p>
            <w:pPr>
              <w:jc w:val="center"/>
              <w:ind w:left="1481"/>
              <w:spacing w:after="0"/>
              <w:rPr>
                <w:sz w:val="20"/>
                <w:szCs w:val="20"/>
                <w:color w:val="auto"/>
              </w:rPr>
            </w:pPr>
            <w:r>
              <w:rPr>
                <w:rFonts w:ascii="Arial" w:cs="Arial" w:eastAsia="Arial" w:hAnsi="Arial"/>
                <w:sz w:val="14"/>
                <w:szCs w:val="14"/>
                <w:b w:val="1"/>
                <w:bCs w:val="1"/>
                <w:color w:val="002856"/>
              </w:rPr>
              <w:t>($)</w:t>
            </w:r>
          </w:p>
        </w:tc>
        <w:tc>
          <w:tcPr>
            <w:tcW w:w="11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660" w:type="dxa"/>
            <w:vAlign w:val="bottom"/>
            <w:tcBorders>
              <w:bottom w:val="single" w:sz="8" w:color="C6093B"/>
            </w:tcBorders>
          </w:tcPr>
          <w:p>
            <w:pPr>
              <w:jc w:val="center"/>
              <w:ind w:right="61"/>
              <w:spacing w:after="0"/>
              <w:rPr>
                <w:sz w:val="20"/>
                <w:szCs w:val="20"/>
                <w:color w:val="auto"/>
              </w:rPr>
            </w:pPr>
            <w:r>
              <w:rPr>
                <w:rFonts w:ascii="Arial" w:cs="Arial" w:eastAsia="Arial" w:hAnsi="Arial"/>
                <w:sz w:val="14"/>
                <w:szCs w:val="14"/>
                <w:b w:val="1"/>
                <w:bCs w:val="1"/>
                <w:color w:val="002856"/>
                <w:w w:val="93"/>
              </w:rPr>
              <w:t>($)</w:t>
            </w:r>
          </w:p>
        </w:tc>
        <w:tc>
          <w:tcPr>
            <w:tcW w:w="1020" w:type="dxa"/>
            <w:vAlign w:val="bottom"/>
            <w:tcBorders>
              <w:bottom w:val="single" w:sz="8" w:color="C6093B"/>
            </w:tcBorders>
          </w:tcPr>
          <w:p>
            <w:pPr>
              <w:jc w:val="right"/>
              <w:ind w:right="281"/>
              <w:spacing w:after="0"/>
              <w:rPr>
                <w:sz w:val="20"/>
                <w:szCs w:val="20"/>
                <w:color w:val="auto"/>
              </w:rPr>
            </w:pPr>
            <w:r>
              <w:rPr>
                <w:rFonts w:ascii="Arial" w:cs="Arial" w:eastAsia="Arial" w:hAnsi="Arial"/>
                <w:sz w:val="14"/>
                <w:szCs w:val="14"/>
                <w:b w:val="1"/>
                <w:bCs w:val="1"/>
                <w:color w:val="002856"/>
              </w:rPr>
              <w:t>($)</w:t>
            </w:r>
          </w:p>
        </w:tc>
      </w:tr>
      <w:tr>
        <w:trPr>
          <w:trHeight w:val="241"/>
        </w:trPr>
        <w:tc>
          <w:tcPr>
            <w:tcW w:w="3920" w:type="dxa"/>
            <w:vAlign w:val="bottom"/>
            <w:tcBorders>
              <w:bottom w:val="single" w:sz="8" w:color="4C4C4C"/>
            </w:tcBorders>
          </w:tcPr>
          <w:p>
            <w:pPr>
              <w:ind w:left="80"/>
              <w:spacing w:after="0" w:line="241" w:lineRule="exact"/>
              <w:rPr>
                <w:sz w:val="20"/>
                <w:szCs w:val="20"/>
                <w:color w:val="auto"/>
              </w:rPr>
            </w:pPr>
            <w:r>
              <w:rPr>
                <w:rFonts w:ascii="Arial" w:cs="Arial" w:eastAsia="Arial" w:hAnsi="Arial"/>
                <w:sz w:val="16"/>
                <w:szCs w:val="16"/>
                <w:b w:val="1"/>
                <w:bCs w:val="1"/>
                <w:color w:val="1D4F90"/>
              </w:rPr>
              <w:t>Hugh M. Brown</w:t>
            </w:r>
            <w:r>
              <w:rPr>
                <w:rFonts w:ascii="Arial" w:cs="Arial" w:eastAsia="Arial" w:hAnsi="Arial"/>
                <w:sz w:val="24"/>
                <w:szCs w:val="24"/>
                <w:b w:val="1"/>
                <w:bCs w:val="1"/>
                <w:color w:val="1D4F90"/>
                <w:vertAlign w:val="superscript"/>
              </w:rPr>
              <w:t>(1)</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40,500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40,500</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Hyatt Brown</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C4C4C"/>
            </w:tcBorders>
          </w:tcPr>
          <w:p>
            <w:pPr>
              <w:jc w:val="right"/>
              <w:ind w:right="161"/>
              <w:spacing w:after="0" w:line="234" w:lineRule="exact"/>
              <w:rPr>
                <w:sz w:val="20"/>
                <w:szCs w:val="20"/>
                <w:color w:val="auto"/>
              </w:rPr>
            </w:pPr>
            <w:r>
              <w:rPr>
                <w:rFonts w:ascii="Arial" w:cs="Arial" w:eastAsia="Arial" w:hAnsi="Arial"/>
                <w:sz w:val="16"/>
                <w:szCs w:val="16"/>
                <w:color w:val="auto"/>
              </w:rPr>
              <w:t>218,034</w:t>
            </w:r>
            <w:r>
              <w:rPr>
                <w:rFonts w:ascii="Arial" w:cs="Arial" w:eastAsia="Arial" w:hAnsi="Arial"/>
                <w:sz w:val="24"/>
                <w:szCs w:val="24"/>
                <w:color w:val="auto"/>
                <w:vertAlign w:val="superscript"/>
              </w:rPr>
              <w:t>(2)</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218,034</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Lawrence L. Gellerstedt III</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117,500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237,472</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James C. Hays</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C4C4C"/>
            </w:tcBorders>
          </w:tcPr>
          <w:p>
            <w:pPr>
              <w:jc w:val="right"/>
              <w:ind w:right="161"/>
              <w:spacing w:after="0" w:line="234" w:lineRule="exact"/>
              <w:rPr>
                <w:sz w:val="20"/>
                <w:szCs w:val="20"/>
                <w:color w:val="auto"/>
              </w:rPr>
            </w:pPr>
            <w:r>
              <w:rPr>
                <w:rFonts w:ascii="Arial" w:cs="Arial" w:eastAsia="Arial" w:hAnsi="Arial"/>
                <w:sz w:val="16"/>
                <w:szCs w:val="16"/>
                <w:color w:val="auto"/>
              </w:rPr>
              <w:t>1,667,203</w:t>
            </w:r>
            <w:r>
              <w:rPr>
                <w:rFonts w:ascii="Arial" w:cs="Arial" w:eastAsia="Arial" w:hAnsi="Arial"/>
                <w:sz w:val="24"/>
                <w:szCs w:val="24"/>
                <w:color w:val="auto"/>
                <w:vertAlign w:val="superscript"/>
              </w:rPr>
              <w:t>(3)</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1,667,203</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Theodore J. Hoepner</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97,500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217,472</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James S. Hunt</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117,500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237,472</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Toni Jennings</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97,500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217,472</w:t>
            </w:r>
          </w:p>
        </w:tc>
      </w:tr>
      <w:tr>
        <w:trPr>
          <w:trHeight w:val="234"/>
        </w:trPr>
        <w:tc>
          <w:tcPr>
            <w:tcW w:w="392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Paul J. Krump</w:t>
            </w:r>
            <w:r>
              <w:rPr>
                <w:rFonts w:ascii="Arial" w:cs="Arial" w:eastAsia="Arial" w:hAnsi="Arial"/>
                <w:sz w:val="24"/>
                <w:szCs w:val="24"/>
                <w:b w:val="1"/>
                <w:bCs w:val="1"/>
                <w:color w:val="1D4F90"/>
                <w:vertAlign w:val="superscript"/>
              </w:rPr>
              <w:t>(4)</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50,000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50,000</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Timothy R.M. Main</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117,500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237,472</w:t>
            </w:r>
          </w:p>
        </w:tc>
      </w:tr>
      <w:tr>
        <w:trPr>
          <w:trHeight w:val="234"/>
        </w:trPr>
        <w:tc>
          <w:tcPr>
            <w:tcW w:w="392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Bronislaw E. Masojada</w:t>
            </w:r>
            <w:r>
              <w:rPr>
                <w:rFonts w:ascii="Arial" w:cs="Arial" w:eastAsia="Arial" w:hAnsi="Arial"/>
                <w:sz w:val="24"/>
                <w:szCs w:val="24"/>
                <w:b w:val="1"/>
                <w:bCs w:val="1"/>
                <w:color w:val="1D4F90"/>
                <w:vertAlign w:val="superscript"/>
              </w:rPr>
              <w:t>(4)</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50,000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50,000</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Jaymin B. Patel</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97,500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217,472</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H. Palmer Proctor, Jr.</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127,500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247,472</w:t>
            </w:r>
          </w:p>
        </w:tc>
      </w:tr>
      <w:tr>
        <w:trPr>
          <w:trHeight w:val="234"/>
        </w:trPr>
        <w:tc>
          <w:tcPr>
            <w:tcW w:w="39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Wendell S. Reilly</w:t>
            </w:r>
          </w:p>
        </w:tc>
        <w:tc>
          <w:tcPr>
            <w:tcW w:w="3180" w:type="dxa"/>
            <w:vAlign w:val="bottom"/>
            <w:tcBorders>
              <w:bottom w:val="single" w:sz="8" w:color="4C4C4C"/>
            </w:tcBorders>
          </w:tcPr>
          <w:p>
            <w:pPr>
              <w:jc w:val="right"/>
              <w:ind w:right="221"/>
              <w:spacing w:after="0"/>
              <w:rPr>
                <w:sz w:val="20"/>
                <w:szCs w:val="20"/>
                <w:color w:val="auto"/>
              </w:rPr>
            </w:pPr>
            <w:r>
              <w:rPr>
                <w:rFonts w:ascii="Arial" w:cs="Arial" w:eastAsia="Arial" w:hAnsi="Arial"/>
                <w:sz w:val="16"/>
                <w:szCs w:val="16"/>
                <w:color w:val="auto"/>
              </w:rPr>
              <w:t>97,500</w:t>
            </w:r>
          </w:p>
        </w:tc>
        <w:tc>
          <w:tcPr>
            <w:tcW w:w="1140" w:type="dxa"/>
            <w:vAlign w:val="bottom"/>
            <w:tcBorders>
              <w:bottom w:val="single" w:sz="8" w:color="4C4C4C"/>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4C4C4C"/>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217,472</w:t>
            </w:r>
          </w:p>
        </w:tc>
      </w:tr>
      <w:tr>
        <w:trPr>
          <w:trHeight w:val="241"/>
        </w:trPr>
        <w:tc>
          <w:tcPr>
            <w:tcW w:w="392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Chilton D. Varner</w:t>
            </w:r>
          </w:p>
        </w:tc>
        <w:tc>
          <w:tcPr>
            <w:tcW w:w="3180" w:type="dxa"/>
            <w:vAlign w:val="bottom"/>
            <w:tcBorders>
              <w:bottom w:val="single" w:sz="8" w:color="C6093B"/>
            </w:tcBorders>
          </w:tcPr>
          <w:p>
            <w:pPr>
              <w:jc w:val="right"/>
              <w:ind w:right="221"/>
              <w:spacing w:after="0"/>
              <w:rPr>
                <w:sz w:val="20"/>
                <w:szCs w:val="20"/>
                <w:color w:val="auto"/>
              </w:rPr>
            </w:pPr>
            <w:r>
              <w:rPr>
                <w:rFonts w:ascii="Arial" w:cs="Arial" w:eastAsia="Arial" w:hAnsi="Arial"/>
                <w:sz w:val="16"/>
                <w:szCs w:val="16"/>
                <w:color w:val="auto"/>
              </w:rPr>
              <w:t>97,500</w:t>
            </w:r>
          </w:p>
        </w:tc>
        <w:tc>
          <w:tcPr>
            <w:tcW w:w="1140" w:type="dxa"/>
            <w:vAlign w:val="bottom"/>
            <w:tcBorders>
              <w:bottom w:val="single" w:sz="8" w:color="C6093B"/>
            </w:tcBorders>
          </w:tcPr>
          <w:p>
            <w:pPr>
              <w:jc w:val="right"/>
              <w:ind w:right="201"/>
              <w:spacing w:after="0"/>
              <w:rPr>
                <w:sz w:val="20"/>
                <w:szCs w:val="20"/>
                <w:color w:val="auto"/>
              </w:rPr>
            </w:pPr>
            <w:r>
              <w:rPr>
                <w:rFonts w:ascii="Arial" w:cs="Arial" w:eastAsia="Arial" w:hAnsi="Arial"/>
                <w:sz w:val="16"/>
                <w:szCs w:val="16"/>
                <w:color w:val="auto"/>
              </w:rPr>
              <w:t>119,972</w:t>
            </w:r>
          </w:p>
        </w:tc>
        <w:tc>
          <w:tcPr>
            <w:tcW w:w="1660" w:type="dxa"/>
            <w:vAlign w:val="bottom"/>
            <w:tcBorders>
              <w:bottom w:val="single" w:sz="8" w:color="C6093B"/>
            </w:tcBorders>
          </w:tcPr>
          <w:p>
            <w:pPr>
              <w:jc w:val="right"/>
              <w:ind w:right="3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217,472</w:t>
            </w:r>
          </w:p>
        </w:tc>
      </w:tr>
    </w:tbl>
    <w:p>
      <w:pPr>
        <w:spacing w:after="0" w:line="9" w:lineRule="exact"/>
        <w:rPr>
          <w:sz w:val="20"/>
          <w:szCs w:val="20"/>
          <w:color w:val="auto"/>
        </w:rPr>
      </w:pPr>
    </w:p>
    <w:p>
      <w:pPr>
        <w:ind w:left="220" w:hanging="213"/>
        <w:spacing w:after="0"/>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The Board designated Hugh M. Brown as a Director Emeritus of the Company, effective immediately following the 2023 Annual Meeting of Shareholders.</w:t>
      </w:r>
    </w:p>
    <w:p>
      <w:pPr>
        <w:spacing w:after="0" w:line="61" w:lineRule="exact"/>
        <w:rPr>
          <w:rFonts w:ascii="Arial" w:cs="Arial" w:eastAsia="Arial" w:hAnsi="Arial"/>
          <w:sz w:val="19"/>
          <w:szCs w:val="19"/>
          <w:color w:val="auto"/>
          <w:vertAlign w:val="superscript"/>
        </w:rPr>
      </w:pPr>
    </w:p>
    <w:p>
      <w:pPr>
        <w:jc w:val="both"/>
        <w:ind w:left="220" w:right="180" w:hanging="213"/>
        <w:spacing w:after="0" w:line="210"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During 2023, J. Hyatt Brown, who is the father of J. Powell Brown, a director and President and Chief Executive Officer of the Company, and P. Barrett Brown, an Executive Vice President and President – Retail Segment, received compensation of $218,034, consisting of $180,000 for services rendered to the Company in 2023, including assistance with acquisitions and recruitment, $6,480 in matching contributions made by the Company to his 401(k) Plan account, $27,643 for reimbursement of amounts earned by the Company for personal lines insurance he purchased through the Company or its subsidiaries and $3,911 for the cost of certain club membership dues. Mr. Hyatt Brown serves as Chairman of the Board of the Company.</w:t>
      </w:r>
    </w:p>
    <w:p>
      <w:pPr>
        <w:spacing w:after="0" w:line="49" w:lineRule="exact"/>
        <w:rPr>
          <w:rFonts w:ascii="Arial" w:cs="Arial" w:eastAsia="Arial" w:hAnsi="Arial"/>
          <w:sz w:val="19"/>
          <w:szCs w:val="19"/>
          <w:color w:val="auto"/>
          <w:vertAlign w:val="superscript"/>
        </w:rPr>
      </w:pPr>
    </w:p>
    <w:p>
      <w:pPr>
        <w:ind w:left="220" w:right="160" w:hanging="213"/>
        <w:spacing w:after="0" w:line="207"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During 2023, James C. Hays received compensation of $1,667,203, consisting of $1,661,000 for services rendered to the Company in 2023 and $6,203 in matching contributions made by the Company to his 401(k) Plan account. Mr. James Hays, who serves as Vice Chairman of the Company, is a party to an Employment Agreement with the Company, effective as of November 16, 2018, that provides for payment of an annual base salary of $517,000 for a three-year term of employment, after which time this amount will be as mutually agreed upon between Mr. James Hays and the Company, and which provides that the Company will terminate the agreement only “with cause” during the initial three-year term. Pursuant to his Employment Agreement,</w:t>
      </w:r>
    </w:p>
    <w:p>
      <w:pPr>
        <w:spacing w:after="0" w:line="1" w:lineRule="exact"/>
        <w:rPr>
          <w:rFonts w:ascii="Arial" w:cs="Arial" w:eastAsia="Arial" w:hAnsi="Arial"/>
          <w:sz w:val="19"/>
          <w:szCs w:val="19"/>
          <w:color w:val="auto"/>
          <w:vertAlign w:val="superscript"/>
        </w:rPr>
      </w:pPr>
    </w:p>
    <w:p>
      <w:pPr>
        <w:ind w:left="220" w:right="140"/>
        <w:spacing w:after="0" w:line="258" w:lineRule="auto"/>
        <w:rPr>
          <w:rFonts w:ascii="Arial" w:cs="Arial" w:eastAsia="Arial" w:hAnsi="Arial"/>
          <w:sz w:val="19"/>
          <w:szCs w:val="19"/>
          <w:color w:val="auto"/>
          <w:vertAlign w:val="superscript"/>
        </w:rPr>
      </w:pPr>
      <w:r>
        <w:rPr>
          <w:rFonts w:ascii="Arial" w:cs="Arial" w:eastAsia="Arial" w:hAnsi="Arial"/>
          <w:sz w:val="12"/>
          <w:szCs w:val="12"/>
          <w:color w:val="auto"/>
        </w:rPr>
        <w:t>Mr. James Hays is also eligible during the initial three-year term to participate in the Company’s Senior Leader Bonus Program in effect from time to time, and his bonus target under the Senior Leader Bonus Program is $700,000. The Company has determined that Mr. James Hays is not an executive officer.</w:t>
      </w:r>
    </w:p>
    <w:p>
      <w:pPr>
        <w:ind w:left="220" w:hanging="213"/>
        <w:spacing w:after="0" w:line="235"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Paul J. Krump and Bronislaw E. Masojada were appointed to the Board effective June 13, 2023.</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22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7" w:lineRule="auto"/>
        <w:rPr>
          <w:sz w:val="20"/>
          <w:szCs w:val="20"/>
          <w:color w:val="auto"/>
        </w:rPr>
      </w:pPr>
      <w:r>
        <w:rPr>
          <w:rFonts w:ascii="Arial" w:cs="Arial" w:eastAsia="Arial" w:hAnsi="Arial"/>
          <w:sz w:val="36"/>
          <w:szCs w:val="36"/>
          <w:b w:val="1"/>
          <w:bCs w:val="1"/>
          <w:color w:val="002856"/>
        </w:rPr>
        <w:t xml:space="preserve">PROPOSAL 2: </w:t>
      </w:r>
      <w:r>
        <w:rPr>
          <w:rFonts w:ascii="Arial" w:cs="Arial" w:eastAsia="Arial" w:hAnsi="Arial"/>
          <w:sz w:val="36"/>
          <w:szCs w:val="36"/>
          <w:color w:val="002856"/>
        </w:rPr>
        <w:t>RATIFICATION OF THE APPOINTMENT OF</w:t>
      </w:r>
      <w:r>
        <w:rPr>
          <w:rFonts w:ascii="Arial" w:cs="Arial" w:eastAsia="Arial" w:hAnsi="Arial"/>
          <w:sz w:val="36"/>
          <w:szCs w:val="36"/>
          <w:b w:val="1"/>
          <w:bCs w:val="1"/>
          <w:color w:val="002856"/>
        </w:rPr>
        <w:t xml:space="preserve"> </w:t>
      </w:r>
      <w:r>
        <w:rPr>
          <w:rFonts w:ascii="Arial" w:cs="Arial" w:eastAsia="Arial" w:hAnsi="Arial"/>
          <w:sz w:val="36"/>
          <w:szCs w:val="36"/>
          <w:color w:val="002856"/>
        </w:rPr>
        <w:t>DELOITTE &amp; TOUCHE LLP AS THE COMPANY’S INDEPENDENT REGISTERED PUBLIC ACCOUNTANTS</w:t>
      </w:r>
    </w:p>
    <w:p>
      <w:pPr>
        <w:spacing w:after="0" w:line="258" w:lineRule="exact"/>
        <w:rPr>
          <w:sz w:val="20"/>
          <w:szCs w:val="20"/>
          <w:color w:val="auto"/>
        </w:rPr>
      </w:pPr>
    </w:p>
    <w:p>
      <w:pPr>
        <w:jc w:val="both"/>
        <w:ind w:right="200"/>
        <w:spacing w:after="0" w:line="262" w:lineRule="auto"/>
        <w:rPr>
          <w:sz w:val="20"/>
          <w:szCs w:val="20"/>
          <w:color w:val="auto"/>
        </w:rPr>
      </w:pPr>
      <w:r>
        <w:rPr>
          <w:rFonts w:ascii="Arial" w:cs="Arial" w:eastAsia="Arial" w:hAnsi="Arial"/>
          <w:sz w:val="16"/>
          <w:szCs w:val="16"/>
          <w:color w:val="auto"/>
        </w:rPr>
        <w:t>The Audit Committee of the Board of Directors has selected Deloitte &amp; Touche LLP as the Company’s independent registered public accounting firm for the fiscal year ending December 31, 2024. Deloitte &amp; Touche LLP has served as our independent registered public accounting firm since the fiscal year ended December 31, 2002.</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Committee and the Board are requesting that shareholders ratify this appointment as a means of soliciting shareholders’ opinions and as a matter of good corporate governance. If the shareholders do not ratify the selection, the appointment of the independent registered public accountants will be reconsidered by the Committee. Even if the selection is ratified, the Committee, in its discretion, may direct the appointment of a different independent registered public accounting firm at any time during the year if it determines that such change would be in the best interests of the Company and its shareholders.</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One or more representatives of Deloitte &amp; Touche LLP are expected to be present at the Meeting, will have the opportunity to make a statement, and will be available to respond to appropriate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272415</wp:posOffset>
            </wp:positionV>
            <wp:extent cx="69297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Vote Required; Board Recommendation</w:t>
      </w:r>
    </w:p>
    <w:p>
      <w:pPr>
        <w:spacing w:after="0" w:line="191" w:lineRule="exact"/>
        <w:rPr>
          <w:sz w:val="20"/>
          <w:szCs w:val="20"/>
          <w:color w:val="auto"/>
        </w:rPr>
      </w:pPr>
    </w:p>
    <w:p>
      <w:pPr>
        <w:ind w:right="376"/>
        <w:spacing w:after="0" w:line="256" w:lineRule="auto"/>
        <w:rPr>
          <w:sz w:val="20"/>
          <w:szCs w:val="20"/>
          <w:color w:val="auto"/>
        </w:rPr>
      </w:pPr>
      <w:r>
        <w:rPr>
          <w:rFonts w:ascii="Arial" w:cs="Arial" w:eastAsia="Arial" w:hAnsi="Arial"/>
          <w:sz w:val="16"/>
          <w:szCs w:val="16"/>
          <w:color w:val="auto"/>
        </w:rPr>
        <w:t>In order to be ratified, this Proposal 2 must receive the affirmative vote of a majority of the votes cast on the proposal. The Board of Directors believes that the ratification of Proposal 2 is in the best interests of the Company and its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4" w:right="660"/>
        <w:spacing w:after="0" w:line="220" w:lineRule="auto"/>
        <w:rPr>
          <w:sz w:val="20"/>
          <w:szCs w:val="20"/>
          <w:color w:val="auto"/>
        </w:rPr>
      </w:pPr>
      <w:r>
        <w:rPr>
          <w:rFonts w:ascii="Arial" w:cs="Arial" w:eastAsia="Arial" w:hAnsi="Arial"/>
          <w:sz w:val="24"/>
          <w:szCs w:val="24"/>
          <w:color w:val="1D4F90"/>
        </w:rPr>
        <w:t xml:space="preserve">The Board unanimously </w:t>
      </w:r>
      <w:r>
        <w:rPr>
          <w:rFonts w:ascii="Arial" w:cs="Arial" w:eastAsia="Arial" w:hAnsi="Arial"/>
          <w:sz w:val="34"/>
          <w:szCs w:val="34"/>
          <w:color w:val="1D4F90"/>
          <w:vertAlign w:val="subscript"/>
        </w:rPr>
        <w:t xml:space="preserve"> </w:t>
      </w:r>
      <w:r>
        <w:rPr>
          <w:rFonts w:ascii="Arial" w:cs="Arial" w:eastAsia="Arial" w:hAnsi="Arial"/>
          <w:sz w:val="24"/>
          <w:szCs w:val="24"/>
          <w:color w:val="1D4F90"/>
        </w:rPr>
        <w:t xml:space="preserve"> recommends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-483870</wp:posOffset>
            </wp:positionV>
            <wp:extent cx="2734310" cy="798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34310" cy="798195"/>
                    </a:xfrm>
                    <a:prstGeom prst="rect">
                      <a:avLst/>
                    </a:prstGeom>
                    <a:noFill/>
                  </pic:spPr>
                </pic:pic>
              </a:graphicData>
            </a:graphic>
          </wp:anchor>
        </w:drawing>
      </w:r>
    </w:p>
    <w:p>
      <w:pPr>
        <w:ind w:left="1244" w:hanging="1244"/>
        <w:spacing w:after="0" w:line="184" w:lineRule="auto"/>
        <w:tabs>
          <w:tab w:leader="none" w:pos="1244" w:val="left"/>
        </w:tabs>
        <w:numPr>
          <w:ilvl w:val="0"/>
          <w:numId w:val="15"/>
        </w:numPr>
        <w:rPr>
          <w:rFonts w:ascii="Arial" w:cs="Arial" w:eastAsia="Arial" w:hAnsi="Arial"/>
          <w:sz w:val="36"/>
          <w:szCs w:val="36"/>
          <w:color w:val="auto"/>
          <w:vertAlign w:val="subscript"/>
        </w:rPr>
      </w:pPr>
      <w:r>
        <w:rPr>
          <w:rFonts w:ascii="Arial" w:cs="Arial" w:eastAsia="Arial" w:hAnsi="Arial"/>
          <w:sz w:val="25"/>
          <w:szCs w:val="25"/>
          <w:b w:val="1"/>
          <w:bCs w:val="1"/>
          <w:color w:val="1D4F90"/>
        </w:rPr>
        <w:t xml:space="preserve">“FOR” </w:t>
      </w:r>
      <w:r>
        <w:rPr>
          <w:rFonts w:ascii="Arial" w:cs="Arial" w:eastAsia="Arial" w:hAnsi="Arial"/>
          <w:sz w:val="25"/>
          <w:szCs w:val="25"/>
          <w:color w:val="1D4F90"/>
        </w:rPr>
        <w:t>this proposal.</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23</w:t>
      </w:r>
    </w:p>
    <w:p>
      <w:pPr>
        <w:sectPr>
          <w:pgSz w:w="11900" w:h="16838" w:orient="portrait"/>
          <w:cols w:equalWidth="0" w:num="2">
            <w:col w:w="5536" w:space="720"/>
            <w:col w:w="4664"/>
          </w:cols>
          <w:pgMar w:left="480" w:top="1440" w:right="4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AUDIT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Report of the Audit Committee</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Audit Committee of the Board of Directors operates pursuant to an Audit Committee Charter, which was most recently reviewed by the Committee in October 2023 and last amended in January 2021. The Charter is posted on the Company’s website (www.bbinsurance.com) in the “Corporate Governance” section of the “Investor Relations” tab, under “Key Documents.”</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Each member of the Audit Committee qualifies as “independent” (as that term is defined in the NYSE listed company manual, as well as other statutory, regulatory and other requirements applicable to the Company’s Audit Committee members).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fiscal year ended December 31, 2023, the Audit Committee:</w:t>
      </w:r>
    </w:p>
    <w:p>
      <w:pPr>
        <w:spacing w:after="0" w:line="217" w:lineRule="exact"/>
        <w:rPr>
          <w:sz w:val="20"/>
          <w:szCs w:val="20"/>
          <w:color w:val="auto"/>
        </w:rPr>
      </w:pPr>
    </w:p>
    <w:p>
      <w:pPr>
        <w:ind w:left="440" w:hanging="433"/>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reviewed and discussed the Company’s audited financial statements with management and the independent registered public accountants;</w:t>
      </w:r>
    </w:p>
    <w:p>
      <w:pPr>
        <w:spacing w:after="0" w:line="83" w:lineRule="exact"/>
        <w:rPr>
          <w:rFonts w:ascii="Arial" w:cs="Arial" w:eastAsia="Arial" w:hAnsi="Arial"/>
          <w:sz w:val="16"/>
          <w:szCs w:val="16"/>
          <w:color w:val="auto"/>
        </w:rPr>
      </w:pPr>
    </w:p>
    <w:p>
      <w:pPr>
        <w:ind w:left="440" w:right="20" w:hanging="433"/>
        <w:spacing w:after="0" w:line="26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has discussed with the independent registered public accountants of the Company the matters required to be discussed by the standards of the Public Company Accounting Oversight Board, including those described in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and the Securities and Exchange Commission;</w:t>
      </w:r>
    </w:p>
    <w:p>
      <w:pPr>
        <w:spacing w:after="0" w:line="39" w:lineRule="exact"/>
        <w:rPr>
          <w:rFonts w:ascii="Arial" w:cs="Arial" w:eastAsia="Arial" w:hAnsi="Arial"/>
          <w:sz w:val="16"/>
          <w:szCs w:val="16"/>
          <w:color w:val="auto"/>
        </w:rPr>
      </w:pPr>
    </w:p>
    <w:p>
      <w:pPr>
        <w:ind w:left="440" w:right="60" w:hanging="433"/>
        <w:spacing w:after="0" w:line="25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received and reviewed the written disclosures and the letter from the independent registered public accountants required by the applicable requirements of the Public Company Accounting Oversight Board regarding the independent registered public accountants’ communications with the Audit Committee concerning independence, and has discussed with the independent registered public accountants the independent registered public accountants’ independence and</w:t>
      </w:r>
    </w:p>
    <w:p>
      <w:pPr>
        <w:spacing w:after="0" w:line="44" w:lineRule="exact"/>
        <w:rPr>
          <w:rFonts w:ascii="Arial" w:cs="Arial" w:eastAsia="Arial" w:hAnsi="Arial"/>
          <w:sz w:val="16"/>
          <w:szCs w:val="16"/>
          <w:color w:val="auto"/>
        </w:rPr>
      </w:pPr>
    </w:p>
    <w:p>
      <w:pPr>
        <w:ind w:left="440" w:hanging="433"/>
        <w:spacing w:after="0" w:line="26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the review and discussions with management and the independent registered public accountants referenced above, recommended to the Board of Directors that the audited financial statements be included in the Company’s Annual Report on Form 10-K for the fiscal year ended December 31, 2023, for filing with the Securities and Exchange Commission.</w:t>
      </w:r>
    </w:p>
    <w:p>
      <w:pPr>
        <w:spacing w:after="0" w:line="133"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It is not the duty or responsibility of the Audit Committee to conduct auditing or accounting reviews or procedures. In performing its oversight responsibility, members of the Audit Committee rely without independent verification on the information provided to them and on the representations made by management and the independent registered public accountants. Accordingly, the Audit Committee’s considerations and discussions do not assure that the audit of the Company’s financial statements has been carried out in accordance with the standards of the Public Company Accounting Oversight Board or that the financial statements are presented in accordance with generally accepted accounting principles in the United States of America (“GAAP”).</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AUDIT COMMITTEE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 xml:space="preserve">James S. Hunt </w:t>
      </w:r>
      <w:r>
        <w:rPr>
          <w:rFonts w:ascii="Arial" w:cs="Arial" w:eastAsia="Arial" w:hAnsi="Arial"/>
          <w:sz w:val="14"/>
          <w:szCs w:val="14"/>
          <w:i w:val="1"/>
          <w:iCs w:val="1"/>
          <w:color w:val="1D4F90"/>
        </w:rPr>
        <w:t>(Chair)</w:t>
      </w:r>
    </w:p>
    <w:p>
      <w:pPr>
        <w:spacing w:after="0"/>
        <w:rPr>
          <w:sz w:val="20"/>
          <w:szCs w:val="20"/>
          <w:color w:val="auto"/>
        </w:rPr>
      </w:pPr>
      <w:r>
        <w:rPr>
          <w:rFonts w:ascii="Arial" w:cs="Arial" w:eastAsia="Arial" w:hAnsi="Arial"/>
          <w:sz w:val="14"/>
          <w:szCs w:val="14"/>
          <w:b w:val="1"/>
          <w:bCs w:val="1"/>
          <w:color w:val="1D4F90"/>
        </w:rPr>
        <w:t>Theodore J. Hoepner</w:t>
      </w:r>
    </w:p>
    <w:p>
      <w:pPr>
        <w:spacing w:after="0"/>
        <w:rPr>
          <w:sz w:val="20"/>
          <w:szCs w:val="20"/>
          <w:color w:val="auto"/>
        </w:rPr>
      </w:pPr>
      <w:r>
        <w:rPr>
          <w:rFonts w:ascii="Arial" w:cs="Arial" w:eastAsia="Arial" w:hAnsi="Arial"/>
          <w:sz w:val="14"/>
          <w:szCs w:val="14"/>
          <w:b w:val="1"/>
          <w:bCs w:val="1"/>
          <w:color w:val="1D4F90"/>
        </w:rPr>
        <w:t>Paul J. Krump</w:t>
      </w:r>
    </w:p>
    <w:p>
      <w:pPr>
        <w:spacing w:after="0"/>
        <w:rPr>
          <w:sz w:val="20"/>
          <w:szCs w:val="20"/>
          <w:color w:val="auto"/>
        </w:rPr>
      </w:pPr>
      <w:r>
        <w:rPr>
          <w:rFonts w:ascii="Arial" w:cs="Arial" w:eastAsia="Arial" w:hAnsi="Arial"/>
          <w:sz w:val="14"/>
          <w:szCs w:val="14"/>
          <w:b w:val="1"/>
          <w:bCs w:val="1"/>
          <w:color w:val="1D4F90"/>
        </w:rPr>
        <w:t>Bronislaw E. Masojada</w:t>
      </w:r>
    </w:p>
    <w:p>
      <w:pPr>
        <w:spacing w:after="0"/>
        <w:rPr>
          <w:sz w:val="20"/>
          <w:szCs w:val="20"/>
          <w:color w:val="auto"/>
        </w:rPr>
      </w:pPr>
      <w:r>
        <w:rPr>
          <w:rFonts w:ascii="Arial" w:cs="Arial" w:eastAsia="Arial" w:hAnsi="Arial"/>
          <w:sz w:val="14"/>
          <w:szCs w:val="14"/>
          <w:b w:val="1"/>
          <w:bCs w:val="1"/>
          <w:color w:val="1D4F90"/>
        </w:rPr>
        <w:t>Jaymin B. Patel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24</w:t>
      </w:r>
      <w:r>
        <w:rPr>
          <w:rFonts w:ascii="Arial" w:cs="Arial" w:eastAsia="Arial" w:hAnsi="Arial"/>
          <w:sz w:val="14"/>
          <w:szCs w:val="14"/>
          <w:color w:val="4C4C4C"/>
        </w:rPr>
        <w:t xml:space="preserve">  |  BROWN &amp; BROWN, INC.</w:t>
      </w:r>
    </w:p>
    <w:p>
      <w:pPr>
        <w:sectPr>
          <w:pgSz w:w="11900" w:h="16838" w:orient="portrait"/>
          <w:cols w:equalWidth="0" w:num="1">
            <w:col w:w="10860"/>
          </w:cols>
          <w:pgMar w:left="480" w:top="304" w:right="5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844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Fees Paid to Deloitte &amp; Touche LLP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incurred the following fees for services performed by Deloitte &amp; Touche LLP for fiscal years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Borders>
              <w:bottom w:val="single" w:sz="8" w:color="C6093B"/>
            </w:tcBorders>
          </w:tcPr>
          <w:p>
            <w:pPr>
              <w:spacing w:after="0"/>
              <w:rPr>
                <w:sz w:val="18"/>
                <w:szCs w:val="18"/>
                <w:color w:val="auto"/>
              </w:rPr>
            </w:pPr>
          </w:p>
        </w:tc>
        <w:tc>
          <w:tcPr>
            <w:tcW w:w="3400" w:type="dxa"/>
            <w:vAlign w:val="bottom"/>
            <w:tcBorders>
              <w:bottom w:val="single" w:sz="8" w:color="C6093B"/>
            </w:tcBorders>
          </w:tcPr>
          <w:p>
            <w:pPr>
              <w:spacing w:after="0"/>
              <w:rPr>
                <w:sz w:val="18"/>
                <w:szCs w:val="18"/>
                <w:color w:val="auto"/>
              </w:rPr>
            </w:pPr>
          </w:p>
        </w:tc>
        <w:tc>
          <w:tcPr>
            <w:tcW w:w="1200" w:type="dxa"/>
            <w:vAlign w:val="bottom"/>
            <w:tcBorders>
              <w:bottom w:val="single" w:sz="8" w:color="C6093B"/>
            </w:tcBorders>
          </w:tcPr>
          <w:p>
            <w:pPr>
              <w:jc w:val="right"/>
              <w:ind w:right="640"/>
              <w:spacing w:after="0"/>
              <w:rPr>
                <w:sz w:val="20"/>
                <w:szCs w:val="20"/>
                <w:color w:val="auto"/>
              </w:rPr>
            </w:pPr>
            <w:r>
              <w:rPr>
                <w:rFonts w:ascii="Arial" w:cs="Arial" w:eastAsia="Arial" w:hAnsi="Arial"/>
                <w:sz w:val="16"/>
                <w:szCs w:val="16"/>
                <w:b w:val="1"/>
                <w:bCs w:val="1"/>
                <w:color w:val="002856"/>
              </w:rPr>
              <w:t>2022</w:t>
            </w:r>
          </w:p>
        </w:tc>
        <w:tc>
          <w:tcPr>
            <w:tcW w:w="440" w:type="dxa"/>
            <w:vAlign w:val="bottom"/>
            <w:tcBorders>
              <w:bottom w:val="single" w:sz="8" w:color="C6093B"/>
            </w:tcBorders>
          </w:tcPr>
          <w:p>
            <w:pPr>
              <w:spacing w:after="0"/>
              <w:rPr>
                <w:sz w:val="18"/>
                <w:szCs w:val="18"/>
                <w:color w:val="auto"/>
              </w:rPr>
            </w:pPr>
          </w:p>
        </w:tc>
        <w:tc>
          <w:tcPr>
            <w:tcW w:w="920" w:type="dxa"/>
            <w:vAlign w:val="bottom"/>
            <w:tcBorders>
              <w:bottom w:val="single" w:sz="8" w:color="C6093B"/>
            </w:tcBorders>
          </w:tcPr>
          <w:p>
            <w:pPr>
              <w:jc w:val="right"/>
              <w:ind w:right="340"/>
              <w:spacing w:after="0"/>
              <w:rPr>
                <w:sz w:val="20"/>
                <w:szCs w:val="20"/>
                <w:color w:val="auto"/>
              </w:rPr>
            </w:pPr>
            <w:r>
              <w:rPr>
                <w:rFonts w:ascii="Arial" w:cs="Arial" w:eastAsia="Arial" w:hAnsi="Arial"/>
                <w:sz w:val="16"/>
                <w:szCs w:val="16"/>
                <w:b w:val="1"/>
                <w:bCs w:val="1"/>
                <w:color w:val="002856"/>
              </w:rPr>
              <w:t>2023</w:t>
            </w:r>
          </w:p>
        </w:tc>
      </w:tr>
      <w:tr>
        <w:trPr>
          <w:trHeight w:val="241"/>
        </w:trPr>
        <w:tc>
          <w:tcPr>
            <w:tcW w:w="4960" w:type="dxa"/>
            <w:vAlign w:val="bottom"/>
            <w:tcBorders>
              <w:bottom w:val="single" w:sz="8" w:color="4C4C4C"/>
            </w:tcBorders>
          </w:tcPr>
          <w:p>
            <w:pPr>
              <w:ind w:left="80"/>
              <w:spacing w:after="0" w:line="241" w:lineRule="exact"/>
              <w:rPr>
                <w:sz w:val="20"/>
                <w:szCs w:val="20"/>
                <w:color w:val="auto"/>
              </w:rPr>
            </w:pPr>
            <w:r>
              <w:rPr>
                <w:rFonts w:ascii="Arial" w:cs="Arial" w:eastAsia="Arial" w:hAnsi="Arial"/>
                <w:sz w:val="16"/>
                <w:szCs w:val="16"/>
                <w:b w:val="1"/>
                <w:bCs w:val="1"/>
                <w:color w:val="1D4F90"/>
              </w:rPr>
              <w:t>Audit Fees</w:t>
            </w:r>
            <w:r>
              <w:rPr>
                <w:rFonts w:ascii="Arial" w:cs="Arial" w:eastAsia="Arial" w:hAnsi="Arial"/>
                <w:sz w:val="24"/>
                <w:szCs w:val="24"/>
                <w:b w:val="1"/>
                <w:bCs w:val="1"/>
                <w:color w:val="1D4F90"/>
                <w:vertAlign w:val="superscript"/>
              </w:rPr>
              <w:t>(1)</w:t>
            </w:r>
          </w:p>
        </w:tc>
        <w:tc>
          <w:tcPr>
            <w:tcW w:w="34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C4C4C"/>
            </w:tcBorders>
          </w:tcPr>
          <w:p>
            <w:pPr>
              <w:jc w:val="right"/>
              <w:ind w:right="400"/>
              <w:spacing w:after="0"/>
              <w:rPr>
                <w:sz w:val="20"/>
                <w:szCs w:val="20"/>
                <w:color w:val="auto"/>
              </w:rPr>
            </w:pPr>
            <w:r>
              <w:rPr>
                <w:rFonts w:ascii="Arial" w:cs="Arial" w:eastAsia="Arial" w:hAnsi="Arial"/>
                <w:sz w:val="16"/>
                <w:szCs w:val="16"/>
                <w:color w:val="auto"/>
                <w:w w:val="98"/>
              </w:rPr>
              <w:t>2,702,480</w:t>
            </w:r>
          </w:p>
        </w:tc>
        <w:tc>
          <w:tcPr>
            <w:tcW w:w="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w w:val="98"/>
              </w:rPr>
              <w:t>3,836,864</w:t>
            </w:r>
          </w:p>
        </w:tc>
      </w:tr>
      <w:tr>
        <w:trPr>
          <w:trHeight w:val="234"/>
        </w:trPr>
        <w:tc>
          <w:tcPr>
            <w:tcW w:w="496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Audit-Related Fees</w:t>
            </w:r>
            <w:r>
              <w:rPr>
                <w:rFonts w:ascii="Arial" w:cs="Arial" w:eastAsia="Arial" w:hAnsi="Arial"/>
                <w:sz w:val="24"/>
                <w:szCs w:val="24"/>
                <w:b w:val="1"/>
                <w:bCs w:val="1"/>
                <w:color w:val="1D4F90"/>
                <w:vertAlign w:val="superscript"/>
              </w:rPr>
              <w:t>(2)</w:t>
            </w:r>
          </w:p>
        </w:tc>
        <w:tc>
          <w:tcPr>
            <w:tcW w:w="34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C4C4C"/>
            </w:tcBorders>
          </w:tcPr>
          <w:p>
            <w:pPr>
              <w:jc w:val="right"/>
              <w:ind w:right="260"/>
              <w:spacing w:after="0" w:line="234" w:lineRule="exact"/>
              <w:rPr>
                <w:sz w:val="20"/>
                <w:szCs w:val="20"/>
                <w:color w:val="auto"/>
              </w:rPr>
            </w:pPr>
            <w:r>
              <w:rPr>
                <w:rFonts w:ascii="Arial" w:cs="Arial" w:eastAsia="Arial" w:hAnsi="Arial"/>
                <w:sz w:val="16"/>
                <w:szCs w:val="16"/>
                <w:color w:val="auto"/>
              </w:rPr>
              <w:t>699,450</w:t>
            </w:r>
            <w:r>
              <w:rPr>
                <w:rFonts w:ascii="Arial" w:cs="Arial" w:eastAsia="Arial" w:hAnsi="Arial"/>
                <w:sz w:val="24"/>
                <w:szCs w:val="24"/>
                <w:color w:val="auto"/>
                <w:vertAlign w:val="superscript"/>
              </w:rPr>
              <w:t>(3)</w:t>
            </w:r>
          </w:p>
        </w:tc>
        <w:tc>
          <w:tcPr>
            <w:tcW w:w="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120,947</w:t>
            </w:r>
            <w:r>
              <w:rPr>
                <w:rFonts w:ascii="Arial" w:cs="Arial" w:eastAsia="Arial" w:hAnsi="Arial"/>
                <w:sz w:val="24"/>
                <w:szCs w:val="24"/>
                <w:color w:val="auto"/>
                <w:vertAlign w:val="superscript"/>
              </w:rPr>
              <w:t>(4)</w:t>
            </w:r>
          </w:p>
        </w:tc>
      </w:tr>
      <w:tr>
        <w:trPr>
          <w:trHeight w:val="234"/>
        </w:trPr>
        <w:tc>
          <w:tcPr>
            <w:tcW w:w="496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Tax Fees</w:t>
            </w:r>
            <w:r>
              <w:rPr>
                <w:rFonts w:ascii="Arial" w:cs="Arial" w:eastAsia="Arial" w:hAnsi="Arial"/>
                <w:sz w:val="24"/>
                <w:szCs w:val="24"/>
                <w:b w:val="1"/>
                <w:bCs w:val="1"/>
                <w:color w:val="1D4F90"/>
                <w:vertAlign w:val="superscript"/>
              </w:rPr>
              <w:t>(5)</w:t>
            </w:r>
          </w:p>
        </w:tc>
        <w:tc>
          <w:tcPr>
            <w:tcW w:w="34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C4C4C"/>
            </w:tcBorders>
          </w:tcPr>
          <w:p>
            <w:pPr>
              <w:jc w:val="right"/>
              <w:ind w:right="400"/>
              <w:spacing w:after="0"/>
              <w:rPr>
                <w:sz w:val="20"/>
                <w:szCs w:val="20"/>
                <w:color w:val="auto"/>
              </w:rPr>
            </w:pPr>
            <w:r>
              <w:rPr>
                <w:rFonts w:ascii="Arial" w:cs="Arial" w:eastAsia="Arial" w:hAnsi="Arial"/>
                <w:sz w:val="16"/>
                <w:szCs w:val="16"/>
                <w:color w:val="auto"/>
              </w:rPr>
              <w:t>0</w:t>
            </w:r>
          </w:p>
        </w:tc>
        <w:tc>
          <w:tcPr>
            <w:tcW w:w="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0</w:t>
            </w:r>
          </w:p>
        </w:tc>
      </w:tr>
      <w:tr>
        <w:trPr>
          <w:trHeight w:val="234"/>
        </w:trPr>
        <w:tc>
          <w:tcPr>
            <w:tcW w:w="496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All Other Fees</w:t>
            </w:r>
            <w:r>
              <w:rPr>
                <w:rFonts w:ascii="Arial" w:cs="Arial" w:eastAsia="Arial" w:hAnsi="Arial"/>
                <w:sz w:val="24"/>
                <w:szCs w:val="24"/>
                <w:b w:val="1"/>
                <w:bCs w:val="1"/>
                <w:color w:val="1D4F90"/>
                <w:vertAlign w:val="superscript"/>
              </w:rPr>
              <w:t>(6)</w:t>
            </w:r>
          </w:p>
        </w:tc>
        <w:tc>
          <w:tcPr>
            <w:tcW w:w="34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C4C4C"/>
            </w:tcBorders>
          </w:tcPr>
          <w:p>
            <w:pPr>
              <w:jc w:val="right"/>
              <w:ind w:right="400"/>
              <w:spacing w:after="0"/>
              <w:rPr>
                <w:sz w:val="20"/>
                <w:szCs w:val="20"/>
                <w:color w:val="auto"/>
              </w:rPr>
            </w:pPr>
            <w:r>
              <w:rPr>
                <w:rFonts w:ascii="Arial" w:cs="Arial" w:eastAsia="Arial" w:hAnsi="Arial"/>
                <w:sz w:val="16"/>
                <w:szCs w:val="16"/>
                <w:color w:val="auto"/>
              </w:rPr>
              <w:t>0</w:t>
            </w:r>
          </w:p>
        </w:tc>
        <w:tc>
          <w:tcPr>
            <w:tcW w:w="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0</w:t>
            </w:r>
          </w:p>
        </w:tc>
      </w:tr>
      <w:tr>
        <w:trPr>
          <w:trHeight w:val="241"/>
        </w:trPr>
        <w:tc>
          <w:tcPr>
            <w:tcW w:w="496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Total</w:t>
            </w:r>
          </w:p>
        </w:tc>
        <w:tc>
          <w:tcPr>
            <w:tcW w:w="340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6093B"/>
            </w:tcBorders>
          </w:tcPr>
          <w:p>
            <w:pPr>
              <w:jc w:val="right"/>
              <w:ind w:right="400"/>
              <w:spacing w:after="0"/>
              <w:rPr>
                <w:sz w:val="20"/>
                <w:szCs w:val="20"/>
                <w:color w:val="auto"/>
              </w:rPr>
            </w:pPr>
            <w:r>
              <w:rPr>
                <w:rFonts w:ascii="Arial" w:cs="Arial" w:eastAsia="Arial" w:hAnsi="Arial"/>
                <w:sz w:val="16"/>
                <w:szCs w:val="16"/>
                <w:color w:val="auto"/>
                <w:w w:val="98"/>
              </w:rPr>
              <w:t>3,401,930</w:t>
            </w:r>
          </w:p>
        </w:tc>
        <w:tc>
          <w:tcPr>
            <w:tcW w:w="44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6093B"/>
            </w:tcBorders>
          </w:tcPr>
          <w:p>
            <w:pPr>
              <w:jc w:val="right"/>
              <w:ind w:right="120"/>
              <w:spacing w:after="0"/>
              <w:rPr>
                <w:sz w:val="20"/>
                <w:szCs w:val="20"/>
                <w:color w:val="auto"/>
              </w:rPr>
            </w:pPr>
            <w:r>
              <w:rPr>
                <w:rFonts w:ascii="Arial" w:cs="Arial" w:eastAsia="Arial" w:hAnsi="Arial"/>
                <w:sz w:val="16"/>
                <w:szCs w:val="16"/>
                <w:color w:val="auto"/>
                <w:w w:val="98"/>
              </w:rPr>
              <w:t>3,957,811</w:t>
            </w:r>
          </w:p>
        </w:tc>
      </w:tr>
    </w:tbl>
    <w:p>
      <w:pPr>
        <w:spacing w:after="0" w:line="62" w:lineRule="exact"/>
        <w:rPr>
          <w:sz w:val="20"/>
          <w:szCs w:val="20"/>
          <w:color w:val="auto"/>
        </w:rPr>
      </w:pPr>
    </w:p>
    <w:p>
      <w:pPr>
        <w:ind w:left="220" w:right="60" w:hanging="213"/>
        <w:spacing w:after="0" w:line="214"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Audit Fees were the aggregate fees billed to us by Deloitte &amp; Touche LLP for professional audit services rendered for the audit of our annual financial statements, the review of financial statements included in our Forms 10-Q and the audit of our internal control over financial reporting for the fiscal years ended December 31, 2023 and 2022, including any out-of-pocket expense. The increase in Audit Fees in 2023, as compared to 2022, was primarily driven by the costs associated with statutory audits in the United Kingdom related to the Company’s acquisition of GRP (Jersey) Holdco Limited and its business (“GRP”) in 2022.</w:t>
      </w:r>
    </w:p>
    <w:p>
      <w:pPr>
        <w:spacing w:after="0" w:line="51" w:lineRule="exact"/>
        <w:rPr>
          <w:rFonts w:ascii="Arial" w:cs="Arial" w:eastAsia="Arial" w:hAnsi="Arial"/>
          <w:sz w:val="19"/>
          <w:szCs w:val="19"/>
          <w:color w:val="auto"/>
          <w:vertAlign w:val="superscript"/>
        </w:rPr>
      </w:pPr>
    </w:p>
    <w:p>
      <w:pPr>
        <w:ind w:left="220" w:right="280" w:hanging="213"/>
        <w:spacing w:after="0" w:line="201"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Audit-Related Fees are fees for assurance and related services reasonably related to the performance of the audit or review of our financial statements that are not reported above under the caption “Audit Fees” for the fiscal year ended December 31, 2023 and 2022.</w:t>
      </w:r>
    </w:p>
    <w:p>
      <w:pPr>
        <w:ind w:left="220" w:hanging="213"/>
        <w:spacing w:after="0" w:line="235"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These fees were billed in connection with due diligence services performed in connection with the Company’s acquisition of GRP in 2022.</w:t>
      </w:r>
    </w:p>
    <w:p>
      <w:pPr>
        <w:spacing w:after="0" w:line="61" w:lineRule="exact"/>
        <w:rPr>
          <w:rFonts w:ascii="Arial" w:cs="Arial" w:eastAsia="Arial" w:hAnsi="Arial"/>
          <w:sz w:val="19"/>
          <w:szCs w:val="19"/>
          <w:color w:val="auto"/>
          <w:vertAlign w:val="superscript"/>
        </w:rPr>
      </w:pPr>
    </w:p>
    <w:p>
      <w:pPr>
        <w:ind w:left="220" w:hanging="213"/>
        <w:spacing w:after="0" w:line="187" w:lineRule="auto"/>
        <w:tabs>
          <w:tab w:leader="none" w:pos="22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These fees were billed in connection with due diligence services performed in connection with the Company’s acquisition of Kentro Capital Limited in 2023.</w:t>
      </w:r>
    </w:p>
    <w:p>
      <w:pPr>
        <w:spacing w:after="0" w:line="61" w:lineRule="exact"/>
        <w:rPr>
          <w:rFonts w:ascii="Arial" w:cs="Arial" w:eastAsia="Arial" w:hAnsi="Arial"/>
          <w:sz w:val="17"/>
          <w:szCs w:val="17"/>
          <w:color w:val="auto"/>
          <w:vertAlign w:val="superscript"/>
        </w:rPr>
      </w:pPr>
    </w:p>
    <w:p>
      <w:pPr>
        <w:ind w:left="220" w:right="280" w:hanging="213"/>
        <w:spacing w:after="0" w:line="192"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Tax Fees are fees for tax compliance, tax advice and tax planning for the fiscal years ended December 31, 2023 or 2022. Deloitte &amp; Touche LLP did not provide any such services during the periods.</w:t>
      </w:r>
    </w:p>
    <w:p>
      <w:pPr>
        <w:spacing w:after="0" w:line="1" w:lineRule="exact"/>
        <w:rPr>
          <w:rFonts w:ascii="Arial" w:cs="Arial" w:eastAsia="Arial" w:hAnsi="Arial"/>
          <w:sz w:val="19"/>
          <w:szCs w:val="19"/>
          <w:color w:val="auto"/>
          <w:vertAlign w:val="superscript"/>
        </w:rPr>
      </w:pPr>
    </w:p>
    <w:p>
      <w:pPr>
        <w:ind w:left="220" w:hanging="213"/>
        <w:spacing w:after="0" w:line="235" w:lineRule="auto"/>
        <w:tabs>
          <w:tab w:leader="none" w:pos="2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Deloitte &amp; Touche LLP did not provide any “other services” during the periods.</w:t>
      </w:r>
    </w:p>
    <w:p>
      <w:pPr>
        <w:spacing w:after="0" w:line="283" w:lineRule="exact"/>
        <w:rPr>
          <w:sz w:val="20"/>
          <w:szCs w:val="20"/>
          <w:color w:val="auto"/>
        </w:rPr>
      </w:pPr>
    </w:p>
    <w:p>
      <w:pPr>
        <w:ind w:right="460"/>
        <w:spacing w:after="0" w:line="292" w:lineRule="auto"/>
        <w:rPr>
          <w:sz w:val="20"/>
          <w:szCs w:val="20"/>
          <w:color w:val="auto"/>
        </w:rPr>
      </w:pPr>
      <w:r>
        <w:rPr>
          <w:rFonts w:ascii="Arial" w:cs="Arial" w:eastAsia="Arial" w:hAnsi="Arial"/>
          <w:sz w:val="25"/>
          <w:szCs w:val="25"/>
          <w:b w:val="1"/>
          <w:bCs w:val="1"/>
          <w:color w:val="1D4F90"/>
        </w:rPr>
        <w:t>Audit Committee Policy for Pre-Approval of Independent Registered Public Accountants Services</w:t>
      </w:r>
    </w:p>
    <w:p>
      <w:pPr>
        <w:spacing w:after="0" w:line="6" w:lineRule="exact"/>
        <w:rPr>
          <w:sz w:val="20"/>
          <w:szCs w:val="20"/>
          <w:color w:val="auto"/>
        </w:rPr>
      </w:pPr>
    </w:p>
    <w:p>
      <w:pPr>
        <w:ind w:right="460"/>
        <w:spacing w:after="0" w:line="262" w:lineRule="auto"/>
        <w:rPr>
          <w:sz w:val="20"/>
          <w:szCs w:val="20"/>
          <w:color w:val="auto"/>
        </w:rPr>
      </w:pPr>
      <w:r>
        <w:rPr>
          <w:rFonts w:ascii="Arial" w:cs="Arial" w:eastAsia="Arial" w:hAnsi="Arial"/>
          <w:sz w:val="16"/>
          <w:szCs w:val="16"/>
          <w:color w:val="auto"/>
        </w:rPr>
        <w:t>Our policy requires that the Audit Committee consider and approve in advance any proposed engagement of the independent registered public accountants to perform services in addition to those approved in connection with their annual engagement letter, except for certain limited non-audit services. During fiscal years 2023 and 2022, all services were approved by the Audit Committee in accordance with this policy.</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Negotiation of Fees Payable to the Independent Registered Public Accountants</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Each year, the Company’s management begins a robust, good-faith negotiation, overseen by the Audit Committee, with the independent registered public accountant regarding the independent registered public accountants’ proposed fees for the engagement. This negotiation includes a review for reasonableness of fees incurred during the previous year, as well as a review for reasonableness of fees for the proposed engagement, with consideration of any enhancements to the Company’s financial and other internal controls as a result of the Company’s year-over-year growth and expansion into new international jurisdictions.</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Audit Committee Audit Partner Selection</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conjunction with the required rotation, the Audit Committee is involved, together with the Company’s management team, in the evaluation and selection of the new lead audit partner.</w:t>
      </w:r>
    </w:p>
    <w:p>
      <w:pPr>
        <w:sectPr>
          <w:pgSz w:w="11900" w:h="16838" w:orient="portrait"/>
          <w:cols w:equalWidth="0" w:num="1">
            <w:col w:w="10920"/>
          </w:cols>
          <w:pgMar w:left="480" w:top="1440" w:right="499" w:bottom="1440" w:gutter="0" w:footer="0" w:header="0"/>
        </w:sectPr>
      </w:pPr>
    </w:p>
    <w:p>
      <w:pPr>
        <w:spacing w:after="0" w:line="99"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25</w:t>
      </w:r>
    </w:p>
    <w:p>
      <w:pPr>
        <w:sectPr>
          <w:pgSz w:w="11900" w:h="16838" w:orient="portrait"/>
          <w:cols w:equalWidth="0" w:num="1">
            <w:col w:w="10920"/>
          </w:cols>
          <w:pgMar w:left="480" w:top="1440" w:right="4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INFORMATION CONCERNING INDEPENDENT REGISTERED PUBLIC ACCOUNTANTS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Evaluation of Independent Registered Public Accountants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at least an annual basis, the Audit Committee, together with the Company’s management, evaluates the performance of the independent registered public accountants in connection with its decision to re-engage the independent registered public accountants. As part of this evaluation, which is based, in part, upon the Center for Audit Quality’s external auditor assessment tool, the Audit Committee and the Company’s management consider, among other things, the quality of services performed by the independent registered public accountants; the skill and responsiveness of the engagement team; the independent registered public accountants’ understanding of the Company, including the Company’s operational and financial risks; and the independent registered public accountants’ tenure.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26</w:t>
      </w:r>
      <w:r>
        <w:rPr>
          <w:rFonts w:ascii="Arial" w:cs="Arial" w:eastAsia="Arial" w:hAnsi="Arial"/>
          <w:sz w:val="14"/>
          <w:szCs w:val="14"/>
          <w:color w:val="4C4C4C"/>
        </w:rPr>
        <w:t xml:space="preserve">  |  BROWN &amp; BROWN, INC.</w:t>
      </w:r>
    </w:p>
    <w:p>
      <w:pPr>
        <w:sectPr>
          <w:pgSz w:w="11900" w:h="16838" w:orient="portrait"/>
          <w:cols w:equalWidth="0" w:num="1">
            <w:col w:w="10820"/>
          </w:cols>
          <w:pgMar w:left="480" w:top="304" w:right="5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80"/>
        <w:spacing w:after="0" w:line="289" w:lineRule="auto"/>
        <w:rPr>
          <w:sz w:val="20"/>
          <w:szCs w:val="20"/>
          <w:color w:val="auto"/>
        </w:rPr>
      </w:pPr>
      <w:r>
        <w:rPr>
          <w:rFonts w:ascii="Arial" w:cs="Arial" w:eastAsia="Arial" w:hAnsi="Arial"/>
          <w:sz w:val="35"/>
          <w:szCs w:val="35"/>
          <w:b w:val="1"/>
          <w:bCs w:val="1"/>
          <w:color w:val="002856"/>
        </w:rPr>
        <w:t xml:space="preserve">PROPOSAL 3: </w:t>
      </w:r>
      <w:r>
        <w:rPr>
          <w:rFonts w:ascii="Arial" w:cs="Arial" w:eastAsia="Arial" w:hAnsi="Arial"/>
          <w:sz w:val="35"/>
          <w:szCs w:val="35"/>
          <w:color w:val="002856"/>
        </w:rPr>
        <w:t>ADVISORY VOTE TO APPROVE</w:t>
      </w:r>
      <w:r>
        <w:rPr>
          <w:rFonts w:ascii="Arial" w:cs="Arial" w:eastAsia="Arial" w:hAnsi="Arial"/>
          <w:sz w:val="35"/>
          <w:szCs w:val="35"/>
          <w:b w:val="1"/>
          <w:bCs w:val="1"/>
          <w:color w:val="002856"/>
        </w:rPr>
        <w:t xml:space="preserve"> </w:t>
      </w:r>
      <w:r>
        <w:rPr>
          <w:rFonts w:ascii="Arial" w:cs="Arial" w:eastAsia="Arial" w:hAnsi="Arial"/>
          <w:sz w:val="35"/>
          <w:szCs w:val="35"/>
          <w:color w:val="002856"/>
        </w:rPr>
        <w:t>NAMED EXECUTIVE OFFICER COMPENSATION</w:t>
      </w:r>
    </w:p>
    <w:p>
      <w:pPr>
        <w:spacing w:after="0" w:line="20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At the Meeting, we will ask our shareholders to approve, on a nonbinding, advisory basis, under Section 14A of the Exchange Act, the compensation of our Named Executive Officers as disclosed in this Proxy Statement. This proposal, commonly known as a “say-on-pay” proposal, gives our shareholders the opportunity to express their views on our executive compensation. We have held a similar shareholder vote every year since 2011 and expect to hold a similar vote at the 2025 Annual Meeting.</w:t>
      </w:r>
    </w:p>
    <w:p>
      <w:pPr>
        <w:spacing w:after="0" w:line="138" w:lineRule="exact"/>
        <w:rPr>
          <w:sz w:val="20"/>
          <w:szCs w:val="20"/>
          <w:color w:val="auto"/>
        </w:rPr>
      </w:pPr>
    </w:p>
    <w:p>
      <w:pPr>
        <w:jc w:val="both"/>
        <w:ind w:right="200"/>
        <w:spacing w:after="0" w:line="262" w:lineRule="auto"/>
        <w:rPr>
          <w:sz w:val="20"/>
          <w:szCs w:val="20"/>
          <w:color w:val="auto"/>
        </w:rPr>
      </w:pPr>
      <w:r>
        <w:rPr>
          <w:rFonts w:ascii="Arial" w:cs="Arial" w:eastAsia="Arial" w:hAnsi="Arial"/>
          <w:sz w:val="16"/>
          <w:szCs w:val="16"/>
          <w:color w:val="auto"/>
        </w:rPr>
        <w:t>As described in detail below under “Compensation Discussion and Analysis,” our executive compensation program is designed to attract, motivate and retain our Named Executive Officers, who are critical to our success. Accordingly, our Named Executive Officers are rewarded to the extent we achieve specific annual goals and deliver financial performance intended to increase long-term shareholder value.</w:t>
      </w:r>
    </w:p>
    <w:p>
      <w:pPr>
        <w:spacing w:after="0" w:line="14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Compensation Committee has adopted an approach to executive compensation that we believe enables the Company to retain its executive talent while remaining committed to our core compensation philosophy of paying for performance and aligning executive compensation with shareholder interests. The Committee continually reviews the compensation programs for our Named Executive Officers with the goal of most effectively aligning our executive compensation structure with our shareholders’ interests and current market practices. For example, (1) a significant portion of pay is performance-based, (2) compensation is incentive-driven with both a short- and long-term focus and (3) we believe the components of compensation are linked to increasing shareholder value.</w:t>
      </w:r>
    </w:p>
    <w:p>
      <w:pPr>
        <w:spacing w:after="0" w:line="143"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We are again asking our shareholders to indicate their support for our executive officer compensation. This vote is not intended to address any specific item of compensation, but rather the overall compensation of our Named Executive Officers and the philosophy, program and practices described in this Proxy Statement in accordance with the SEC’s compensation disclosure rules. Accordingly, we ask our shareholders to vote “FOR” the approval, on an advisory basis, of executive compensation.</w:t>
      </w:r>
    </w:p>
    <w:p>
      <w:pPr>
        <w:spacing w:after="0" w:line="13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say-on-pay vote is advisory and therefore not binding on the Company, the Compensation Committee or our Board. However, our Board and Compensation Committee value the opinions of our shareholders, and to the extent there is any significant vote against the executive compensation as disclosed in this Proxy Statement, we will consider our shareholders’ concerns, and the Compensation Committee will evaluate whether any actions are necessary to address those concerns.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ask our shareholders to vote on the following resolution at the Meeting:</w:t>
      </w:r>
    </w:p>
    <w:p>
      <w:pPr>
        <w:spacing w:after="0" w:line="177" w:lineRule="exact"/>
        <w:rPr>
          <w:sz w:val="20"/>
          <w:szCs w:val="20"/>
          <w:color w:val="auto"/>
        </w:rPr>
      </w:pPr>
    </w:p>
    <w:p>
      <w:pPr>
        <w:ind w:left="440" w:right="520"/>
        <w:spacing w:after="0" w:line="27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9297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Vote Required; Board Recommendation</w:t>
      </w:r>
    </w:p>
    <w:p>
      <w:pPr>
        <w:spacing w:after="0" w:line="191" w:lineRule="exact"/>
        <w:rPr>
          <w:sz w:val="20"/>
          <w:szCs w:val="20"/>
          <w:color w:val="auto"/>
        </w:rPr>
      </w:pPr>
    </w:p>
    <w:p>
      <w:pPr>
        <w:ind w:right="296"/>
        <w:spacing w:after="0" w:line="256" w:lineRule="auto"/>
        <w:rPr>
          <w:sz w:val="20"/>
          <w:szCs w:val="20"/>
          <w:color w:val="auto"/>
        </w:rPr>
      </w:pPr>
      <w:r>
        <w:rPr>
          <w:rFonts w:ascii="Arial" w:cs="Arial" w:eastAsia="Arial" w:hAnsi="Arial"/>
          <w:sz w:val="16"/>
          <w:szCs w:val="16"/>
          <w:color w:val="auto"/>
        </w:rPr>
        <w:t>In order to be approved, this Proposal 3 must receive the affirmative vote of a majority of the votes cast on the proposal. The Board of Directors believes that the advisory approval of Proposal 3 is in the best interests of the Company and its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44" w:right="660"/>
        <w:spacing w:after="0" w:line="220" w:lineRule="auto"/>
        <w:rPr>
          <w:sz w:val="20"/>
          <w:szCs w:val="20"/>
          <w:color w:val="auto"/>
        </w:rPr>
      </w:pPr>
      <w:r>
        <w:rPr>
          <w:rFonts w:ascii="Arial" w:cs="Arial" w:eastAsia="Arial" w:hAnsi="Arial"/>
          <w:sz w:val="24"/>
          <w:szCs w:val="24"/>
          <w:color w:val="1D4F90"/>
        </w:rPr>
        <w:t xml:space="preserve">The Board unanimously </w:t>
      </w:r>
      <w:r>
        <w:rPr>
          <w:rFonts w:ascii="Arial" w:cs="Arial" w:eastAsia="Arial" w:hAnsi="Arial"/>
          <w:sz w:val="34"/>
          <w:szCs w:val="34"/>
          <w:color w:val="1D4F90"/>
          <w:vertAlign w:val="subscript"/>
        </w:rPr>
        <w:t xml:space="preserve"> </w:t>
      </w:r>
      <w:r>
        <w:rPr>
          <w:rFonts w:ascii="Arial" w:cs="Arial" w:eastAsia="Arial" w:hAnsi="Arial"/>
          <w:sz w:val="24"/>
          <w:szCs w:val="24"/>
          <w:color w:val="1D4F90"/>
        </w:rPr>
        <w:t xml:space="preserve"> recommends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-483870</wp:posOffset>
            </wp:positionV>
            <wp:extent cx="2734310" cy="798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34310" cy="798195"/>
                    </a:xfrm>
                    <a:prstGeom prst="rect">
                      <a:avLst/>
                    </a:prstGeom>
                    <a:noFill/>
                  </pic:spPr>
                </pic:pic>
              </a:graphicData>
            </a:graphic>
          </wp:anchor>
        </w:drawing>
      </w:r>
    </w:p>
    <w:p>
      <w:pPr>
        <w:ind w:left="1244" w:hanging="1244"/>
        <w:spacing w:after="0" w:line="184" w:lineRule="auto"/>
        <w:tabs>
          <w:tab w:leader="none" w:pos="1244" w:val="left"/>
        </w:tabs>
        <w:numPr>
          <w:ilvl w:val="0"/>
          <w:numId w:val="18"/>
        </w:numPr>
        <w:rPr>
          <w:rFonts w:ascii="Arial" w:cs="Arial" w:eastAsia="Arial" w:hAnsi="Arial"/>
          <w:sz w:val="36"/>
          <w:szCs w:val="36"/>
          <w:color w:val="auto"/>
          <w:vertAlign w:val="subscript"/>
        </w:rPr>
      </w:pPr>
      <w:r>
        <w:rPr>
          <w:rFonts w:ascii="Arial" w:cs="Arial" w:eastAsia="Arial" w:hAnsi="Arial"/>
          <w:sz w:val="25"/>
          <w:szCs w:val="25"/>
          <w:b w:val="1"/>
          <w:bCs w:val="1"/>
          <w:color w:val="1D4F90"/>
        </w:rPr>
        <w:t xml:space="preserve">“FOR” </w:t>
      </w:r>
      <w:r>
        <w:rPr>
          <w:rFonts w:ascii="Arial" w:cs="Arial" w:eastAsia="Arial" w:hAnsi="Arial"/>
          <w:sz w:val="25"/>
          <w:szCs w:val="25"/>
          <w:color w:val="1D4F90"/>
        </w:rPr>
        <w:t>this proposal.</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27</w:t>
      </w:r>
    </w:p>
    <w:p>
      <w:pPr>
        <w:sectPr>
          <w:pgSz w:w="11900" w:h="16838" w:orient="portrait"/>
          <w:cols w:equalWidth="0" w:num="2">
            <w:col w:w="5536" w:space="720"/>
            <w:col w:w="4664"/>
          </w:cols>
          <w:pgMar w:left="480" w:top="1440" w:right="4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MATTERS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Compensation Committee Report</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Notwithstanding anything to the contrary set forth in any of our previous filings under the Securities Act of 1933, as amended, or the Securities Exchange Act of 1934, as amended, that might incorporate future filings, including this Proxy Statement, in whole or in part, the following Board Compensation Committee Report shall not be incorporated by reference into any such filings.</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and based on this review and those discussions, has recommended to the Board of Directors that the Compensation Discussion and Analysis be included in this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COMPENSATION COMMITTEE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 xml:space="preserve">Lawrence L. Gellerstedt III </w:t>
      </w:r>
      <w:r>
        <w:rPr>
          <w:rFonts w:ascii="Arial" w:cs="Arial" w:eastAsia="Arial" w:hAnsi="Arial"/>
          <w:sz w:val="14"/>
          <w:szCs w:val="14"/>
          <w:i w:val="1"/>
          <w:iCs w:val="1"/>
          <w:color w:val="1D4F90"/>
        </w:rPr>
        <w:t>(Chair)</w:t>
      </w:r>
    </w:p>
    <w:p>
      <w:pPr>
        <w:spacing w:after="0"/>
        <w:rPr>
          <w:sz w:val="20"/>
          <w:szCs w:val="20"/>
          <w:color w:val="auto"/>
        </w:rPr>
      </w:pPr>
      <w:r>
        <w:rPr>
          <w:rFonts w:ascii="Arial" w:cs="Arial" w:eastAsia="Arial" w:hAnsi="Arial"/>
          <w:sz w:val="14"/>
          <w:szCs w:val="14"/>
          <w:b w:val="1"/>
          <w:bCs w:val="1"/>
          <w:color w:val="1D4F90"/>
        </w:rPr>
        <w:t>Toni Jennings</w:t>
      </w:r>
    </w:p>
    <w:p>
      <w:pPr>
        <w:spacing w:after="0"/>
        <w:rPr>
          <w:sz w:val="20"/>
          <w:szCs w:val="20"/>
          <w:color w:val="auto"/>
        </w:rPr>
      </w:pPr>
      <w:r>
        <w:rPr>
          <w:rFonts w:ascii="Arial" w:cs="Arial" w:eastAsia="Arial" w:hAnsi="Arial"/>
          <w:sz w:val="14"/>
          <w:szCs w:val="14"/>
          <w:b w:val="1"/>
          <w:bCs w:val="1"/>
          <w:color w:val="1D4F90"/>
        </w:rPr>
        <w:t>Bronislaw E. Masojada</w:t>
      </w:r>
    </w:p>
    <w:p>
      <w:pPr>
        <w:spacing w:after="0"/>
        <w:rPr>
          <w:sz w:val="20"/>
          <w:szCs w:val="20"/>
          <w:color w:val="auto"/>
        </w:rPr>
      </w:pPr>
      <w:r>
        <w:rPr>
          <w:rFonts w:ascii="Arial" w:cs="Arial" w:eastAsia="Arial" w:hAnsi="Arial"/>
          <w:sz w:val="14"/>
          <w:szCs w:val="14"/>
          <w:b w:val="1"/>
          <w:bCs w:val="1"/>
          <w:color w:val="1D4F90"/>
        </w:rPr>
        <w:t>Wendell S. Reilly</w:t>
      </w:r>
    </w:p>
    <w:p>
      <w:pPr>
        <w:spacing w:after="0"/>
        <w:rPr>
          <w:sz w:val="20"/>
          <w:szCs w:val="20"/>
          <w:color w:val="auto"/>
        </w:rPr>
      </w:pPr>
      <w:r>
        <w:rPr>
          <w:rFonts w:ascii="Arial" w:cs="Arial" w:eastAsia="Arial" w:hAnsi="Arial"/>
          <w:sz w:val="14"/>
          <w:szCs w:val="14"/>
          <w:b w:val="1"/>
          <w:bCs w:val="1"/>
          <w:color w:val="1D4F90"/>
        </w:rPr>
        <w:t>Chilton D. Varner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28</w:t>
      </w:r>
      <w:r>
        <w:rPr>
          <w:rFonts w:ascii="Arial" w:cs="Arial" w:eastAsia="Arial" w:hAnsi="Arial"/>
          <w:sz w:val="14"/>
          <w:szCs w:val="14"/>
          <w:color w:val="4C4C4C"/>
        </w:rPr>
        <w:t xml:space="preserve">  |  BROWN &amp; BROWN, INC.</w:t>
      </w:r>
    </w:p>
    <w:p>
      <w:pPr>
        <w:sectPr>
          <w:pgSz w:w="11900" w:h="16838" w:orient="portrait"/>
          <w:cols w:equalWidth="0" w:num="1">
            <w:col w:w="10840"/>
          </w:cols>
          <w:pgMar w:left="480" w:top="304" w:right="5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748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6"/>
          <w:szCs w:val="36"/>
          <w:b w:val="1"/>
          <w:bCs w:val="1"/>
          <w:color w:val="002856"/>
        </w:rPr>
        <w:t>EXECUTIVE SUMMARY</w:t>
      </w:r>
    </w:p>
    <w:p>
      <w:pPr>
        <w:spacing w:after="0" w:line="34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Compensation Committee has responsibility for the design, implementation, review and approval of the compensation of our executive officers. We seek to provide an executive compensation package that supports our business strategy and is driven by our overall financial performance, the success of the operating segments and corresponding financial performance that are directly impacted by the applicable executive’s leadership and the performance of the individual executive. The Compensation Committee periodically reviews, with the support of an independent compensation consultant, the pay practices of other companies with the goal of confirming that the Company’s executive compensation program remains competitive but does not target compensation decisions or levels to a specific percentile or other absolute measures related to comparison group data.</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 last year’s Annual Meeting of Shareholders, 94% of the votes cast were in favor of the advisory vote to approve executive compensation. In view of this favorable vote (as well as a similar favorable vote in 2022) and the success of our 2022 executive compensation policies in incentivizing results that were aligned with the long-term interests of our shareholders, as well as other factors (including regulatory requirements, market considerations and Company and individual performance), our executive compensation policies and practices for 2023 remained substantially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292100</wp:posOffset>
            </wp:positionV>
            <wp:extent cx="69297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2023, our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146685</wp:posOffset>
            </wp:positionV>
            <wp:extent cx="6692265" cy="942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92265" cy="94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80" w:type="dxa"/>
        <w:tblCellMar>
          <w:top w:w="0" w:type="dxa"/>
          <w:left w:w="0" w:type="dxa"/>
          <w:bottom w:w="0" w:type="dxa"/>
          <w:right w:w="0" w:type="dxa"/>
        </w:tblCellMar>
      </w:tblPr>
      <w:tr>
        <w:trPr>
          <w:trHeight w:val="195"/>
        </w:trPr>
        <w:tc>
          <w:tcPr>
            <w:tcW w:w="1940" w:type="dxa"/>
            <w:vAlign w:val="bottom"/>
          </w:tcPr>
          <w:p>
            <w:pPr>
              <w:jc w:val="center"/>
              <w:ind w:right="309"/>
              <w:spacing w:after="0"/>
              <w:rPr>
                <w:sz w:val="20"/>
                <w:szCs w:val="20"/>
                <w:color w:val="auto"/>
              </w:rPr>
            </w:pPr>
            <w:r>
              <w:rPr>
                <w:rFonts w:ascii="Arial" w:cs="Arial" w:eastAsia="Arial" w:hAnsi="Arial"/>
                <w:sz w:val="14"/>
                <w:szCs w:val="14"/>
                <w:b w:val="1"/>
                <w:bCs w:val="1"/>
                <w:color w:val="002856"/>
              </w:rPr>
              <w:t>J. POWELL BROWN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2856"/>
              </w:rPr>
              <w:t>R. ANDREW WATTS</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002856"/>
                <w:w w:val="99"/>
              </w:rPr>
              <w:t>P. BARRETT BROWN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002856"/>
              </w:rPr>
              <w:t>J. SCOTT PENNY</w:t>
            </w:r>
          </w:p>
        </w:tc>
        <w:tc>
          <w:tcPr>
            <w:tcW w:w="1800" w:type="dxa"/>
            <w:vAlign w:val="bottom"/>
          </w:tcPr>
          <w:p>
            <w:pPr>
              <w:jc w:val="center"/>
              <w:ind w:left="369"/>
              <w:spacing w:after="0"/>
              <w:rPr>
                <w:sz w:val="20"/>
                <w:szCs w:val="20"/>
                <w:color w:val="auto"/>
              </w:rPr>
            </w:pPr>
            <w:r>
              <w:rPr>
                <w:rFonts w:ascii="Arial" w:cs="Arial" w:eastAsia="Arial" w:hAnsi="Arial"/>
                <w:sz w:val="14"/>
                <w:szCs w:val="14"/>
                <w:b w:val="1"/>
                <w:bCs w:val="1"/>
                <w:color w:val="002856"/>
              </w:rPr>
              <w:t>CHRIS L. WALKER</w:t>
            </w:r>
          </w:p>
        </w:tc>
      </w:tr>
      <w:tr>
        <w:trPr>
          <w:trHeight w:val="206"/>
        </w:trPr>
        <w:tc>
          <w:tcPr>
            <w:tcW w:w="1940" w:type="dxa"/>
            <w:vAlign w:val="bottom"/>
          </w:tcPr>
          <w:p>
            <w:pPr>
              <w:jc w:val="center"/>
              <w:ind w:right="309"/>
              <w:spacing w:after="0"/>
              <w:rPr>
                <w:sz w:val="20"/>
                <w:szCs w:val="20"/>
                <w:color w:val="auto"/>
              </w:rPr>
            </w:pPr>
            <w:r>
              <w:rPr>
                <w:rFonts w:ascii="Arial" w:cs="Arial" w:eastAsia="Arial" w:hAnsi="Arial"/>
                <w:sz w:val="14"/>
                <w:szCs w:val="14"/>
                <w:b w:val="1"/>
                <w:bCs w:val="1"/>
                <w:color w:val="auto"/>
              </w:rPr>
              <w:t>Chief Executive Officer</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9"/>
              </w:rPr>
              <w:t>Executive Vice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Executive Vice</w:t>
            </w:r>
          </w:p>
        </w:tc>
        <w:tc>
          <w:tcPr>
            <w:tcW w:w="1800" w:type="dxa"/>
            <w:vAlign w:val="bottom"/>
          </w:tcPr>
          <w:p>
            <w:pPr>
              <w:jc w:val="center"/>
              <w:ind w:left="369"/>
              <w:spacing w:after="0"/>
              <w:rPr>
                <w:sz w:val="20"/>
                <w:szCs w:val="20"/>
                <w:color w:val="auto"/>
              </w:rPr>
            </w:pPr>
            <w:r>
              <w:rPr>
                <w:rFonts w:ascii="Arial" w:cs="Arial" w:eastAsia="Arial" w:hAnsi="Arial"/>
                <w:sz w:val="14"/>
                <w:szCs w:val="14"/>
                <w:b w:val="1"/>
                <w:bCs w:val="1"/>
                <w:color w:val="auto"/>
              </w:rPr>
              <w:t>Executive Vice</w:t>
            </w:r>
          </w:p>
        </w:tc>
      </w:tr>
      <w:tr>
        <w:trPr>
          <w:trHeight w:val="160"/>
        </w:trPr>
        <w:tc>
          <w:tcPr>
            <w:tcW w:w="1940" w:type="dxa"/>
            <w:vAlign w:val="bottom"/>
          </w:tcPr>
          <w:p>
            <w:pPr>
              <w:jc w:val="center"/>
              <w:ind w:right="329"/>
              <w:spacing w:after="0"/>
              <w:rPr>
                <w:sz w:val="20"/>
                <w:szCs w:val="20"/>
                <w:color w:val="auto"/>
              </w:rPr>
            </w:pPr>
            <w:r>
              <w:rPr>
                <w:rFonts w:ascii="Arial" w:cs="Arial" w:eastAsia="Arial" w:hAnsi="Arial"/>
                <w:sz w:val="14"/>
                <w:szCs w:val="14"/>
                <w:b w:val="1"/>
                <w:bCs w:val="1"/>
                <w:color w:val="auto"/>
              </w:rPr>
              <w:t>and President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Executive Vice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President and</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President and Chief</w:t>
            </w:r>
          </w:p>
        </w:tc>
        <w:tc>
          <w:tcPr>
            <w:tcW w:w="1800" w:type="dxa"/>
            <w:vAlign w:val="bottom"/>
          </w:tcPr>
          <w:p>
            <w:pPr>
              <w:jc w:val="center"/>
              <w:ind w:left="349"/>
              <w:spacing w:after="0"/>
              <w:rPr>
                <w:sz w:val="20"/>
                <w:szCs w:val="20"/>
                <w:color w:val="auto"/>
              </w:rPr>
            </w:pPr>
            <w:r>
              <w:rPr>
                <w:rFonts w:ascii="Arial" w:cs="Arial" w:eastAsia="Arial" w:hAnsi="Arial"/>
                <w:sz w:val="14"/>
                <w:szCs w:val="14"/>
                <w:b w:val="1"/>
                <w:bCs w:val="1"/>
                <w:color w:val="auto"/>
              </w:rPr>
              <w:t>President and</w:t>
            </w:r>
          </w:p>
        </w:tc>
      </w:tr>
      <w:tr>
        <w:trPr>
          <w:trHeight w:val="160"/>
        </w:trPr>
        <w:tc>
          <w:tcPr>
            <w:tcW w:w="19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President and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President – Retail</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Acquisitions Officer</w:t>
            </w:r>
          </w:p>
        </w:tc>
        <w:tc>
          <w:tcPr>
            <w:tcW w:w="1800" w:type="dxa"/>
            <w:vAlign w:val="bottom"/>
          </w:tcPr>
          <w:p>
            <w:pPr>
              <w:jc w:val="center"/>
              <w:ind w:left="369"/>
              <w:spacing w:after="0"/>
              <w:rPr>
                <w:sz w:val="20"/>
                <w:szCs w:val="20"/>
                <w:color w:val="auto"/>
              </w:rPr>
            </w:pPr>
            <w:r>
              <w:rPr>
                <w:rFonts w:ascii="Arial" w:cs="Arial" w:eastAsia="Arial" w:hAnsi="Arial"/>
                <w:sz w:val="14"/>
                <w:szCs w:val="14"/>
                <w:b w:val="1"/>
                <w:bCs w:val="1"/>
                <w:color w:val="auto"/>
              </w:rPr>
              <w:t>President – National</w:t>
            </w:r>
          </w:p>
        </w:tc>
      </w:tr>
      <w:tr>
        <w:trPr>
          <w:trHeight w:val="195"/>
        </w:trPr>
        <w:tc>
          <w:tcPr>
            <w:tcW w:w="194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9"/>
              </w:rPr>
              <w:t>Treasurer</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Segment</w:t>
            </w:r>
          </w:p>
        </w:tc>
        <w:tc>
          <w:tcPr>
            <w:tcW w:w="2220" w:type="dxa"/>
            <w:vAlign w:val="bottom"/>
          </w:tcPr>
          <w:p>
            <w:pPr>
              <w:spacing w:after="0"/>
              <w:rPr>
                <w:sz w:val="16"/>
                <w:szCs w:val="16"/>
                <w:color w:val="auto"/>
              </w:rPr>
            </w:pPr>
          </w:p>
        </w:tc>
        <w:tc>
          <w:tcPr>
            <w:tcW w:w="1800" w:type="dxa"/>
            <w:vAlign w:val="bottom"/>
          </w:tcPr>
          <w:p>
            <w:pPr>
              <w:jc w:val="center"/>
              <w:ind w:left="369"/>
              <w:spacing w:after="0"/>
              <w:rPr>
                <w:sz w:val="20"/>
                <w:szCs w:val="20"/>
                <w:color w:val="auto"/>
              </w:rPr>
            </w:pPr>
            <w:r>
              <w:rPr>
                <w:rFonts w:ascii="Arial" w:cs="Arial" w:eastAsia="Arial" w:hAnsi="Arial"/>
                <w:sz w:val="14"/>
                <w:szCs w:val="14"/>
                <w:b w:val="1"/>
                <w:bCs w:val="1"/>
                <w:color w:val="auto"/>
              </w:rPr>
              <w:t>Programs Segment</w:t>
            </w:r>
          </w:p>
        </w:tc>
      </w:tr>
    </w:tbl>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believe our compensation system continues to effectively incentivize our executive officers to deliver results for the Company that are aligned with the long-term interests of our shareholders. As reflected in the table below, we delivered another year of strong performance in 2023, and as a result, the annual cash incentives for our Named Executive Officers were calculated and paid above the target amounts: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29</w:t>
      </w:r>
    </w:p>
    <w:p>
      <w:pPr>
        <w:sectPr>
          <w:pgSz w:w="11900" w:h="16838" w:orient="portrait"/>
          <w:cols w:equalWidth="0" w:num="1">
            <w:col w:w="10920"/>
          </w:cols>
          <w:pgMar w:left="480" w:top="1440" w:right="49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Performance Highlights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TOTAL SHAREHOLDER RETURN</w:t>
      </w:r>
      <w:r>
        <w:rPr>
          <w:rFonts w:ascii="Arial" w:cs="Arial" w:eastAsia="Arial" w:hAnsi="Arial"/>
          <w:sz w:val="24"/>
          <w:szCs w:val="24"/>
          <w:b w:val="1"/>
          <w:bCs w:val="1"/>
          <w:color w:val="1D4F9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29210</wp:posOffset>
            </wp:positionV>
            <wp:extent cx="6021070" cy="26073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21070" cy="260731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Source: CapIQ as of 12/31/2023</w:t>
      </w:r>
    </w:p>
    <w:p>
      <w:pPr>
        <w:spacing w:after="0" w:line="63" w:lineRule="exact"/>
        <w:rPr>
          <w:sz w:val="20"/>
          <w:szCs w:val="20"/>
          <w:color w:val="auto"/>
        </w:rPr>
      </w:pPr>
    </w:p>
    <w:p>
      <w:pPr>
        <w:spacing w:after="0"/>
        <w:tabs>
          <w:tab w:leader="none" w:pos="200" w:val="left"/>
        </w:tabs>
        <w:rPr>
          <w:sz w:val="20"/>
          <w:szCs w:val="20"/>
          <w:color w:val="auto"/>
        </w:rPr>
      </w:pP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12"/>
          <w:szCs w:val="12"/>
          <w:color w:val="auto"/>
        </w:rPr>
        <w:t>Calculated as change in share price plus total dividends paid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20" w:type="dxa"/>
            <w:vAlign w:val="bottom"/>
          </w:tcPr>
          <w:p>
            <w:pPr>
              <w:jc w:val="right"/>
              <w:ind w:right="429"/>
              <w:spacing w:after="0"/>
              <w:rPr>
                <w:sz w:val="20"/>
                <w:szCs w:val="20"/>
                <w:color w:val="auto"/>
              </w:rPr>
            </w:pPr>
            <w:r>
              <w:rPr>
                <w:rFonts w:ascii="Arial" w:cs="Arial" w:eastAsia="Arial" w:hAnsi="Arial"/>
                <w:sz w:val="14"/>
                <w:szCs w:val="14"/>
                <w:b w:val="1"/>
                <w:bCs w:val="1"/>
                <w:color w:val="002856"/>
              </w:rPr>
              <w:t>2023</w:t>
            </w:r>
          </w:p>
        </w:tc>
        <w:tc>
          <w:tcPr>
            <w:tcW w:w="1360" w:type="dxa"/>
            <w:vAlign w:val="bottom"/>
          </w:tcPr>
          <w:p>
            <w:pPr>
              <w:jc w:val="right"/>
              <w:ind w:right="469"/>
              <w:spacing w:after="0"/>
              <w:rPr>
                <w:sz w:val="20"/>
                <w:szCs w:val="20"/>
                <w:color w:val="auto"/>
              </w:rPr>
            </w:pPr>
            <w:r>
              <w:rPr>
                <w:rFonts w:ascii="Arial" w:cs="Arial" w:eastAsia="Arial" w:hAnsi="Arial"/>
                <w:sz w:val="14"/>
                <w:szCs w:val="14"/>
                <w:b w:val="1"/>
                <w:bCs w:val="1"/>
                <w:color w:val="002856"/>
              </w:rPr>
              <w:t>2022</w:t>
            </w:r>
          </w:p>
        </w:tc>
      </w:tr>
      <w:tr>
        <w:trPr>
          <w:trHeight w:val="190"/>
        </w:trPr>
        <w:tc>
          <w:tcPr>
            <w:tcW w:w="4860" w:type="dxa"/>
            <w:vAlign w:val="bottom"/>
            <w:tcBorders>
              <w:bottom w:val="single" w:sz="8" w:color="C6093B"/>
            </w:tcBorders>
          </w:tcPr>
          <w:p>
            <w:pPr>
              <w:spacing w:after="0"/>
              <w:rPr>
                <w:sz w:val="16"/>
                <w:szCs w:val="16"/>
                <w:color w:val="auto"/>
              </w:rPr>
            </w:pPr>
          </w:p>
        </w:tc>
        <w:tc>
          <w:tcPr>
            <w:tcW w:w="1820" w:type="dxa"/>
            <w:vAlign w:val="bottom"/>
            <w:tcBorders>
              <w:bottom w:val="single" w:sz="8" w:color="C6093B"/>
            </w:tcBorders>
          </w:tcPr>
          <w:p>
            <w:pPr>
              <w:jc w:val="right"/>
              <w:ind w:right="29"/>
              <w:spacing w:after="0"/>
              <w:rPr>
                <w:sz w:val="20"/>
                <w:szCs w:val="20"/>
                <w:color w:val="auto"/>
              </w:rPr>
            </w:pPr>
            <w:r>
              <w:rPr>
                <w:rFonts w:ascii="Arial" w:cs="Arial" w:eastAsia="Arial" w:hAnsi="Arial"/>
                <w:sz w:val="14"/>
                <w:szCs w:val="14"/>
                <w:b w:val="1"/>
                <w:bCs w:val="1"/>
                <w:color w:val="002856"/>
              </w:rPr>
              <w:t>PERFORMANCE</w:t>
            </w:r>
          </w:p>
        </w:tc>
        <w:tc>
          <w:tcPr>
            <w:tcW w:w="1360" w:type="dxa"/>
            <w:vAlign w:val="bottom"/>
            <w:tcBorders>
              <w:bottom w:val="single" w:sz="8" w:color="C6093B"/>
            </w:tcBorders>
          </w:tcPr>
          <w:p>
            <w:pPr>
              <w:jc w:val="right"/>
              <w:ind w:right="69"/>
              <w:spacing w:after="0"/>
              <w:rPr>
                <w:sz w:val="20"/>
                <w:szCs w:val="20"/>
                <w:color w:val="auto"/>
              </w:rPr>
            </w:pPr>
            <w:r>
              <w:rPr>
                <w:rFonts w:ascii="Arial" w:cs="Arial" w:eastAsia="Arial" w:hAnsi="Arial"/>
                <w:sz w:val="14"/>
                <w:szCs w:val="14"/>
                <w:b w:val="1"/>
                <w:bCs w:val="1"/>
                <w:color w:val="002856"/>
              </w:rPr>
              <w:t>PERFORMANCE</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Total revenue</w:t>
            </w:r>
          </w:p>
        </w:tc>
        <w:tc>
          <w:tcPr>
            <w:tcW w:w="1820" w:type="dxa"/>
            <w:vAlign w:val="bottom"/>
          </w:tcPr>
          <w:p>
            <w:pPr>
              <w:jc w:val="right"/>
              <w:ind w:right="29"/>
              <w:spacing w:after="0"/>
              <w:rPr>
                <w:sz w:val="20"/>
                <w:szCs w:val="20"/>
                <w:color w:val="auto"/>
              </w:rPr>
            </w:pPr>
            <w:r>
              <w:rPr>
                <w:rFonts w:ascii="Arial" w:cs="Arial" w:eastAsia="Arial" w:hAnsi="Arial"/>
                <w:sz w:val="14"/>
                <w:szCs w:val="14"/>
                <w:b w:val="1"/>
                <w:bCs w:val="1"/>
                <w:color w:val="1D4F90"/>
              </w:rPr>
              <w:t>$4.257 billion</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$3.573 billion</w:t>
            </w:r>
          </w:p>
        </w:tc>
      </w:tr>
      <w:tr>
        <w:trPr>
          <w:trHeight w:val="246"/>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Net Income</w:t>
            </w:r>
          </w:p>
        </w:tc>
        <w:tc>
          <w:tcPr>
            <w:tcW w:w="1820" w:type="dxa"/>
            <w:vAlign w:val="bottom"/>
          </w:tcPr>
          <w:p>
            <w:pPr>
              <w:jc w:val="right"/>
              <w:ind w:right="29"/>
              <w:spacing w:after="0"/>
              <w:rPr>
                <w:sz w:val="20"/>
                <w:szCs w:val="20"/>
                <w:color w:val="auto"/>
              </w:rPr>
            </w:pPr>
            <w:r>
              <w:rPr>
                <w:rFonts w:ascii="Arial" w:cs="Arial" w:eastAsia="Arial" w:hAnsi="Arial"/>
                <w:sz w:val="14"/>
                <w:szCs w:val="14"/>
                <w:b w:val="1"/>
                <w:bCs w:val="1"/>
                <w:color w:val="1D4F90"/>
              </w:rPr>
              <w:t>$871 million</w:t>
            </w:r>
            <w:r>
              <w:rPr>
                <w:rFonts w:ascii="Arial" w:cs="Arial" w:eastAsia="Arial" w:hAnsi="Arial"/>
                <w:sz w:val="21"/>
                <w:szCs w:val="21"/>
                <w:b w:val="1"/>
                <w:bCs w:val="1"/>
                <w:color w:val="1D4F90"/>
                <w:vertAlign w:val="superscript"/>
              </w:rPr>
              <w:t>1</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$672 million</w:t>
            </w:r>
          </w:p>
        </w:tc>
      </w:tr>
      <w:tr>
        <w:trPr>
          <w:trHeight w:val="231"/>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Diluted earnings per share</w:t>
            </w:r>
          </w:p>
        </w:tc>
        <w:tc>
          <w:tcPr>
            <w:tcW w:w="1820" w:type="dxa"/>
            <w:vAlign w:val="bottom"/>
          </w:tcPr>
          <w:p>
            <w:pPr>
              <w:jc w:val="right"/>
              <w:ind w:right="29"/>
              <w:spacing w:after="0" w:line="231" w:lineRule="exact"/>
              <w:rPr>
                <w:sz w:val="20"/>
                <w:szCs w:val="20"/>
                <w:color w:val="auto"/>
              </w:rPr>
            </w:pPr>
            <w:r>
              <w:rPr>
                <w:rFonts w:ascii="Arial" w:cs="Arial" w:eastAsia="Arial" w:hAnsi="Arial"/>
                <w:sz w:val="14"/>
                <w:szCs w:val="14"/>
                <w:b w:val="1"/>
                <w:bCs w:val="1"/>
                <w:color w:val="1D4F90"/>
              </w:rPr>
              <w:t>$3.05</w:t>
            </w:r>
            <w:r>
              <w:rPr>
                <w:rFonts w:ascii="Arial" w:cs="Arial" w:eastAsia="Arial" w:hAnsi="Arial"/>
                <w:sz w:val="21"/>
                <w:szCs w:val="21"/>
                <w:b w:val="1"/>
                <w:bCs w:val="1"/>
                <w:color w:val="1D4F90"/>
                <w:vertAlign w:val="superscript"/>
              </w:rPr>
              <w:t>1</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$2.37</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Company total commissions and fees growth</w:t>
            </w:r>
          </w:p>
        </w:tc>
        <w:tc>
          <w:tcPr>
            <w:tcW w:w="1820" w:type="dxa"/>
            <w:vAlign w:val="bottom"/>
          </w:tcPr>
          <w:p>
            <w:pPr>
              <w:jc w:val="right"/>
              <w:ind w:right="29"/>
              <w:spacing w:after="0"/>
              <w:rPr>
                <w:sz w:val="20"/>
                <w:szCs w:val="20"/>
                <w:color w:val="auto"/>
              </w:rPr>
            </w:pPr>
            <w:r>
              <w:rPr>
                <w:rFonts w:ascii="Arial" w:cs="Arial" w:eastAsia="Arial" w:hAnsi="Arial"/>
                <w:sz w:val="14"/>
                <w:szCs w:val="14"/>
                <w:b w:val="1"/>
                <w:bCs w:val="1"/>
                <w:color w:val="1D4F90"/>
              </w:rPr>
              <w:t>17.9%</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16.9%</w:t>
            </w:r>
          </w:p>
        </w:tc>
      </w:tr>
      <w:tr>
        <w:trPr>
          <w:trHeight w:val="260"/>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Retail segment</w:t>
            </w: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 xml:space="preserve"> total commissions and fees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16.9%</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17.9%</w:t>
            </w:r>
          </w:p>
        </w:tc>
      </w:tr>
      <w:tr>
        <w:trPr>
          <w:trHeight w:val="189"/>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National Programs segment total commissions and fees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24.0%</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22.4%</w:t>
            </w:r>
          </w:p>
        </w:tc>
      </w:tr>
      <w:tr>
        <w:trPr>
          <w:trHeight w:val="227"/>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Wholesale Brokerage segment total commissions and fees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19.0%</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12.5%</w:t>
            </w:r>
          </w:p>
        </w:tc>
      </w:tr>
      <w:tr>
        <w:trPr>
          <w:trHeight w:val="227"/>
        </w:trPr>
        <w:tc>
          <w:tcPr>
            <w:tcW w:w="4860" w:type="dxa"/>
            <w:vAlign w:val="bottom"/>
          </w:tcPr>
          <w:p>
            <w:pPr>
              <w:ind w:left="80"/>
              <w:spacing w:after="0"/>
              <w:rPr>
                <w:sz w:val="20"/>
                <w:szCs w:val="20"/>
                <w:color w:val="auto"/>
              </w:rPr>
            </w:pPr>
            <w:r>
              <w:rPr>
                <w:rFonts w:ascii="Arial" w:cs="Arial" w:eastAsia="Arial" w:hAnsi="Arial"/>
                <w:sz w:val="14"/>
                <w:szCs w:val="14"/>
                <w:i w:val="1"/>
                <w:iCs w:val="1"/>
                <w:color w:val="auto"/>
              </w:rPr>
              <w:t>Services segment total commissions and fees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(3.9)%</w:t>
            </w:r>
          </w:p>
        </w:tc>
      </w:tr>
      <w:tr>
        <w:trPr>
          <w:trHeight w:val="264"/>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Company Organic Revenue</w:t>
            </w:r>
            <w:r>
              <w:rPr>
                <w:rFonts w:ascii="Arial" w:cs="Arial" w:eastAsia="Arial" w:hAnsi="Arial"/>
                <w:sz w:val="21"/>
                <w:szCs w:val="21"/>
                <w:b w:val="1"/>
                <w:bCs w:val="1"/>
                <w:color w:val="1D4F90"/>
                <w:vertAlign w:val="superscript"/>
              </w:rPr>
              <w:t>3</w:t>
            </w:r>
            <w:r>
              <w:rPr>
                <w:rFonts w:ascii="Arial" w:cs="Arial" w:eastAsia="Arial" w:hAnsi="Arial"/>
                <w:sz w:val="14"/>
                <w:szCs w:val="14"/>
                <w:b w:val="1"/>
                <w:bCs w:val="1"/>
                <w:color w:val="1D4F90"/>
              </w:rPr>
              <w:t xml:space="preserve"> growth</w:t>
            </w:r>
          </w:p>
        </w:tc>
        <w:tc>
          <w:tcPr>
            <w:tcW w:w="1820" w:type="dxa"/>
            <w:vAlign w:val="bottom"/>
          </w:tcPr>
          <w:p>
            <w:pPr>
              <w:jc w:val="right"/>
              <w:ind w:right="29"/>
              <w:spacing w:after="0"/>
              <w:rPr>
                <w:sz w:val="20"/>
                <w:szCs w:val="20"/>
                <w:color w:val="auto"/>
              </w:rPr>
            </w:pPr>
            <w:r>
              <w:rPr>
                <w:rFonts w:ascii="Arial" w:cs="Arial" w:eastAsia="Arial" w:hAnsi="Arial"/>
                <w:sz w:val="14"/>
                <w:szCs w:val="14"/>
                <w:b w:val="1"/>
                <w:bCs w:val="1"/>
                <w:color w:val="1D4F90"/>
              </w:rPr>
              <w:t>10.2%</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8.1%</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Retail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7.9%</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6.5%</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National Programs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17.2%</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15.7%</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i w:val="1"/>
                <w:iCs w:val="1"/>
                <w:color w:val="auto"/>
              </w:rPr>
              <w:t>Wholesale Brokerage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12.2%</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7.6%</w:t>
            </w:r>
          </w:p>
        </w:tc>
      </w:tr>
      <w:tr>
        <w:trPr>
          <w:trHeight w:val="225"/>
        </w:trPr>
        <w:tc>
          <w:tcPr>
            <w:tcW w:w="4860" w:type="dxa"/>
            <w:vAlign w:val="bottom"/>
          </w:tcPr>
          <w:p>
            <w:pPr>
              <w:ind w:left="80"/>
              <w:spacing w:after="0" w:line="225" w:lineRule="exact"/>
              <w:rPr>
                <w:sz w:val="20"/>
                <w:szCs w:val="20"/>
                <w:color w:val="auto"/>
              </w:rPr>
            </w:pPr>
            <w:r>
              <w:rPr>
                <w:rFonts w:ascii="Arial" w:cs="Arial" w:eastAsia="Arial" w:hAnsi="Arial"/>
                <w:sz w:val="14"/>
                <w:szCs w:val="14"/>
                <w:i w:val="1"/>
                <w:iCs w:val="1"/>
                <w:color w:val="auto"/>
              </w:rPr>
              <w:t>Services segment Organic Revenue</w:t>
            </w:r>
            <w:r>
              <w:rPr>
                <w:rFonts w:ascii="Arial" w:cs="Arial" w:eastAsia="Arial" w:hAnsi="Arial"/>
                <w:sz w:val="21"/>
                <w:szCs w:val="21"/>
                <w:i w:val="1"/>
                <w:iCs w:val="1"/>
                <w:color w:val="auto"/>
                <w:vertAlign w:val="superscript"/>
              </w:rPr>
              <w:t>3</w:t>
            </w:r>
            <w:r>
              <w:rPr>
                <w:rFonts w:ascii="Arial" w:cs="Arial" w:eastAsia="Arial" w:hAnsi="Arial"/>
                <w:sz w:val="14"/>
                <w:szCs w:val="14"/>
                <w:i w:val="1"/>
                <w:iCs w:val="1"/>
                <w:color w:val="auto"/>
              </w:rPr>
              <w:t xml:space="preserve"> growth</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(2.9)%</w:t>
            </w:r>
          </w:p>
        </w:tc>
      </w:tr>
      <w:tr>
        <w:trPr>
          <w:trHeight w:val="227"/>
        </w:trPr>
        <w:tc>
          <w:tcPr>
            <w:tcW w:w="4860" w:type="dxa"/>
            <w:vAlign w:val="bottom"/>
          </w:tcPr>
          <w:p>
            <w:pPr>
              <w:ind w:left="80"/>
              <w:spacing w:after="0" w:line="227" w:lineRule="exact"/>
              <w:rPr>
                <w:sz w:val="20"/>
                <w:szCs w:val="20"/>
                <w:color w:val="auto"/>
              </w:rPr>
            </w:pPr>
            <w:r>
              <w:rPr>
                <w:rFonts w:ascii="Arial" w:cs="Arial" w:eastAsia="Arial" w:hAnsi="Arial"/>
                <w:sz w:val="14"/>
                <w:szCs w:val="14"/>
                <w:b w:val="1"/>
                <w:bCs w:val="1"/>
                <w:color w:val="1D4F90"/>
              </w:rPr>
              <w:t>Income before income taxes margin</w:t>
            </w:r>
            <w:r>
              <w:rPr>
                <w:rFonts w:ascii="Arial" w:cs="Arial" w:eastAsia="Arial" w:hAnsi="Arial"/>
                <w:sz w:val="21"/>
                <w:szCs w:val="21"/>
                <w:b w:val="1"/>
                <w:bCs w:val="1"/>
                <w:color w:val="1D4F90"/>
                <w:vertAlign w:val="superscript"/>
              </w:rPr>
              <w:t>4</w:t>
            </w:r>
          </w:p>
        </w:tc>
        <w:tc>
          <w:tcPr>
            <w:tcW w:w="1820" w:type="dxa"/>
            <w:vAlign w:val="bottom"/>
          </w:tcPr>
          <w:p>
            <w:pPr>
              <w:jc w:val="right"/>
              <w:ind w:right="29"/>
              <w:spacing w:after="0"/>
              <w:rPr>
                <w:sz w:val="20"/>
                <w:szCs w:val="20"/>
                <w:color w:val="auto"/>
              </w:rPr>
            </w:pPr>
            <w:r>
              <w:rPr>
                <w:rFonts w:ascii="Arial" w:cs="Arial" w:eastAsia="Arial" w:hAnsi="Arial"/>
                <w:sz w:val="14"/>
                <w:szCs w:val="14"/>
                <w:color w:val="1D4F90"/>
              </w:rPr>
              <w:t>26.9%</w:t>
            </w:r>
          </w:p>
        </w:tc>
        <w:tc>
          <w:tcPr>
            <w:tcW w:w="1360" w:type="dxa"/>
            <w:vAlign w:val="bottom"/>
          </w:tcPr>
          <w:p>
            <w:pPr>
              <w:jc w:val="right"/>
              <w:ind w:right="49"/>
              <w:spacing w:after="0"/>
              <w:rPr>
                <w:sz w:val="20"/>
                <w:szCs w:val="20"/>
                <w:color w:val="auto"/>
              </w:rPr>
            </w:pPr>
            <w:r>
              <w:rPr>
                <w:rFonts w:ascii="Arial" w:cs="Arial" w:eastAsia="Arial" w:hAnsi="Arial"/>
                <w:sz w:val="14"/>
                <w:szCs w:val="14"/>
                <w:color w:val="1D4F90"/>
              </w:rPr>
              <w:t>24.5%</w:t>
            </w:r>
          </w:p>
        </w:tc>
      </w:tr>
      <w:tr>
        <w:trPr>
          <w:trHeight w:val="231"/>
        </w:trPr>
        <w:tc>
          <w:tcPr>
            <w:tcW w:w="4860" w:type="dxa"/>
            <w:vAlign w:val="bottom"/>
          </w:tcPr>
          <w:p>
            <w:pPr>
              <w:ind w:left="80"/>
              <w:spacing w:after="0" w:line="231" w:lineRule="exact"/>
              <w:rPr>
                <w:sz w:val="20"/>
                <w:szCs w:val="20"/>
                <w:color w:val="auto"/>
              </w:rPr>
            </w:pPr>
            <w:r>
              <w:rPr>
                <w:rFonts w:ascii="Arial" w:cs="Arial" w:eastAsia="Arial" w:hAnsi="Arial"/>
                <w:sz w:val="14"/>
                <w:szCs w:val="14"/>
                <w:b w:val="1"/>
                <w:bCs w:val="1"/>
                <w:color w:val="1D4F90"/>
              </w:rPr>
              <w:t>Adjusted EBITDAC Margin</w:t>
            </w:r>
            <w:r>
              <w:rPr>
                <w:rFonts w:ascii="Arial" w:cs="Arial" w:eastAsia="Arial" w:hAnsi="Arial"/>
                <w:sz w:val="21"/>
                <w:szCs w:val="21"/>
                <w:b w:val="1"/>
                <w:bCs w:val="1"/>
                <w:color w:val="1D4F90"/>
                <w:vertAlign w:val="superscript"/>
              </w:rPr>
              <w:t>3</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34.2%</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32.9%</w:t>
            </w:r>
          </w:p>
        </w:tc>
      </w:tr>
      <w:tr>
        <w:trPr>
          <w:trHeight w:val="195"/>
        </w:trPr>
        <w:tc>
          <w:tcPr>
            <w:tcW w:w="4860" w:type="dxa"/>
            <w:vAlign w:val="bottom"/>
          </w:tcPr>
          <w:p>
            <w:pPr>
              <w:ind w:left="80"/>
              <w:spacing w:after="0"/>
              <w:rPr>
                <w:sz w:val="20"/>
                <w:szCs w:val="20"/>
                <w:color w:val="auto"/>
              </w:rPr>
            </w:pPr>
            <w:r>
              <w:rPr>
                <w:rFonts w:ascii="Arial" w:cs="Arial" w:eastAsia="Arial" w:hAnsi="Arial"/>
                <w:sz w:val="14"/>
                <w:szCs w:val="14"/>
                <w:b w:val="1"/>
                <w:bCs w:val="1"/>
                <w:color w:val="1D4F90"/>
              </w:rPr>
              <w:t>Net cash provided by operating activities</w:t>
            </w:r>
          </w:p>
        </w:tc>
        <w:tc>
          <w:tcPr>
            <w:tcW w:w="1820" w:type="dxa"/>
            <w:vAlign w:val="bottom"/>
          </w:tcPr>
          <w:p>
            <w:pPr>
              <w:jc w:val="right"/>
              <w:ind w:right="29"/>
              <w:spacing w:after="0"/>
              <w:rPr>
                <w:sz w:val="20"/>
                <w:szCs w:val="20"/>
                <w:color w:val="auto"/>
              </w:rPr>
            </w:pPr>
            <w:r>
              <w:rPr>
                <w:rFonts w:ascii="Arial" w:cs="Arial" w:eastAsia="Arial" w:hAnsi="Arial"/>
                <w:sz w:val="14"/>
                <w:szCs w:val="14"/>
                <w:b w:val="1"/>
                <w:bCs w:val="1"/>
                <w:color w:val="1D4F90"/>
              </w:rPr>
              <w:t>$1,010 million</w:t>
            </w:r>
          </w:p>
        </w:tc>
        <w:tc>
          <w:tcPr>
            <w:tcW w:w="1360" w:type="dxa"/>
            <w:vAlign w:val="bottom"/>
          </w:tcPr>
          <w:p>
            <w:pPr>
              <w:jc w:val="right"/>
              <w:ind w:right="49"/>
              <w:spacing w:after="0"/>
              <w:rPr>
                <w:sz w:val="20"/>
                <w:szCs w:val="20"/>
                <w:color w:val="auto"/>
              </w:rPr>
            </w:pPr>
            <w:r>
              <w:rPr>
                <w:rFonts w:ascii="Arial" w:cs="Arial" w:eastAsia="Arial" w:hAnsi="Arial"/>
                <w:sz w:val="14"/>
                <w:szCs w:val="14"/>
                <w:b w:val="1"/>
                <w:bCs w:val="1"/>
                <w:color w:val="1D4F90"/>
              </w:rPr>
              <w:t>$881 million</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80" w:type="dxa"/>
            <w:vAlign w:val="bottom"/>
            <w:tcBorders>
              <w:top w:val="single" w:sz="8" w:color="C6093B"/>
            </w:tcBorders>
            <w:vMerge w:val="restart"/>
          </w:tcPr>
          <w:p>
            <w:pPr>
              <w:spacing w:after="0"/>
              <w:rPr>
                <w:sz w:val="20"/>
                <w:szCs w:val="20"/>
                <w:color w:val="auto"/>
              </w:rPr>
            </w:pPr>
            <w:r>
              <w:rPr>
                <w:rFonts w:ascii="Arial" w:cs="Arial" w:eastAsia="Arial" w:hAnsi="Arial"/>
                <w:sz w:val="18"/>
                <w:szCs w:val="18"/>
                <w:color w:val="auto"/>
                <w:vertAlign w:val="superscript"/>
              </w:rPr>
              <w:t>(</w:t>
            </w:r>
            <w:r>
              <w:rPr>
                <w:rFonts w:ascii="Arial" w:cs="Arial" w:eastAsia="Arial" w:hAnsi="Arial"/>
                <w:sz w:val="12"/>
                <w:szCs w:val="12"/>
                <w:color w:val="auto"/>
              </w:rPr>
              <w:t>(1)    Amount includes a pre-tax gain on disposal of $134.6 million associated with the sale of certain third-party claims administration and</w:t>
            </w:r>
          </w:p>
        </w:tc>
        <w:tc>
          <w:tcPr>
            <w:tcW w:w="160" w:type="dxa"/>
            <w:vAlign w:val="bottom"/>
            <w:tcBorders>
              <w:top w:val="single" w:sz="8" w:color="C6093B"/>
            </w:tcBorders>
          </w:tcPr>
          <w:p>
            <w:pPr>
              <w:ind w:left="40"/>
              <w:spacing w:after="0"/>
              <w:rPr>
                <w:sz w:val="20"/>
                <w:szCs w:val="20"/>
                <w:color w:val="auto"/>
              </w:rPr>
            </w:pP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87"/>
        </w:trPr>
        <w:tc>
          <w:tcPr>
            <w:tcW w:w="7880" w:type="dxa"/>
            <w:vAlign w:val="bottom"/>
            <w:vMerge w:val="continue"/>
          </w:tcPr>
          <w:p>
            <w:pPr>
              <w:spacing w:after="0"/>
              <w:rPr>
                <w:sz w:val="7"/>
                <w:szCs w:val="7"/>
                <w:color w:val="auto"/>
              </w:rPr>
            </w:pPr>
          </w:p>
        </w:tc>
        <w:tc>
          <w:tcPr>
            <w:tcW w:w="160" w:type="dxa"/>
            <w:vAlign w:val="bottom"/>
          </w:tcPr>
          <w:p>
            <w:pPr>
              <w:ind w:left="40"/>
              <w:spacing w:after="0" w:line="87" w:lineRule="exact"/>
              <w:rPr>
                <w:sz w:val="20"/>
                <w:szCs w:val="20"/>
                <w:color w:val="auto"/>
              </w:rPr>
            </w:pPr>
            <w:r>
              <w:rPr>
                <w:rFonts w:ascii="Arial" w:cs="Arial" w:eastAsia="Arial" w:hAnsi="Arial"/>
                <w:sz w:val="9"/>
                <w:szCs w:val="9"/>
                <w:color w:val="auto"/>
              </w:rPr>
              <w:t xml:space="preserve">   </w:t>
            </w:r>
          </w:p>
        </w:tc>
        <w:tc>
          <w:tcPr>
            <w:tcW w:w="0" w:type="dxa"/>
            <w:vAlign w:val="bottom"/>
          </w:tcPr>
          <w:p>
            <w:pPr>
              <w:spacing w:after="0"/>
              <w:rPr>
                <w:sz w:val="1"/>
                <w:szCs w:val="1"/>
                <w:color w:val="auto"/>
              </w:rPr>
            </w:pPr>
          </w:p>
        </w:tc>
      </w:tr>
      <w:tr>
        <w:trPr>
          <w:trHeight w:val="175"/>
        </w:trPr>
        <w:tc>
          <w:tcPr>
            <w:tcW w:w="7880" w:type="dxa"/>
            <w:vAlign w:val="bottom"/>
          </w:tcPr>
          <w:p>
            <w:pPr>
              <w:ind w:left="200"/>
              <w:spacing w:after="0"/>
              <w:rPr>
                <w:sz w:val="20"/>
                <w:szCs w:val="20"/>
                <w:color w:val="auto"/>
              </w:rPr>
            </w:pPr>
            <w:r>
              <w:rPr>
                <w:rFonts w:ascii="Arial" w:cs="Arial" w:eastAsia="Arial" w:hAnsi="Arial"/>
                <w:sz w:val="12"/>
                <w:szCs w:val="12"/>
                <w:color w:val="auto"/>
              </w:rPr>
              <w:t>adjusting services businesses in the fourth quarter of 2023.</w:t>
            </w:r>
          </w:p>
        </w:tc>
        <w:tc>
          <w:tcPr>
            <w:tcW w:w="160" w:type="dxa"/>
            <w:vAlign w:val="bottom"/>
          </w:tcPr>
          <w:p>
            <w:pPr>
              <w:ind w:left="40"/>
              <w:spacing w:after="0"/>
              <w:rPr>
                <w:sz w:val="20"/>
                <w:szCs w:val="20"/>
                <w:color w:val="auto"/>
              </w:rPr>
            </w:pP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25"/>
        </w:trPr>
        <w:tc>
          <w:tcPr>
            <w:tcW w:w="7880" w:type="dxa"/>
            <w:vAlign w:val="bottom"/>
          </w:tcPr>
          <w:p>
            <w:pPr>
              <w:spacing w:after="0"/>
              <w:rPr>
                <w:sz w:val="20"/>
                <w:szCs w:val="20"/>
                <w:color w:val="auto"/>
              </w:rPr>
            </w:pPr>
            <w:r>
              <w:rPr>
                <w:rFonts w:ascii="Arial" w:cs="Arial" w:eastAsia="Arial" w:hAnsi="Arial"/>
                <w:sz w:val="9"/>
                <w:szCs w:val="9"/>
                <w:color w:val="auto"/>
              </w:rPr>
              <w:t xml:space="preserve">(2)   </w:t>
            </w:r>
          </w:p>
        </w:tc>
        <w:tc>
          <w:tcPr>
            <w:tcW w:w="160" w:type="dxa"/>
            <w:vAlign w:val="bottom"/>
          </w:tcPr>
          <w:p>
            <w:pPr>
              <w:ind w:left="40"/>
              <w:spacing w:after="0" w:line="125" w:lineRule="exact"/>
              <w:rPr>
                <w:sz w:val="20"/>
                <w:szCs w:val="20"/>
                <w:color w:val="auto"/>
              </w:rPr>
            </w:pP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36"/>
        </w:trPr>
        <w:tc>
          <w:tcPr>
            <w:tcW w:w="7880" w:type="dxa"/>
            <w:vAlign w:val="bottom"/>
          </w:tcPr>
          <w:p>
            <w:pPr>
              <w:ind w:left="180"/>
              <w:spacing w:after="0" w:line="36" w:lineRule="exact"/>
              <w:rPr>
                <w:sz w:val="20"/>
                <w:szCs w:val="20"/>
                <w:color w:val="auto"/>
              </w:rPr>
            </w:pPr>
            <w:r>
              <w:rPr>
                <w:rFonts w:ascii="Arial" w:cs="Arial" w:eastAsia="Arial" w:hAnsi="Arial"/>
                <w:sz w:val="4"/>
                <w:szCs w:val="4"/>
                <w:color w:val="auto"/>
              </w:rPr>
              <w:t>The Retail segment includes commissions and fees reported in the “Other” column of the Segment Information table in Note 16 to our</w:t>
            </w: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880" w:type="dxa"/>
            <w:vAlign w:val="bottom"/>
          </w:tcPr>
          <w:p>
            <w:pPr>
              <w:ind w:left="200"/>
              <w:spacing w:after="0" w:line="134" w:lineRule="exact"/>
              <w:rPr>
                <w:sz w:val="20"/>
                <w:szCs w:val="20"/>
                <w:color w:val="auto"/>
              </w:rPr>
            </w:pPr>
            <w:r>
              <w:rPr>
                <w:rFonts w:ascii="Arial" w:cs="Arial" w:eastAsia="Arial" w:hAnsi="Arial"/>
                <w:sz w:val="12"/>
                <w:szCs w:val="12"/>
                <w:color w:val="auto"/>
              </w:rPr>
              <w:t>audited consolidated financial statements in our Annual Report on Form 10-K for the fiscal year ended December 31, 2023, which includes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880" w:type="dxa"/>
            <w:vAlign w:val="bottom"/>
          </w:tcPr>
          <w:p>
            <w:pPr>
              <w:ind w:left="200"/>
              <w:spacing w:after="0"/>
              <w:rPr>
                <w:sz w:val="20"/>
                <w:szCs w:val="20"/>
                <w:color w:val="auto"/>
              </w:rPr>
            </w:pPr>
            <w:r>
              <w:rPr>
                <w:rFonts w:ascii="Arial" w:cs="Arial" w:eastAsia="Arial" w:hAnsi="Arial"/>
                <w:sz w:val="12"/>
                <w:szCs w:val="12"/>
                <w:color w:val="auto"/>
              </w:rPr>
              <w:t>corporate and consolidation items.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0" w:right="280" w:hanging="186"/>
        <w:spacing w:after="0" w:line="207"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2"/>
          <w:szCs w:val="12"/>
          <w:color w:val="auto"/>
        </w:rPr>
        <w:t xml:space="preserve">    See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Organic Revenue, Organic Revenue growth and Adjusted EBITDAC Margin, which are non-GAAP financial measures, including a reconciliation to the most closely comparable GAAP financial measure.</w:t>
      </w:r>
    </w:p>
    <w:p>
      <w:pPr>
        <w:spacing w:after="0" w:line="50" w:lineRule="exact"/>
        <w:rPr>
          <w:sz w:val="20"/>
          <w:szCs w:val="20"/>
          <w:color w:val="auto"/>
        </w:rPr>
      </w:pPr>
    </w:p>
    <w:p>
      <w:pPr>
        <w:ind w:left="200" w:right="140" w:hanging="186"/>
        <w:spacing w:after="0" w:line="207" w:lineRule="auto"/>
        <w:rPr>
          <w:sz w:val="20"/>
          <w:szCs w:val="20"/>
          <w:color w:val="auto"/>
        </w:rPr>
      </w:pPr>
      <w:r>
        <w:rPr>
          <w:rFonts w:ascii="Arial" w:cs="Arial" w:eastAsia="Arial" w:hAnsi="Arial"/>
          <w:sz w:val="18"/>
          <w:szCs w:val="18"/>
          <w:color w:val="auto"/>
          <w:vertAlign w:val="superscript"/>
        </w:rPr>
        <w:t>(4)</w:t>
      </w:r>
      <w:r>
        <w:rPr>
          <w:rFonts w:ascii="Arial" w:cs="Arial" w:eastAsia="Arial" w:hAnsi="Arial"/>
          <w:sz w:val="12"/>
          <w:szCs w:val="12"/>
          <w:color w:val="auto"/>
        </w:rPr>
        <w:t xml:space="preserve">    Income before income taxes margin is calculated as the Company’s income before income taxes, as reported, divided by total revenues, as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30</w:t>
      </w:r>
      <w:r>
        <w:rPr>
          <w:rFonts w:ascii="Arial" w:cs="Arial" w:eastAsia="Arial" w:hAnsi="Arial"/>
          <w:sz w:val="14"/>
          <w:szCs w:val="14"/>
          <w:color w:val="4C4C4C"/>
        </w:rPr>
        <w:t xml:space="preserve">  |  BROWN &amp; BROWN,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Strong total and </w:t>
      </w:r>
      <w:r>
        <w:rPr>
          <w:rFonts w:ascii="Arial" w:cs="Arial" w:eastAsia="Arial" w:hAnsi="Arial"/>
          <w:sz w:val="19"/>
          <w:szCs w:val="19"/>
          <w:b w:val="1"/>
          <w:bCs w:val="1"/>
          <w:color w:val="1D4F90"/>
        </w:rPr>
        <w:t>ORGANIC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-165735</wp:posOffset>
            </wp:positionV>
            <wp:extent cx="17145" cy="3949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39490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1D4F90"/>
        </w:rPr>
        <w:t>REVENUE GROWTH</w:t>
      </w:r>
    </w:p>
    <w:p>
      <w:pPr>
        <w:spacing w:after="0"/>
        <w:rPr>
          <w:sz w:val="20"/>
          <w:szCs w:val="20"/>
          <w:color w:val="auto"/>
        </w:rPr>
      </w:pPr>
      <w:r>
        <w:rPr>
          <w:rFonts w:ascii="Arial" w:cs="Arial" w:eastAsia="Arial" w:hAnsi="Arial"/>
          <w:sz w:val="16"/>
          <w:szCs w:val="16"/>
          <w:b w:val="1"/>
          <w:bCs w:val="1"/>
          <w:color w:val="auto"/>
        </w:rPr>
        <w:t>companywide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5455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right="400"/>
        <w:spacing w:after="0" w:line="235" w:lineRule="auto"/>
        <w:rPr>
          <w:sz w:val="20"/>
          <w:szCs w:val="20"/>
          <w:color w:val="auto"/>
        </w:rPr>
      </w:pPr>
      <w:r>
        <w:rPr>
          <w:rFonts w:ascii="Arial" w:cs="Arial" w:eastAsia="Arial" w:hAnsi="Arial"/>
          <w:sz w:val="20"/>
          <w:szCs w:val="20"/>
          <w:b w:val="1"/>
          <w:bCs w:val="1"/>
          <w:color w:val="1D4F90"/>
        </w:rPr>
        <w:t xml:space="preserve">INCREASED </w:t>
      </w:r>
      <w:r>
        <w:rPr>
          <w:rFonts w:ascii="Arial" w:cs="Arial" w:eastAsia="Arial" w:hAnsi="Arial"/>
          <w:sz w:val="16"/>
          <w:szCs w:val="16"/>
          <w:b w:val="1"/>
          <w:bCs w:val="1"/>
          <w:color w:val="000000"/>
        </w:rPr>
        <w:t>our</w:t>
      </w:r>
      <w:r>
        <w:rPr>
          <w:rFonts w:ascii="Arial" w:cs="Arial" w:eastAsia="Arial" w:hAnsi="Arial"/>
          <w:sz w:val="20"/>
          <w:szCs w:val="20"/>
          <w:b w:val="1"/>
          <w:bCs w:val="1"/>
          <w:color w:val="1D4F90"/>
        </w:rPr>
        <w:t xml:space="preserve"> </w:t>
      </w:r>
      <w:r>
        <w:rPr>
          <w:rFonts w:ascii="Arial" w:cs="Arial" w:eastAsia="Arial" w:hAnsi="Arial"/>
          <w:sz w:val="16"/>
          <w:szCs w:val="16"/>
          <w:b w:val="1"/>
          <w:bCs w:val="1"/>
          <w:color w:val="000000"/>
        </w:rPr>
        <w:t>industry-leading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15455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1D4F90"/>
        </w:rPr>
        <w:t xml:space="preserve">30TH </w:t>
      </w:r>
      <w:r>
        <w:rPr>
          <w:rFonts w:ascii="Arial" w:cs="Arial" w:eastAsia="Arial" w:hAnsi="Arial"/>
          <w:sz w:val="16"/>
          <w:szCs w:val="16"/>
          <w:b w:val="1"/>
          <w:bCs w:val="1"/>
          <w:color w:val="000000"/>
        </w:rPr>
        <w:t>consecutive annual</w:t>
      </w:r>
      <w:r>
        <w:rPr>
          <w:rFonts w:ascii="Arial" w:cs="Arial" w:eastAsia="Arial" w:hAnsi="Arial"/>
          <w:sz w:val="16"/>
          <w:szCs w:val="16"/>
          <w:b w:val="1"/>
          <w:bCs w:val="1"/>
          <w:color w:val="1D4F90"/>
        </w:rPr>
        <w:t xml:space="preserve"> </w:t>
      </w:r>
      <w:r>
        <w:rPr>
          <w:rFonts w:ascii="Arial" w:cs="Arial" w:eastAsia="Arial" w:hAnsi="Arial"/>
          <w:sz w:val="16"/>
          <w:szCs w:val="16"/>
          <w:b w:val="1"/>
          <w:bCs w:val="1"/>
          <w:color w:val="000000"/>
        </w:rPr>
        <w:t xml:space="preserve">dividend increase, returning approximately </w:t>
      </w:r>
      <w:r>
        <w:rPr>
          <w:rFonts w:ascii="Arial" w:cs="Arial" w:eastAsia="Arial" w:hAnsi="Arial"/>
          <w:sz w:val="19"/>
          <w:szCs w:val="19"/>
          <w:b w:val="1"/>
          <w:bCs w:val="1"/>
          <w:color w:val="1D4F90"/>
        </w:rPr>
        <w:t>$ 135 MILLION</w:t>
      </w:r>
      <w:r>
        <w:rPr>
          <w:rFonts w:ascii="Arial" w:cs="Arial" w:eastAsia="Arial" w:hAnsi="Arial"/>
          <w:sz w:val="16"/>
          <w:szCs w:val="16"/>
          <w:b w:val="1"/>
          <w:bCs w:val="1"/>
          <w:color w:val="000000"/>
        </w:rPr>
        <w:t xml:space="preserve"> to shareholders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1545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spacing w:after="0" w:line="235" w:lineRule="auto"/>
        <w:rPr>
          <w:sz w:val="20"/>
          <w:szCs w:val="20"/>
          <w:color w:val="auto"/>
        </w:rPr>
      </w:pPr>
      <w:r>
        <w:rPr>
          <w:rFonts w:ascii="Arial" w:cs="Arial" w:eastAsia="Arial" w:hAnsi="Arial"/>
          <w:sz w:val="20"/>
          <w:szCs w:val="20"/>
          <w:b w:val="1"/>
          <w:bCs w:val="1"/>
          <w:color w:val="1D4F90"/>
        </w:rPr>
        <w:t xml:space="preserve">ROBUST GROWTH </w:t>
      </w:r>
      <w:r>
        <w:rPr>
          <w:rFonts w:ascii="Arial" w:cs="Arial" w:eastAsia="Arial" w:hAnsi="Arial"/>
          <w:sz w:val="16"/>
          <w:szCs w:val="16"/>
          <w:b w:val="1"/>
          <w:bCs w:val="1"/>
          <w:color w:val="000000"/>
        </w:rPr>
        <w:t>in net</w:t>
      </w:r>
      <w:r>
        <w:rPr>
          <w:rFonts w:ascii="Arial" w:cs="Arial" w:eastAsia="Arial" w:hAnsi="Arial"/>
          <w:sz w:val="20"/>
          <w:szCs w:val="20"/>
          <w:b w:val="1"/>
          <w:bCs w:val="1"/>
          <w:color w:val="1D4F90"/>
        </w:rPr>
        <w:t xml:space="preserve"> </w:t>
      </w:r>
      <w:r>
        <w:rPr>
          <w:rFonts w:ascii="Arial" w:cs="Arial" w:eastAsia="Arial" w:hAnsi="Arial"/>
          <w:sz w:val="16"/>
          <w:szCs w:val="16"/>
          <w:b w:val="1"/>
          <w:bCs w:val="1"/>
          <w:color w:val="000000"/>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15455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60" w:firstLine="6"/>
        <w:spacing w:after="0" w:line="249" w:lineRule="auto"/>
        <w:tabs>
          <w:tab w:leader="none" w:pos="273" w:val="left"/>
        </w:tabs>
        <w:numPr>
          <w:ilvl w:val="0"/>
          <w:numId w:val="19"/>
        </w:numPr>
        <w:rPr>
          <w:rFonts w:ascii="Arial" w:cs="Arial" w:eastAsia="Arial" w:hAnsi="Arial"/>
          <w:sz w:val="19"/>
          <w:szCs w:val="19"/>
          <w:b w:val="1"/>
          <w:bCs w:val="1"/>
          <w:color w:val="1D4F90"/>
        </w:rPr>
      </w:pPr>
      <w:r>
        <w:rPr>
          <w:rFonts w:ascii="Arial" w:cs="Arial" w:eastAsia="Arial" w:hAnsi="Arial"/>
          <w:sz w:val="19"/>
          <w:szCs w:val="19"/>
          <w:b w:val="1"/>
          <w:bCs w:val="1"/>
          <w:color w:val="1D4F90"/>
        </w:rPr>
        <w:t xml:space="preserve">STRATEGIC ACQUISITIONS </w:t>
      </w:r>
      <w:r>
        <w:rPr>
          <w:rFonts w:ascii="Arial" w:cs="Arial" w:eastAsia="Arial" w:hAnsi="Arial"/>
          <w:sz w:val="15"/>
          <w:szCs w:val="15"/>
          <w:b w:val="1"/>
          <w:bCs w:val="1"/>
          <w:color w:val="000000"/>
        </w:rPr>
        <w:t>with</w:t>
      </w:r>
    </w:p>
    <w:p>
      <w:pPr>
        <w:ind w:right="160"/>
        <w:spacing w:after="0" w:line="271" w:lineRule="auto"/>
        <w:rPr>
          <w:sz w:val="20"/>
          <w:szCs w:val="20"/>
          <w:color w:val="auto"/>
        </w:rPr>
      </w:pPr>
      <w:r>
        <w:rPr>
          <w:rFonts w:ascii="Arial" w:cs="Arial" w:eastAsia="Arial" w:hAnsi="Arial"/>
          <w:sz w:val="16"/>
          <w:szCs w:val="16"/>
          <w:b w:val="1"/>
          <w:bCs w:val="1"/>
          <w:color w:val="auto"/>
        </w:rPr>
        <w:t xml:space="preserve">aggregate annual revenues of approximately </w:t>
      </w:r>
      <w:r>
        <w:rPr>
          <w:rFonts w:ascii="Arial" w:cs="Arial" w:eastAsia="Arial" w:hAnsi="Arial"/>
          <w:sz w:val="16"/>
          <w:szCs w:val="16"/>
          <w:b w:val="1"/>
          <w:bCs w:val="1"/>
          <w:color w:val="1D4F90"/>
        </w:rPr>
        <w:t>$162 MILLION</w:t>
      </w:r>
    </w:p>
    <w:p>
      <w:pPr>
        <w:sectPr>
          <w:pgSz w:w="11900" w:h="16838" w:orient="portrait"/>
          <w:cols w:equalWidth="0" w:num="2">
            <w:col w:w="8040" w:space="440"/>
            <w:col w:w="2440"/>
          </w:cols>
          <w:pgMar w:left="480" w:top="304" w:right="49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Our Compensation Philosophy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system is intended to: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00" w:type="dxa"/>
            <w:vAlign w:val="bottom"/>
            <w:tcBorders>
              <w:top w:val="single" w:sz="8" w:color="C6093B"/>
            </w:tcBorders>
            <w:shd w:val="clear" w:color="auto" w:fill="EAEAEA"/>
          </w:tcPr>
          <w:p>
            <w:pPr>
              <w:spacing w:after="0"/>
              <w:rPr>
                <w:sz w:val="20"/>
                <w:szCs w:val="20"/>
                <w:color w:val="auto"/>
              </w:rPr>
            </w:pPr>
            <w:r>
              <w:rPr>
                <w:rFonts w:ascii="Arial" w:cs="Arial" w:eastAsia="Arial" w:hAnsi="Arial"/>
                <w:sz w:val="16"/>
                <w:szCs w:val="16"/>
                <w:color w:val="auto"/>
              </w:rPr>
              <w:t> </w:t>
            </w:r>
          </w:p>
        </w:tc>
        <w:tc>
          <w:tcPr>
            <w:tcW w:w="720" w:type="dxa"/>
            <w:vAlign w:val="bottom"/>
            <w:tcBorders>
              <w:top w:val="single" w:sz="8" w:color="C6093B"/>
            </w:tcBorders>
            <w:vMerge w:val="restart"/>
            <w:shd w:val="clear" w:color="auto" w:fill="EAEAEA"/>
          </w:tcPr>
          <w:p>
            <w:pPr>
              <w:jc w:val="right"/>
              <w:spacing w:after="0"/>
              <w:rPr>
                <w:sz w:val="20"/>
                <w:szCs w:val="20"/>
                <w:color w:val="auto"/>
              </w:rPr>
            </w:pPr>
            <w:r>
              <w:rPr>
                <w:rFonts w:ascii="Arial" w:cs="Arial" w:eastAsia="Arial" w:hAnsi="Arial"/>
                <w:sz w:val="80"/>
                <w:szCs w:val="80"/>
                <w:b w:val="1"/>
                <w:bCs w:val="1"/>
                <w:color w:val="1D4F90"/>
              </w:rPr>
              <w:t>1</w:t>
            </w:r>
          </w:p>
        </w:tc>
        <w:tc>
          <w:tcPr>
            <w:tcW w:w="2680" w:type="dxa"/>
            <w:vAlign w:val="bottom"/>
            <w:tcBorders>
              <w:top w:val="single" w:sz="8" w:color="C6093B"/>
            </w:tcBorders>
            <w:shd w:val="clear" w:color="auto" w:fill="EAEAEA"/>
          </w:tcPr>
          <w:p>
            <w:pPr>
              <w:ind w:left="80"/>
              <w:spacing w:after="0"/>
              <w:rPr>
                <w:sz w:val="20"/>
                <w:szCs w:val="20"/>
                <w:color w:val="auto"/>
              </w:rPr>
            </w:pPr>
            <w:r>
              <w:rPr>
                <w:rFonts w:ascii="Arial" w:cs="Arial" w:eastAsia="Arial" w:hAnsi="Arial"/>
                <w:sz w:val="14"/>
                <w:szCs w:val="14"/>
                <w:b w:val="1"/>
                <w:bCs w:val="1"/>
                <w:color w:val="1D4F90"/>
              </w:rPr>
              <w:t>Attract and Retain</w:t>
            </w:r>
          </w:p>
        </w:tc>
        <w:tc>
          <w:tcPr>
            <w:tcW w:w="40" w:type="dxa"/>
            <w:vAlign w:val="bottom"/>
          </w:tcPr>
          <w:p>
            <w:pPr>
              <w:spacing w:after="0"/>
              <w:rPr>
                <w:sz w:val="24"/>
                <w:szCs w:val="24"/>
                <w:color w:val="auto"/>
              </w:rPr>
            </w:pPr>
          </w:p>
        </w:tc>
        <w:tc>
          <w:tcPr>
            <w:tcW w:w="320" w:type="dxa"/>
            <w:vAlign w:val="bottom"/>
            <w:tcBorders>
              <w:top w:val="single" w:sz="8" w:color="C6093B"/>
            </w:tcBorders>
            <w:shd w:val="clear" w:color="auto" w:fill="EAEAEA"/>
          </w:tcPr>
          <w:p>
            <w:pPr>
              <w:ind w:left="120"/>
              <w:spacing w:after="0"/>
              <w:rPr>
                <w:sz w:val="20"/>
                <w:szCs w:val="20"/>
                <w:color w:val="auto"/>
              </w:rPr>
            </w:pPr>
            <w:r>
              <w:rPr>
                <w:rFonts w:ascii="Arial" w:cs="Arial" w:eastAsia="Arial" w:hAnsi="Arial"/>
                <w:sz w:val="16"/>
                <w:szCs w:val="16"/>
                <w:color w:val="auto"/>
              </w:rPr>
              <w:t> </w:t>
            </w:r>
          </w:p>
        </w:tc>
        <w:tc>
          <w:tcPr>
            <w:tcW w:w="700" w:type="dxa"/>
            <w:vAlign w:val="bottom"/>
            <w:tcBorders>
              <w:top w:val="single" w:sz="8" w:color="C6093B"/>
            </w:tcBorders>
            <w:vMerge w:val="restart"/>
            <w:shd w:val="clear" w:color="auto" w:fill="EAEAEA"/>
          </w:tcPr>
          <w:p>
            <w:pPr>
              <w:jc w:val="right"/>
              <w:spacing w:after="0"/>
              <w:rPr>
                <w:sz w:val="20"/>
                <w:szCs w:val="20"/>
                <w:color w:val="auto"/>
              </w:rPr>
            </w:pPr>
            <w:r>
              <w:rPr>
                <w:rFonts w:ascii="Arial" w:cs="Arial" w:eastAsia="Arial" w:hAnsi="Arial"/>
                <w:sz w:val="80"/>
                <w:szCs w:val="80"/>
                <w:b w:val="1"/>
                <w:bCs w:val="1"/>
                <w:color w:val="1D4F90"/>
              </w:rPr>
              <w:t>2</w:t>
            </w:r>
          </w:p>
        </w:tc>
        <w:tc>
          <w:tcPr>
            <w:tcW w:w="2580" w:type="dxa"/>
            <w:vAlign w:val="bottom"/>
            <w:tcBorders>
              <w:top w:val="single" w:sz="8" w:color="C6093B"/>
            </w:tcBorders>
            <w:shd w:val="clear" w:color="auto" w:fill="EAEAEA"/>
          </w:tcPr>
          <w:p>
            <w:pPr>
              <w:ind w:left="80"/>
              <w:spacing w:after="0"/>
              <w:rPr>
                <w:sz w:val="20"/>
                <w:szCs w:val="20"/>
                <w:color w:val="auto"/>
              </w:rPr>
            </w:pPr>
            <w:r>
              <w:rPr>
                <w:rFonts w:ascii="Arial" w:cs="Arial" w:eastAsia="Arial" w:hAnsi="Arial"/>
                <w:sz w:val="14"/>
                <w:szCs w:val="14"/>
                <w:b w:val="1"/>
                <w:bCs w:val="1"/>
                <w:color w:val="1D4F90"/>
              </w:rPr>
              <w:t>Compensate for Performance</w:t>
            </w:r>
          </w:p>
        </w:tc>
        <w:tc>
          <w:tcPr>
            <w:tcW w:w="40" w:type="dxa"/>
            <w:vAlign w:val="bottom"/>
          </w:tcPr>
          <w:p>
            <w:pPr>
              <w:spacing w:after="0"/>
              <w:rPr>
                <w:sz w:val="24"/>
                <w:szCs w:val="24"/>
                <w:color w:val="auto"/>
              </w:rPr>
            </w:pPr>
          </w:p>
        </w:tc>
        <w:tc>
          <w:tcPr>
            <w:tcW w:w="320" w:type="dxa"/>
            <w:vAlign w:val="bottom"/>
            <w:tcBorders>
              <w:top w:val="single" w:sz="8" w:color="C6093B"/>
            </w:tcBorders>
            <w:shd w:val="clear" w:color="auto" w:fill="EAEAEA"/>
          </w:tcPr>
          <w:p>
            <w:pPr>
              <w:ind w:left="100"/>
              <w:spacing w:after="0"/>
              <w:rPr>
                <w:sz w:val="20"/>
                <w:szCs w:val="20"/>
                <w:color w:val="auto"/>
              </w:rPr>
            </w:pPr>
            <w:r>
              <w:rPr>
                <w:rFonts w:ascii="Arial" w:cs="Arial" w:eastAsia="Arial" w:hAnsi="Arial"/>
                <w:sz w:val="16"/>
                <w:szCs w:val="16"/>
                <w:color w:val="auto"/>
              </w:rPr>
              <w:t> </w:t>
            </w:r>
          </w:p>
        </w:tc>
        <w:tc>
          <w:tcPr>
            <w:tcW w:w="720" w:type="dxa"/>
            <w:vAlign w:val="bottom"/>
            <w:tcBorders>
              <w:top w:val="single" w:sz="8" w:color="C6093B"/>
            </w:tcBorders>
            <w:vMerge w:val="restart"/>
            <w:shd w:val="clear" w:color="auto" w:fill="EAEAEA"/>
          </w:tcPr>
          <w:p>
            <w:pPr>
              <w:jc w:val="right"/>
              <w:spacing w:after="0"/>
              <w:rPr>
                <w:sz w:val="20"/>
                <w:szCs w:val="20"/>
                <w:color w:val="auto"/>
              </w:rPr>
            </w:pPr>
            <w:r>
              <w:rPr>
                <w:rFonts w:ascii="Arial" w:cs="Arial" w:eastAsia="Arial" w:hAnsi="Arial"/>
                <w:sz w:val="80"/>
                <w:szCs w:val="80"/>
                <w:b w:val="1"/>
                <w:bCs w:val="1"/>
                <w:color w:val="1D4F90"/>
              </w:rPr>
              <w:t>3</w:t>
            </w:r>
          </w:p>
        </w:tc>
        <w:tc>
          <w:tcPr>
            <w:tcW w:w="2600" w:type="dxa"/>
            <w:vAlign w:val="bottom"/>
            <w:tcBorders>
              <w:top w:val="single" w:sz="8" w:color="C6093B"/>
            </w:tcBorders>
            <w:shd w:val="clear" w:color="auto" w:fill="EAEAEA"/>
          </w:tcPr>
          <w:p>
            <w:pPr>
              <w:ind w:left="100"/>
              <w:spacing w:after="0"/>
              <w:rPr>
                <w:sz w:val="20"/>
                <w:szCs w:val="20"/>
                <w:color w:val="auto"/>
              </w:rPr>
            </w:pPr>
            <w:r>
              <w:rPr>
                <w:rFonts w:ascii="Arial" w:cs="Arial" w:eastAsia="Arial" w:hAnsi="Arial"/>
                <w:sz w:val="14"/>
                <w:szCs w:val="14"/>
                <w:b w:val="1"/>
                <w:bCs w:val="1"/>
                <w:color w:val="1D4F90"/>
              </w:rPr>
              <w:t>Create a Common Interest</w:t>
            </w:r>
          </w:p>
        </w:tc>
        <w:tc>
          <w:tcPr>
            <w:tcW w:w="0" w:type="dxa"/>
            <w:vAlign w:val="bottom"/>
          </w:tcPr>
          <w:p>
            <w:pPr>
              <w:spacing w:after="0"/>
              <w:rPr>
                <w:sz w:val="1"/>
                <w:szCs w:val="1"/>
                <w:color w:val="auto"/>
              </w:rPr>
            </w:pPr>
          </w:p>
        </w:tc>
      </w:tr>
      <w:tr>
        <w:trPr>
          <w:trHeight w:val="160"/>
        </w:trPr>
        <w:tc>
          <w:tcPr>
            <w:tcW w:w="20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High-quality people that are crucial to</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00" w:type="dxa"/>
            <w:vAlign w:val="bottom"/>
            <w:vMerge w:val="continue"/>
            <w:shd w:val="clear" w:color="auto" w:fill="EAEAEA"/>
          </w:tcPr>
          <w:p>
            <w:pPr>
              <w:spacing w:after="0"/>
              <w:rPr>
                <w:sz w:val="13"/>
                <w:szCs w:val="13"/>
                <w:color w:val="auto"/>
              </w:rPr>
            </w:pPr>
          </w:p>
        </w:tc>
        <w:tc>
          <w:tcPr>
            <w:tcW w:w="2580" w:type="dxa"/>
            <w:vAlign w:val="bottom"/>
            <w:shd w:val="clear" w:color="auto" w:fill="EAEAEA"/>
          </w:tcPr>
          <w:p>
            <w:pPr>
              <w:ind w:left="80"/>
              <w:spacing w:after="0"/>
              <w:rPr>
                <w:sz w:val="20"/>
                <w:szCs w:val="20"/>
                <w:color w:val="auto"/>
              </w:rPr>
            </w:pPr>
            <w:r>
              <w:rPr>
                <w:rFonts w:ascii="Arial" w:cs="Arial" w:eastAsia="Arial" w:hAnsi="Arial"/>
                <w:sz w:val="14"/>
                <w:szCs w:val="14"/>
                <w:color w:val="auto"/>
              </w:rPr>
              <w:t>Linked to our strategic objectives</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Between our executive officers and</w:t>
            </w:r>
          </w:p>
        </w:tc>
        <w:tc>
          <w:tcPr>
            <w:tcW w:w="0" w:type="dxa"/>
            <w:vAlign w:val="bottom"/>
          </w:tcPr>
          <w:p>
            <w:pPr>
              <w:spacing w:after="0"/>
              <w:rPr>
                <w:sz w:val="1"/>
                <w:szCs w:val="1"/>
                <w:color w:val="auto"/>
              </w:rPr>
            </w:pPr>
          </w:p>
        </w:tc>
      </w:tr>
      <w:tr>
        <w:trPr>
          <w:trHeight w:val="160"/>
        </w:trPr>
        <w:tc>
          <w:tcPr>
            <w:tcW w:w="20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both the short-term and long-term</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00" w:type="dxa"/>
            <w:vAlign w:val="bottom"/>
            <w:vMerge w:val="continue"/>
            <w:shd w:val="clear" w:color="auto" w:fill="EAEAEA"/>
          </w:tcPr>
          <w:p>
            <w:pPr>
              <w:spacing w:after="0"/>
              <w:rPr>
                <w:sz w:val="13"/>
                <w:szCs w:val="13"/>
                <w:color w:val="auto"/>
              </w:rPr>
            </w:pPr>
          </w:p>
        </w:tc>
        <w:tc>
          <w:tcPr>
            <w:tcW w:w="2580" w:type="dxa"/>
            <w:vAlign w:val="bottom"/>
            <w:shd w:val="clear" w:color="auto" w:fill="EAEAEA"/>
          </w:tcPr>
          <w:p>
            <w:pPr>
              <w:ind w:left="80"/>
              <w:spacing w:after="0"/>
              <w:rPr>
                <w:sz w:val="20"/>
                <w:szCs w:val="20"/>
                <w:color w:val="auto"/>
              </w:rPr>
            </w:pPr>
            <w:r>
              <w:rPr>
                <w:rFonts w:ascii="Arial" w:cs="Arial" w:eastAsia="Arial" w:hAnsi="Arial"/>
                <w:sz w:val="14"/>
                <w:szCs w:val="14"/>
                <w:color w:val="auto"/>
              </w:rPr>
              <w:t>through the use of incentive</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shareholders through compensation</w:t>
            </w:r>
          </w:p>
        </w:tc>
        <w:tc>
          <w:tcPr>
            <w:tcW w:w="0" w:type="dxa"/>
            <w:vAlign w:val="bottom"/>
          </w:tcPr>
          <w:p>
            <w:pPr>
              <w:spacing w:after="0"/>
              <w:rPr>
                <w:sz w:val="1"/>
                <w:szCs w:val="1"/>
                <w:color w:val="auto"/>
              </w:rPr>
            </w:pPr>
          </w:p>
        </w:tc>
      </w:tr>
      <w:tr>
        <w:trPr>
          <w:trHeight w:val="160"/>
        </w:trPr>
        <w:tc>
          <w:tcPr>
            <w:tcW w:w="20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80" w:type="dxa"/>
            <w:vAlign w:val="bottom"/>
            <w:shd w:val="clear" w:color="auto" w:fill="EAEAEA"/>
          </w:tcPr>
          <w:p>
            <w:pPr>
              <w:ind w:left="80"/>
              <w:spacing w:after="0"/>
              <w:rPr>
                <w:sz w:val="20"/>
                <w:szCs w:val="20"/>
                <w:color w:val="auto"/>
              </w:rPr>
            </w:pPr>
            <w:r>
              <w:rPr>
                <w:rFonts w:ascii="Arial" w:cs="Arial" w:eastAsia="Arial" w:hAnsi="Arial"/>
                <w:sz w:val="14"/>
                <w:szCs w:val="14"/>
                <w:color w:val="auto"/>
              </w:rPr>
              <w:t>success of the Company</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00" w:type="dxa"/>
            <w:vAlign w:val="bottom"/>
            <w:vMerge w:val="continue"/>
            <w:shd w:val="clear" w:color="auto" w:fill="EAEAEA"/>
          </w:tcPr>
          <w:p>
            <w:pPr>
              <w:spacing w:after="0"/>
              <w:rPr>
                <w:sz w:val="13"/>
                <w:szCs w:val="13"/>
                <w:color w:val="auto"/>
              </w:rPr>
            </w:pPr>
          </w:p>
        </w:tc>
        <w:tc>
          <w:tcPr>
            <w:tcW w:w="2580" w:type="dxa"/>
            <w:vAlign w:val="bottom"/>
            <w:shd w:val="clear" w:color="auto" w:fill="EAEAEA"/>
          </w:tcPr>
          <w:p>
            <w:pPr>
              <w:ind w:left="80"/>
              <w:spacing w:after="0"/>
              <w:rPr>
                <w:sz w:val="20"/>
                <w:szCs w:val="20"/>
                <w:color w:val="auto"/>
              </w:rPr>
            </w:pPr>
            <w:r>
              <w:rPr>
                <w:rFonts w:ascii="Arial" w:cs="Arial" w:eastAsia="Arial" w:hAnsi="Arial"/>
                <w:sz w:val="14"/>
                <w:szCs w:val="14"/>
                <w:color w:val="auto"/>
              </w:rPr>
              <w:t>compensation programs</w:t>
            </w: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structures that promote the sharing of</w:t>
            </w:r>
          </w:p>
        </w:tc>
        <w:tc>
          <w:tcPr>
            <w:tcW w:w="0" w:type="dxa"/>
            <w:vAlign w:val="bottom"/>
          </w:tcPr>
          <w:p>
            <w:pPr>
              <w:spacing w:after="0"/>
              <w:rPr>
                <w:sz w:val="1"/>
                <w:szCs w:val="1"/>
                <w:color w:val="auto"/>
              </w:rPr>
            </w:pPr>
          </w:p>
        </w:tc>
      </w:tr>
      <w:tr>
        <w:trPr>
          <w:trHeight w:val="160"/>
        </w:trPr>
        <w:tc>
          <w:tcPr>
            <w:tcW w:w="20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80" w:type="dxa"/>
            <w:vAlign w:val="bottom"/>
            <w:shd w:val="clear" w:color="auto" w:fill="EAEAEA"/>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00" w:type="dxa"/>
            <w:vAlign w:val="bottom"/>
            <w:vMerge w:val="continue"/>
            <w:shd w:val="clear" w:color="auto" w:fill="EAEAEA"/>
          </w:tcPr>
          <w:p>
            <w:pPr>
              <w:spacing w:after="0"/>
              <w:rPr>
                <w:sz w:val="13"/>
                <w:szCs w:val="13"/>
                <w:color w:val="auto"/>
              </w:rPr>
            </w:pPr>
          </w:p>
        </w:tc>
        <w:tc>
          <w:tcPr>
            <w:tcW w:w="2580" w:type="dxa"/>
            <w:vAlign w:val="bottom"/>
            <w:shd w:val="clear" w:color="auto" w:fill="EAEAEA"/>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shd w:val="clear" w:color="auto" w:fill="EAEAEA"/>
          </w:tcPr>
          <w:p>
            <w:pPr>
              <w:spacing w:after="0"/>
              <w:rPr>
                <w:sz w:val="13"/>
                <w:szCs w:val="13"/>
                <w:color w:val="auto"/>
              </w:rPr>
            </w:pPr>
          </w:p>
        </w:tc>
        <w:tc>
          <w:tcPr>
            <w:tcW w:w="720" w:type="dxa"/>
            <w:vAlign w:val="bottom"/>
            <w:vMerge w:val="continue"/>
            <w:shd w:val="clear" w:color="auto" w:fill="EAEAEA"/>
          </w:tcPr>
          <w:p>
            <w:pPr>
              <w:spacing w:after="0"/>
              <w:rPr>
                <w:sz w:val="13"/>
                <w:szCs w:val="13"/>
                <w:color w:val="auto"/>
              </w:rPr>
            </w:pPr>
          </w:p>
        </w:tc>
        <w:tc>
          <w:tcPr>
            <w:tcW w:w="26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the rewards and risks of strategic</w:t>
            </w:r>
          </w:p>
        </w:tc>
        <w:tc>
          <w:tcPr>
            <w:tcW w:w="0" w:type="dxa"/>
            <w:vAlign w:val="bottom"/>
          </w:tcPr>
          <w:p>
            <w:pPr>
              <w:spacing w:after="0"/>
              <w:rPr>
                <w:sz w:val="1"/>
                <w:szCs w:val="1"/>
                <w:color w:val="auto"/>
              </w:rPr>
            </w:pPr>
          </w:p>
        </w:tc>
      </w:tr>
      <w:tr>
        <w:trPr>
          <w:trHeight w:val="242"/>
        </w:trPr>
        <w:tc>
          <w:tcPr>
            <w:tcW w:w="200" w:type="dxa"/>
            <w:vAlign w:val="bottom"/>
            <w:shd w:val="clear" w:color="auto" w:fill="EAEAEA"/>
          </w:tcPr>
          <w:p>
            <w:pPr>
              <w:spacing w:after="0"/>
              <w:rPr>
                <w:sz w:val="21"/>
                <w:szCs w:val="21"/>
                <w:color w:val="auto"/>
              </w:rPr>
            </w:pPr>
          </w:p>
        </w:tc>
        <w:tc>
          <w:tcPr>
            <w:tcW w:w="720" w:type="dxa"/>
            <w:vAlign w:val="bottom"/>
            <w:vMerge w:val="continue"/>
            <w:shd w:val="clear" w:color="auto" w:fill="EAEAEA"/>
          </w:tcPr>
          <w:p>
            <w:pPr>
              <w:spacing w:after="0"/>
              <w:rPr>
                <w:sz w:val="21"/>
                <w:szCs w:val="21"/>
                <w:color w:val="auto"/>
              </w:rPr>
            </w:pPr>
          </w:p>
        </w:tc>
        <w:tc>
          <w:tcPr>
            <w:tcW w:w="2680" w:type="dxa"/>
            <w:vAlign w:val="bottom"/>
            <w:shd w:val="clear" w:color="auto" w:fill="EAEAEA"/>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700" w:type="dxa"/>
            <w:vAlign w:val="bottom"/>
            <w:vMerge w:val="continue"/>
            <w:shd w:val="clear" w:color="auto" w:fill="EAEAEA"/>
          </w:tcPr>
          <w:p>
            <w:pPr>
              <w:spacing w:after="0"/>
              <w:rPr>
                <w:sz w:val="21"/>
                <w:szCs w:val="21"/>
                <w:color w:val="auto"/>
              </w:rPr>
            </w:pPr>
          </w:p>
        </w:tc>
        <w:tc>
          <w:tcPr>
            <w:tcW w:w="2580" w:type="dxa"/>
            <w:vAlign w:val="bottom"/>
            <w:shd w:val="clear" w:color="auto" w:fill="EAEAEA"/>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shd w:val="clear" w:color="auto" w:fill="EAEAEA"/>
          </w:tcPr>
          <w:p>
            <w:pPr>
              <w:spacing w:after="0"/>
              <w:rPr>
                <w:sz w:val="21"/>
                <w:szCs w:val="21"/>
                <w:color w:val="auto"/>
              </w:rPr>
            </w:pPr>
          </w:p>
        </w:tc>
        <w:tc>
          <w:tcPr>
            <w:tcW w:w="720" w:type="dxa"/>
            <w:vAlign w:val="bottom"/>
            <w:vMerge w:val="continue"/>
            <w:shd w:val="clear" w:color="auto" w:fill="EAEAEA"/>
          </w:tcPr>
          <w:p>
            <w:pPr>
              <w:spacing w:after="0"/>
              <w:rPr>
                <w:sz w:val="21"/>
                <w:szCs w:val="21"/>
                <w:color w:val="auto"/>
              </w:rPr>
            </w:pPr>
          </w:p>
        </w:tc>
        <w:tc>
          <w:tcPr>
            <w:tcW w:w="2600" w:type="dxa"/>
            <w:vAlign w:val="bottom"/>
            <w:shd w:val="clear" w:color="auto" w:fill="EAEAEA"/>
          </w:tcPr>
          <w:p>
            <w:pPr>
              <w:ind w:left="100"/>
              <w:spacing w:after="0"/>
              <w:rPr>
                <w:sz w:val="20"/>
                <w:szCs w:val="20"/>
                <w:color w:val="auto"/>
              </w:rPr>
            </w:pPr>
            <w:r>
              <w:rPr>
                <w:rFonts w:ascii="Arial" w:cs="Arial" w:eastAsia="Arial" w:hAnsi="Arial"/>
                <w:sz w:val="14"/>
                <w:szCs w:val="14"/>
                <w:color w:val="auto"/>
              </w:rPr>
              <w:t>decision-making</w:t>
            </w:r>
          </w:p>
        </w:tc>
        <w:tc>
          <w:tcPr>
            <w:tcW w:w="0" w:type="dxa"/>
            <w:vAlign w:val="bottom"/>
          </w:tcPr>
          <w:p>
            <w:pPr>
              <w:spacing w:after="0"/>
              <w:rPr>
                <w:sz w:val="1"/>
                <w:szCs w:val="1"/>
                <w:color w:val="auto"/>
              </w:rPr>
            </w:pPr>
          </w:p>
        </w:tc>
      </w:tr>
      <w:tr>
        <w:trPr>
          <w:trHeight w:val="115"/>
        </w:trPr>
        <w:tc>
          <w:tcPr>
            <w:tcW w:w="200" w:type="dxa"/>
            <w:vAlign w:val="bottom"/>
            <w:shd w:val="clear" w:color="auto" w:fill="EAEAEA"/>
          </w:tcPr>
          <w:p>
            <w:pPr>
              <w:spacing w:after="0"/>
              <w:rPr>
                <w:sz w:val="9"/>
                <w:szCs w:val="9"/>
                <w:color w:val="auto"/>
              </w:rPr>
            </w:pPr>
          </w:p>
        </w:tc>
        <w:tc>
          <w:tcPr>
            <w:tcW w:w="720" w:type="dxa"/>
            <w:vAlign w:val="bottom"/>
            <w:shd w:val="clear" w:color="auto" w:fill="EAEAEA"/>
          </w:tcPr>
          <w:p>
            <w:pPr>
              <w:spacing w:after="0"/>
              <w:rPr>
                <w:sz w:val="9"/>
                <w:szCs w:val="9"/>
                <w:color w:val="auto"/>
              </w:rPr>
            </w:pPr>
          </w:p>
        </w:tc>
        <w:tc>
          <w:tcPr>
            <w:tcW w:w="2680" w:type="dxa"/>
            <w:vAlign w:val="bottom"/>
            <w:shd w:val="clear" w:color="auto" w:fill="EAEAEA"/>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shd w:val="clear" w:color="auto" w:fill="EAEAEA"/>
          </w:tcPr>
          <w:p>
            <w:pPr>
              <w:spacing w:after="0"/>
              <w:rPr>
                <w:sz w:val="9"/>
                <w:szCs w:val="9"/>
                <w:color w:val="auto"/>
              </w:rPr>
            </w:pPr>
          </w:p>
        </w:tc>
        <w:tc>
          <w:tcPr>
            <w:tcW w:w="700" w:type="dxa"/>
            <w:vAlign w:val="bottom"/>
            <w:shd w:val="clear" w:color="auto" w:fill="EAEAEA"/>
          </w:tcPr>
          <w:p>
            <w:pPr>
              <w:spacing w:after="0"/>
              <w:rPr>
                <w:sz w:val="9"/>
                <w:szCs w:val="9"/>
                <w:color w:val="auto"/>
              </w:rPr>
            </w:pPr>
          </w:p>
        </w:tc>
        <w:tc>
          <w:tcPr>
            <w:tcW w:w="2580" w:type="dxa"/>
            <w:vAlign w:val="bottom"/>
            <w:shd w:val="clear" w:color="auto" w:fill="EAEAEA"/>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shd w:val="clear" w:color="auto" w:fill="EAEAEA"/>
          </w:tcPr>
          <w:p>
            <w:pPr>
              <w:spacing w:after="0"/>
              <w:rPr>
                <w:sz w:val="9"/>
                <w:szCs w:val="9"/>
                <w:color w:val="auto"/>
              </w:rPr>
            </w:pPr>
          </w:p>
        </w:tc>
        <w:tc>
          <w:tcPr>
            <w:tcW w:w="720" w:type="dxa"/>
            <w:vAlign w:val="bottom"/>
            <w:shd w:val="clear" w:color="auto" w:fill="EAEAEA"/>
          </w:tcPr>
          <w:p>
            <w:pPr>
              <w:spacing w:after="0"/>
              <w:rPr>
                <w:sz w:val="9"/>
                <w:szCs w:val="9"/>
                <w:color w:val="auto"/>
              </w:rPr>
            </w:pPr>
          </w:p>
        </w:tc>
        <w:tc>
          <w:tcPr>
            <w:tcW w:w="260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support of these goals, our incentive compensation program for 2023 included both short- and long-term compensation components that were tied to increases in our adjusted diluted earnings per share, Organic Revenue growth, Adjusted EBITDAC Margin and predetermined personal objectives for each of our executive officers. We believe our compensation program rewarded our executives for delivering strong financial results that aligned with the interests of our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Compensation Components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philosophy is reflected in the following short-term and long-term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69297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1D4F90"/>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1537335" cy="8070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37335" cy="8070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9"/>
        </w:trPr>
        <w:tc>
          <w:tcPr>
            <w:tcW w:w="660" w:type="dxa"/>
            <w:vAlign w:val="bottom"/>
          </w:tcPr>
          <w:p>
            <w:pPr>
              <w:jc w:val="right"/>
              <w:spacing w:after="0" w:line="231" w:lineRule="exact"/>
              <w:rPr>
                <w:sz w:val="20"/>
                <w:szCs w:val="20"/>
                <w:color w:val="auto"/>
              </w:rPr>
            </w:pPr>
            <w:r>
              <w:rPr>
                <w:rFonts w:ascii="Arial" w:cs="Arial" w:eastAsia="Arial" w:hAnsi="Arial"/>
                <w:sz w:val="26"/>
                <w:szCs w:val="26"/>
                <w:b w:val="1"/>
                <w:bCs w:val="1"/>
                <w:color w:val="1D4F90"/>
              </w:rPr>
              <w:t>1</w:t>
            </w:r>
          </w:p>
        </w:tc>
        <w:tc>
          <w:tcPr>
            <w:tcW w:w="1620" w:type="dxa"/>
            <w:vAlign w:val="bottom"/>
          </w:tcPr>
          <w:p>
            <w:pPr>
              <w:spacing w:after="0"/>
              <w:rPr>
                <w:sz w:val="21"/>
                <w:szCs w:val="21"/>
                <w:color w:val="auto"/>
              </w:rPr>
            </w:pPr>
          </w:p>
        </w:tc>
        <w:tc>
          <w:tcPr>
            <w:tcW w:w="8640" w:type="dxa"/>
            <w:vAlign w:val="bottom"/>
          </w:tcPr>
          <w:p>
            <w:pPr>
              <w:ind w:left="580"/>
              <w:spacing w:after="0"/>
              <w:rPr>
                <w:sz w:val="20"/>
                <w:szCs w:val="20"/>
                <w:color w:val="auto"/>
              </w:rPr>
            </w:pPr>
            <w:r>
              <w:rPr>
                <w:rFonts w:ascii="Arial" w:cs="Arial" w:eastAsia="Arial" w:hAnsi="Arial"/>
                <w:sz w:val="14"/>
                <w:szCs w:val="14"/>
                <w:color w:val="auto"/>
              </w:rPr>
              <w:t>•   Provide competitive levels of compensation to our executive officers based on scope of responsibilities and duties</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b w:val="1"/>
                <w:bCs w:val="1"/>
                <w:color w:val="1D4F90"/>
              </w:rPr>
              <w:t>Base Salary</w:t>
            </w:r>
          </w:p>
        </w:tc>
        <w:tc>
          <w:tcPr>
            <w:tcW w:w="8640" w:type="dxa"/>
            <w:vAlign w:val="bottom"/>
          </w:tcPr>
          <w:p>
            <w:pPr>
              <w:ind w:left="580"/>
              <w:spacing w:after="0"/>
              <w:rPr>
                <w:sz w:val="20"/>
                <w:szCs w:val="20"/>
                <w:color w:val="auto"/>
              </w:rPr>
            </w:pPr>
            <w:r>
              <w:rPr>
                <w:rFonts w:ascii="Arial" w:cs="Arial" w:eastAsia="Arial" w:hAnsi="Arial"/>
                <w:sz w:val="14"/>
                <w:szCs w:val="14"/>
                <w:color w:val="auto"/>
              </w:rPr>
              <w:t>•   Retain executive officers</w:t>
            </w: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8640" w:type="dxa"/>
            <w:vAlign w:val="bottom"/>
            <w:vMerge w:val="restart"/>
          </w:tcPr>
          <w:p>
            <w:pPr>
              <w:ind w:left="580"/>
              <w:spacing w:after="0"/>
              <w:rPr>
                <w:sz w:val="20"/>
                <w:szCs w:val="20"/>
                <w:color w:val="auto"/>
              </w:rPr>
            </w:pPr>
            <w:r>
              <w:rPr>
                <w:rFonts w:ascii="Arial" w:cs="Arial" w:eastAsia="Arial" w:hAnsi="Arial"/>
                <w:sz w:val="16"/>
                <w:szCs w:val="16"/>
                <w:b w:val="1"/>
                <w:bCs w:val="1"/>
                <w:color w:val="1D4F90"/>
              </w:rPr>
              <w:t>How Amounts Are Determined</w:t>
            </w:r>
          </w:p>
        </w:tc>
        <w:tc>
          <w:tcPr>
            <w:tcW w:w="0" w:type="dxa"/>
            <w:vAlign w:val="bottom"/>
          </w:tcPr>
          <w:p>
            <w:pPr>
              <w:spacing w:after="0"/>
              <w:rPr>
                <w:sz w:val="1"/>
                <w:szCs w:val="1"/>
                <w:color w:val="auto"/>
              </w:rPr>
            </w:pPr>
          </w:p>
        </w:tc>
      </w:tr>
      <w:tr>
        <w:trPr>
          <w:trHeight w:val="114"/>
        </w:trPr>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40" w:type="dxa"/>
            <w:vAlign w:val="bottom"/>
          </w:tcPr>
          <w:p>
            <w:pPr>
              <w:ind w:left="580"/>
              <w:spacing w:after="0"/>
              <w:rPr>
                <w:sz w:val="20"/>
                <w:szCs w:val="20"/>
                <w:color w:val="auto"/>
              </w:rPr>
            </w:pPr>
            <w:r>
              <w:rPr>
                <w:rFonts w:ascii="Arial" w:cs="Arial" w:eastAsia="Arial" w:hAnsi="Arial"/>
                <w:sz w:val="14"/>
                <w:szCs w:val="14"/>
                <w:color w:val="auto"/>
              </w:rPr>
              <w:t>•   Based on a wide range of factors, including total business and segment responsibilities, individual responsibilities and</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40" w:type="dxa"/>
            <w:vAlign w:val="bottom"/>
          </w:tcPr>
          <w:p>
            <w:pPr>
              <w:ind w:left="720"/>
              <w:spacing w:after="0"/>
              <w:rPr>
                <w:sz w:val="20"/>
                <w:szCs w:val="20"/>
                <w:color w:val="auto"/>
              </w:rPr>
            </w:pPr>
            <w:r>
              <w:rPr>
                <w:rFonts w:ascii="Arial" w:cs="Arial" w:eastAsia="Arial" w:hAnsi="Arial"/>
                <w:sz w:val="14"/>
                <w:szCs w:val="14"/>
                <w:color w:val="auto"/>
              </w:rPr>
              <w:t>comparative market assessments</w:t>
            </w:r>
          </w:p>
        </w:tc>
        <w:tc>
          <w:tcPr>
            <w:tcW w:w="0" w:type="dxa"/>
            <w:vAlign w:val="bottom"/>
          </w:tcPr>
          <w:p>
            <w:pPr>
              <w:spacing w:after="0"/>
              <w:rPr>
                <w:sz w:val="1"/>
                <w:szCs w:val="1"/>
                <w:color w:val="auto"/>
              </w:rPr>
            </w:pPr>
          </w:p>
        </w:tc>
      </w:tr>
      <w:tr>
        <w:trPr>
          <w:trHeight w:val="201"/>
        </w:trPr>
        <w:tc>
          <w:tcPr>
            <w:tcW w:w="660" w:type="dxa"/>
            <w:vAlign w:val="bottom"/>
            <w:tcBorders>
              <w:bottom w:val="single" w:sz="8" w:color="4C4C4C"/>
            </w:tcBorders>
          </w:tcPr>
          <w:p>
            <w:pPr>
              <w:spacing w:after="0"/>
              <w:rPr>
                <w:sz w:val="17"/>
                <w:szCs w:val="17"/>
                <w:color w:val="auto"/>
              </w:rPr>
            </w:pPr>
          </w:p>
        </w:tc>
        <w:tc>
          <w:tcPr>
            <w:tcW w:w="1620" w:type="dxa"/>
            <w:vAlign w:val="bottom"/>
            <w:tcBorders>
              <w:bottom w:val="single" w:sz="8" w:color="4C4C4C"/>
            </w:tcBorders>
          </w:tcPr>
          <w:p>
            <w:pPr>
              <w:spacing w:after="0"/>
              <w:rPr>
                <w:sz w:val="17"/>
                <w:szCs w:val="17"/>
                <w:color w:val="auto"/>
              </w:rPr>
            </w:pPr>
          </w:p>
        </w:tc>
        <w:tc>
          <w:tcPr>
            <w:tcW w:w="8640" w:type="dxa"/>
            <w:vAlign w:val="bottom"/>
            <w:tcBorders>
              <w:bottom w:val="single" w:sz="8" w:color="4C4C4C"/>
            </w:tcBorders>
          </w:tcPr>
          <w:p>
            <w:pPr>
              <w:ind w:left="5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40" w:type="dxa"/>
            <w:vAlign w:val="bottom"/>
          </w:tcPr>
          <w:p>
            <w:pPr>
              <w:ind w:left="580"/>
              <w:spacing w:after="0" w:line="167"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40" w:type="dxa"/>
            <w:vAlign w:val="bottom"/>
          </w:tcPr>
          <w:p>
            <w:pPr>
              <w:ind w:left="580"/>
              <w:spacing w:after="0"/>
              <w:rPr>
                <w:sz w:val="20"/>
                <w:szCs w:val="20"/>
                <w:color w:val="auto"/>
              </w:rPr>
            </w:pPr>
            <w:r>
              <w:rPr>
                <w:rFonts w:ascii="Arial" w:cs="Arial" w:eastAsia="Arial" w:hAnsi="Arial"/>
                <w:sz w:val="16"/>
                <w:szCs w:val="16"/>
                <w:b w:val="1"/>
                <w:bCs w:val="1"/>
                <w:color w:val="1D4F90"/>
              </w:rPr>
              <w:t>Rationale</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40" w:type="dxa"/>
            <w:vAlign w:val="bottom"/>
          </w:tcPr>
          <w:p>
            <w:pPr>
              <w:ind w:left="580"/>
              <w:spacing w:after="0"/>
              <w:rPr>
                <w:sz w:val="20"/>
                <w:szCs w:val="20"/>
                <w:color w:val="auto"/>
              </w:rPr>
            </w:pPr>
            <w:r>
              <w:rPr>
                <w:rFonts w:ascii="Arial" w:cs="Arial" w:eastAsia="Arial" w:hAnsi="Arial"/>
                <w:sz w:val="14"/>
                <w:szCs w:val="14"/>
                <w:color w:val="auto"/>
              </w:rPr>
              <w:t>•   Align executive officers’ performance with annual goals and objectives</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640" w:type="dxa"/>
            <w:vAlign w:val="bottom"/>
          </w:tcPr>
          <w:p>
            <w:pPr>
              <w:ind w:left="580"/>
              <w:spacing w:after="0"/>
              <w:rPr>
                <w:sz w:val="20"/>
                <w:szCs w:val="20"/>
                <w:color w:val="auto"/>
              </w:rPr>
            </w:pPr>
            <w:r>
              <w:rPr>
                <w:rFonts w:ascii="Arial" w:cs="Arial" w:eastAsia="Arial" w:hAnsi="Arial"/>
                <w:sz w:val="14"/>
                <w:szCs w:val="14"/>
                <w:color w:val="auto"/>
              </w:rPr>
              <w:t>•   Create a direct link between pay and current year financial and operational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-385445</wp:posOffset>
            </wp:positionV>
            <wp:extent cx="1537335" cy="15201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37335" cy="152019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53" w:lineRule="exact"/>
        <w:rPr>
          <w:sz w:val="20"/>
          <w:szCs w:val="20"/>
          <w:color w:val="auto"/>
        </w:rPr>
      </w:pPr>
    </w:p>
    <w:p>
      <w:pPr>
        <w:jc w:val="right"/>
        <w:ind w:left="180" w:right="360"/>
        <w:spacing w:after="0" w:line="184" w:lineRule="auto"/>
        <w:rPr>
          <w:sz w:val="20"/>
          <w:szCs w:val="20"/>
          <w:color w:val="auto"/>
        </w:rPr>
      </w:pPr>
      <w:r>
        <w:rPr>
          <w:rFonts w:ascii="Arial" w:cs="Arial" w:eastAsia="Arial" w:hAnsi="Arial"/>
          <w:sz w:val="36"/>
          <w:szCs w:val="36"/>
          <w:b w:val="1"/>
          <w:bCs w:val="1"/>
          <w:color w:val="1D4F90"/>
        </w:rPr>
        <w:t>2</w:t>
      </w:r>
      <w:r>
        <w:rPr>
          <w:rFonts w:ascii="Arial" w:cs="Arial" w:eastAsia="Arial" w:hAnsi="Arial"/>
          <w:sz w:val="14"/>
          <w:szCs w:val="14"/>
          <w:b w:val="1"/>
          <w:bCs w:val="1"/>
          <w:color w:val="1D4F90"/>
        </w:rPr>
        <w:t>Annual Cash</w:t>
      </w:r>
      <w:r>
        <w:rPr>
          <w:rFonts w:ascii="Arial" w:cs="Arial" w:eastAsia="Arial" w:hAnsi="Arial"/>
          <w:sz w:val="36"/>
          <w:szCs w:val="36"/>
          <w:b w:val="1"/>
          <w:bCs w:val="1"/>
          <w:color w:val="1D4F90"/>
        </w:rPr>
        <w:t xml:space="preserve"> </w:t>
      </w:r>
      <w:r>
        <w:rPr>
          <w:rFonts w:ascii="Arial" w:cs="Arial" w:eastAsia="Arial" w:hAnsi="Arial"/>
          <w:sz w:val="14"/>
          <w:szCs w:val="14"/>
          <w:b w:val="1"/>
          <w:bCs w:val="1"/>
          <w:color w:val="1D4F90"/>
        </w:rPr>
        <w:t>Incentives</w:t>
      </w:r>
    </w:p>
    <w:p>
      <w:pPr>
        <w:spacing w:after="0" w:line="1"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1D4F90"/>
        </w:rPr>
        <w:t>and Bonuses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How Amounts Are Determined</w:t>
      </w:r>
    </w:p>
    <w:p>
      <w:pPr>
        <w:spacing w:after="0" w:line="88" w:lineRule="exact"/>
        <w:rPr>
          <w:sz w:val="20"/>
          <w:szCs w:val="20"/>
          <w:color w:val="auto"/>
        </w:rPr>
      </w:pPr>
    </w:p>
    <w:p>
      <w:pPr>
        <w:ind w:left="140" w:right="60" w:hanging="141"/>
        <w:spacing w:after="0" w:line="243" w:lineRule="auto"/>
        <w:rPr>
          <w:sz w:val="20"/>
          <w:szCs w:val="20"/>
          <w:color w:val="auto"/>
        </w:rPr>
      </w:pPr>
      <w:r>
        <w:rPr>
          <w:rFonts w:ascii="Arial" w:cs="Arial" w:eastAsia="Arial" w:hAnsi="Arial"/>
          <w:sz w:val="14"/>
          <w:szCs w:val="14"/>
          <w:color w:val="auto"/>
        </w:rPr>
        <w:t>•   Target payouts based upon comparative market assessments, recommendations by Chief Executive Officer, and input from the Compensation Committee’s independent compensation consultant, subject to the approval of Compensation Committee or, in the case of the Chief Executive Officer, recommendations from the Compensation Committee’s independent compensation consultant, subject to the approval of Compensation Committee based upon its annual Chief Executive Officer performance review</w:t>
      </w:r>
    </w:p>
    <w:p>
      <w:pPr>
        <w:spacing w:after="0" w:line="1" w:lineRule="exact"/>
        <w:rPr>
          <w:sz w:val="20"/>
          <w:szCs w:val="20"/>
          <w:color w:val="auto"/>
        </w:rPr>
      </w:pPr>
    </w:p>
    <w:p>
      <w:pPr>
        <w:ind w:left="140" w:right="820" w:hanging="141"/>
        <w:spacing w:after="0" w:line="239" w:lineRule="auto"/>
        <w:rPr>
          <w:sz w:val="20"/>
          <w:szCs w:val="20"/>
          <w:color w:val="auto"/>
        </w:rPr>
      </w:pPr>
      <w:r>
        <w:rPr>
          <w:rFonts w:ascii="Arial" w:cs="Arial" w:eastAsia="Arial" w:hAnsi="Arial"/>
          <w:sz w:val="14"/>
          <w:szCs w:val="14"/>
          <w:color w:val="auto"/>
        </w:rPr>
        <w:t>•   Actual payout based upon a combination of Company and/or segment performance and achievement of personal performance objectives</w:t>
      </w:r>
    </w:p>
    <w:p>
      <w:pPr>
        <w:ind w:left="140" w:right="200" w:hanging="141"/>
        <w:spacing w:after="0" w:line="247" w:lineRule="auto"/>
        <w:rPr>
          <w:sz w:val="20"/>
          <w:szCs w:val="20"/>
          <w:color w:val="auto"/>
        </w:rPr>
      </w:pPr>
      <w:r>
        <w:rPr>
          <w:rFonts w:ascii="Arial" w:cs="Arial" w:eastAsia="Arial" w:hAnsi="Arial"/>
          <w:sz w:val="14"/>
          <w:szCs w:val="14"/>
          <w:color w:val="auto"/>
        </w:rPr>
        <w:t>•   Additional discretionary bonus available as determined by Chief Executive Officer, subject to the approval of Compensation Committee, or, in the case of Chief Executive Officer, as determined by Compensation Committee</w:t>
      </w:r>
    </w:p>
    <w:p>
      <w:pPr>
        <w:spacing w:after="0" w:line="1" w:lineRule="exact"/>
        <w:rPr>
          <w:sz w:val="20"/>
          <w:szCs w:val="20"/>
          <w:color w:val="auto"/>
        </w:rPr>
      </w:pPr>
    </w:p>
    <w:p>
      <w:pPr>
        <w:sectPr>
          <w:pgSz w:w="11900" w:h="16838" w:orient="portrait"/>
          <w:cols w:equalWidth="0" w:num="2">
            <w:col w:w="2140" w:space="720"/>
            <w:col w:w="8060"/>
          </w:cols>
          <w:pgMar w:left="480" w:top="304" w:right="49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660" w:type="dxa"/>
            <w:vAlign w:val="bottom"/>
            <w:tcBorders>
              <w:bottom w:val="single" w:sz="8" w:color="4C4C4C"/>
            </w:tcBorders>
          </w:tcPr>
          <w:p>
            <w:pPr>
              <w:spacing w:after="0"/>
              <w:rPr>
                <w:sz w:val="16"/>
                <w:szCs w:val="16"/>
                <w:color w:val="auto"/>
              </w:rPr>
            </w:pPr>
          </w:p>
        </w:tc>
        <w:tc>
          <w:tcPr>
            <w:tcW w:w="1860" w:type="dxa"/>
            <w:vAlign w:val="bottom"/>
            <w:tcBorders>
              <w:bottom w:val="single" w:sz="8" w:color="4C4C4C"/>
            </w:tcBorders>
          </w:tcPr>
          <w:p>
            <w:pPr>
              <w:spacing w:after="0"/>
              <w:rPr>
                <w:sz w:val="16"/>
                <w:szCs w:val="16"/>
                <w:color w:val="auto"/>
              </w:rPr>
            </w:pPr>
          </w:p>
        </w:tc>
        <w:tc>
          <w:tcPr>
            <w:tcW w:w="840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0" w:type="dxa"/>
            <w:vAlign w:val="bottom"/>
          </w:tcPr>
          <w:p>
            <w:pPr>
              <w:ind w:left="340"/>
              <w:spacing w:after="0" w:line="167"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Arial" w:cs="Arial" w:eastAsia="Arial" w:hAnsi="Arial"/>
                <w:sz w:val="16"/>
                <w:szCs w:val="16"/>
                <w:b w:val="1"/>
                <w:bCs w:val="1"/>
                <w:color w:val="1D4F90"/>
              </w:rPr>
              <w:t>Rationale</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4"/>
                <w:szCs w:val="14"/>
                <w:color w:val="auto"/>
              </w:rPr>
              <w:t>•   Reward effective long-term capital management and decision-making</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0" w:type="dxa"/>
            <w:vAlign w:val="bottom"/>
          </w:tcPr>
          <w:p>
            <w:pPr>
              <w:ind w:left="340"/>
              <w:spacing w:after="0"/>
              <w:rPr>
                <w:sz w:val="20"/>
                <w:szCs w:val="20"/>
                <w:color w:val="auto"/>
              </w:rPr>
            </w:pPr>
            <w:r>
              <w:rPr>
                <w:rFonts w:ascii="Arial" w:cs="Arial" w:eastAsia="Arial" w:hAnsi="Arial"/>
                <w:sz w:val="14"/>
                <w:szCs w:val="14"/>
                <w:color w:val="auto"/>
              </w:rPr>
              <w:t>•   Focus attention on future returns to shareholders</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0" w:type="dxa"/>
            <w:vAlign w:val="bottom"/>
          </w:tcPr>
          <w:p>
            <w:pPr>
              <w:ind w:left="340"/>
              <w:spacing w:after="0"/>
              <w:rPr>
                <w:sz w:val="20"/>
                <w:szCs w:val="20"/>
                <w:color w:val="auto"/>
              </w:rPr>
            </w:pPr>
            <w:r>
              <w:rPr>
                <w:rFonts w:ascii="Arial" w:cs="Arial" w:eastAsia="Arial" w:hAnsi="Arial"/>
                <w:sz w:val="14"/>
                <w:szCs w:val="14"/>
                <w:color w:val="auto"/>
              </w:rPr>
              <w:t>•   Retain executive officers who have the potential to impact both our short-term and long-term value creation through a</w:t>
            </w:r>
          </w:p>
        </w:tc>
        <w:tc>
          <w:tcPr>
            <w:tcW w:w="0" w:type="dxa"/>
            <w:vAlign w:val="bottom"/>
          </w:tcPr>
          <w:p>
            <w:pPr>
              <w:spacing w:after="0"/>
              <w:rPr>
                <w:sz w:val="1"/>
                <w:szCs w:val="1"/>
                <w:color w:val="auto"/>
              </w:rPr>
            </w:pPr>
          </w:p>
        </w:tc>
      </w:tr>
      <w:tr>
        <w:trPr>
          <w:trHeight w:val="160"/>
        </w:trPr>
        <w:tc>
          <w:tcPr>
            <w:tcW w:w="660" w:type="dxa"/>
            <w:vAlign w:val="bottom"/>
            <w:vMerge w:val="restart"/>
          </w:tcPr>
          <w:p>
            <w:pPr>
              <w:jc w:val="right"/>
              <w:spacing w:after="0" w:line="302" w:lineRule="exact"/>
              <w:rPr>
                <w:sz w:val="20"/>
                <w:szCs w:val="20"/>
                <w:color w:val="auto"/>
              </w:rPr>
            </w:pPr>
            <w:r>
              <w:rPr>
                <w:rFonts w:ascii="Arial" w:cs="Arial" w:eastAsia="Arial" w:hAnsi="Arial"/>
                <w:sz w:val="35"/>
                <w:szCs w:val="35"/>
                <w:b w:val="1"/>
                <w:bCs w:val="1"/>
                <w:color w:val="1D4F90"/>
              </w:rPr>
              <w:t>3</w:t>
            </w:r>
          </w:p>
        </w:tc>
        <w:tc>
          <w:tcPr>
            <w:tcW w:w="1860" w:type="dxa"/>
            <w:vAlign w:val="bottom"/>
          </w:tcPr>
          <w:p>
            <w:pPr>
              <w:spacing w:after="0"/>
              <w:rPr>
                <w:sz w:val="13"/>
                <w:szCs w:val="13"/>
                <w:color w:val="auto"/>
              </w:rPr>
            </w:pPr>
          </w:p>
        </w:tc>
        <w:tc>
          <w:tcPr>
            <w:tcW w:w="8400" w:type="dxa"/>
            <w:vAlign w:val="bottom"/>
          </w:tcPr>
          <w:p>
            <w:pPr>
              <w:ind w:left="480"/>
              <w:spacing w:after="0"/>
              <w:rPr>
                <w:sz w:val="20"/>
                <w:szCs w:val="20"/>
                <w:color w:val="auto"/>
              </w:rPr>
            </w:pPr>
            <w:r>
              <w:rPr>
                <w:rFonts w:ascii="Arial" w:cs="Arial" w:eastAsia="Arial" w:hAnsi="Arial"/>
                <w:sz w:val="14"/>
                <w:szCs w:val="14"/>
                <w:color w:val="auto"/>
              </w:rPr>
              <w:t>combination of time- and performance-based awards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1D4F90"/>
              </w:rPr>
              <w:t>Long-Term Equity</w:t>
            </w:r>
          </w:p>
        </w:tc>
        <w:tc>
          <w:tcPr>
            <w:tcW w:w="8400" w:type="dxa"/>
            <w:vAlign w:val="bottom"/>
          </w:tcPr>
          <w:p>
            <w:pPr>
              <w:ind w:left="340"/>
              <w:spacing w:after="0"/>
              <w:rPr>
                <w:sz w:val="20"/>
                <w:szCs w:val="20"/>
                <w:color w:val="auto"/>
              </w:rPr>
            </w:pPr>
            <w:r>
              <w:rPr>
                <w:rFonts w:ascii="Arial" w:cs="Arial" w:eastAsia="Arial" w:hAnsi="Arial"/>
                <w:sz w:val="14"/>
                <w:szCs w:val="14"/>
                <w:color w:val="auto"/>
              </w:rPr>
              <w:t>•   Recognize and reward specific achievements and/or the previous year’s performance</w:t>
            </w: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8400" w:type="dxa"/>
            <w:vAlign w:val="bottom"/>
          </w:tcPr>
          <w:p>
            <w:pPr>
              <w:ind w:left="340"/>
              <w:spacing w:after="0"/>
              <w:rPr>
                <w:sz w:val="20"/>
                <w:szCs w:val="20"/>
                <w:color w:val="auto"/>
              </w:rPr>
            </w:pPr>
            <w:r>
              <w:rPr>
                <w:rFonts w:ascii="Arial" w:cs="Arial" w:eastAsia="Arial" w:hAnsi="Arial"/>
                <w:sz w:val="14"/>
                <w:szCs w:val="14"/>
                <w:color w:val="auto"/>
              </w:rPr>
              <w:t>•   Generally granted annually during first quarter</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3"/>
                <w:szCs w:val="23"/>
                <w:color w:val="auto"/>
              </w:rPr>
            </w:pPr>
          </w:p>
        </w:tc>
        <w:tc>
          <w:tcPr>
            <w:tcW w:w="1860" w:type="dxa"/>
            <w:vAlign w:val="bottom"/>
          </w:tcPr>
          <w:p>
            <w:pPr>
              <w:ind w:left="20"/>
              <w:spacing w:after="0"/>
              <w:rPr>
                <w:sz w:val="20"/>
                <w:szCs w:val="20"/>
                <w:color w:val="auto"/>
              </w:rPr>
            </w:pPr>
            <w:r>
              <w:rPr>
                <w:rFonts w:ascii="Arial" w:cs="Arial" w:eastAsia="Arial" w:hAnsi="Arial"/>
                <w:sz w:val="18"/>
                <w:szCs w:val="18"/>
                <w:b w:val="1"/>
                <w:bCs w:val="1"/>
                <w:color w:val="1D4F90"/>
              </w:rPr>
              <w:t>Incentive Awards</w:t>
            </w:r>
          </w:p>
        </w:tc>
        <w:tc>
          <w:tcPr>
            <w:tcW w:w="8400" w:type="dxa"/>
            <w:vAlign w:val="bottom"/>
          </w:tcPr>
          <w:p>
            <w:pPr>
              <w:ind w:left="340"/>
              <w:spacing w:after="0"/>
              <w:rPr>
                <w:sz w:val="20"/>
                <w:szCs w:val="20"/>
                <w:color w:val="auto"/>
              </w:rPr>
            </w:pPr>
            <w:r>
              <w:rPr>
                <w:rFonts w:ascii="Arial" w:cs="Arial" w:eastAsia="Arial" w:hAnsi="Arial"/>
                <w:sz w:val="16"/>
                <w:szCs w:val="16"/>
                <w:b w:val="1"/>
                <w:bCs w:val="1"/>
                <w:color w:val="1D4F90"/>
              </w:rPr>
              <w:t>How Amounts Are Determined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-963295</wp:posOffset>
            </wp:positionV>
            <wp:extent cx="1537335" cy="16217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37335" cy="1621790"/>
                    </a:xfrm>
                    <a:prstGeom prst="rect">
                      <a:avLst/>
                    </a:prstGeom>
                    <a:noFill/>
                  </pic:spPr>
                </pic:pic>
              </a:graphicData>
            </a:graphic>
          </wp:anchor>
        </w:drawing>
      </w:r>
    </w:p>
    <w:p>
      <w:pPr>
        <w:spacing w:after="0" w:line="31" w:lineRule="exact"/>
        <w:rPr>
          <w:sz w:val="20"/>
          <w:szCs w:val="20"/>
          <w:color w:val="auto"/>
        </w:rPr>
      </w:pPr>
    </w:p>
    <w:p>
      <w:pPr>
        <w:ind w:left="3000" w:right="120" w:hanging="141"/>
        <w:spacing w:after="0" w:line="249" w:lineRule="auto"/>
        <w:rPr>
          <w:sz w:val="20"/>
          <w:szCs w:val="20"/>
          <w:color w:val="auto"/>
        </w:rPr>
      </w:pPr>
      <w:r>
        <w:rPr>
          <w:rFonts w:ascii="Arial" w:cs="Arial" w:eastAsia="Arial" w:hAnsi="Arial"/>
          <w:sz w:val="14"/>
          <w:szCs w:val="14"/>
          <w:color w:val="auto"/>
        </w:rPr>
        <w:t>•   Award amount determined based upon a blend of quantitative measures and consideration of personal performance, as well as comparative market assessments</w:t>
      </w:r>
    </w:p>
    <w:p>
      <w:pPr>
        <w:spacing w:after="0" w:line="1" w:lineRule="exact"/>
        <w:rPr>
          <w:sz w:val="20"/>
          <w:szCs w:val="20"/>
          <w:color w:val="auto"/>
        </w:rPr>
      </w:pPr>
    </w:p>
    <w:p>
      <w:pPr>
        <w:jc w:val="both"/>
        <w:ind w:left="3000" w:right="400" w:hanging="141"/>
        <w:spacing w:after="0" w:line="239" w:lineRule="auto"/>
        <w:rPr>
          <w:sz w:val="20"/>
          <w:szCs w:val="20"/>
          <w:color w:val="auto"/>
        </w:rPr>
      </w:pPr>
      <w:r>
        <w:rPr>
          <w:rFonts w:ascii="Arial" w:cs="Arial" w:eastAsia="Arial" w:hAnsi="Arial"/>
          <w:sz w:val="14"/>
          <w:szCs w:val="14"/>
          <w:color w:val="auto"/>
        </w:rPr>
        <w:t>•   For awards with a performance-based vesting condition, number of awarded shares may be higher or lower than target, subject to specified threshold and maximum amounts, based upon the Company’s performance during the performance period</w:t>
      </w:r>
    </w:p>
    <w:p>
      <w:pPr>
        <w:ind w:left="2860"/>
        <w:spacing w:after="0"/>
        <w:rPr>
          <w:sz w:val="20"/>
          <w:szCs w:val="20"/>
          <w:color w:val="auto"/>
        </w:rPr>
      </w:pPr>
      <w:r>
        <w:rPr>
          <w:rFonts w:ascii="Arial" w:cs="Arial" w:eastAsia="Arial" w:hAnsi="Arial"/>
          <w:sz w:val="14"/>
          <w:szCs w:val="14"/>
          <w:color w:val="auto"/>
        </w:rPr>
        <w:t>•   Actual value realized based upon the Company’s stock price over the measurement and vesting periods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31</w:t>
      </w:r>
    </w:p>
    <w:p>
      <w:pPr>
        <w:sectPr>
          <w:pgSz w:w="11900" w:h="16838" w:orient="portrait"/>
          <w:cols w:equalWidth="0" w:num="1">
            <w:col w:w="10920"/>
          </w:cols>
          <w:pgMar w:left="480" w:top="304" w:right="4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69297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2023 mix of compensation for our Chief Executive Officer and for the other Named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3110865</wp:posOffset>
            </wp:positionV>
            <wp:extent cx="69297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146685</wp:posOffset>
            </wp:positionV>
            <wp:extent cx="5868035" cy="26663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6803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How We Set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Role of Management</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Compensation Committee considers input from our Chief Executive Officer in making determinations regarding the compensation of our executive officers, other than our Chief Executive Officer. As part of the annual planning process, our Chief Executive Officer recommends and presents to the Compensation Committee for consideration, base salary adjustments, framework and targets for our annual cash incentive program, and long-term equity incentive award amounts, in each case based upon an individual’s performance and responsibilities, as well as comparative market data, as described below, for our executive officers, other than our Chief Executive Officer. In addition, our Chief Executive Officer periodically presents to the Compensation Committee and the Board his evaluation of each executive officer’s performance and reviews succession plans for each of our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Role of the Compensation Consultant</w:t>
      </w:r>
    </w:p>
    <w:p>
      <w:pPr>
        <w:spacing w:after="0" w:line="10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Beginning in August 2015, the Compensation Committee engaged FW Cook to assist with a review of the components, structure and design of the long-term equity incentive arrangements with our executive officers and other key employees. The primary goal of this engagement was to help design long-term equity incentive arrangements that continue to be competitive and aligned with shareholder interests. FW Cook has remained engaged by the Compensation Committee to advise and assist with other matters related to executive and non-employee director compensation. The Compensation Committee considers FW Cook to be independent because FW Cook performed no services for the Company’s management unrelated to services performed for the Compensation Committee, and there was no conflict of interest raised as a result of any work performed by FW Cook, directly or indirectly, for the Compensation Committee during fiscal years 2015-2023.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Comparative Market Assessments</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does not target compensation decisions or levels to a specific percentile or other absolute measures related to comparison group data but does periodically review the pay practices of other companies with the goal of seeing that the Company’s executive compensation program remains competitive. Historically, these analyses have been completed approximately every two years, unless there has been a material change in our business or in one of our segments, as comparative market rates do not typically materially change over the short term.</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32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2023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October 2022 Comparative Market Assessment</w:t>
      </w:r>
    </w:p>
    <w:p>
      <w:pPr>
        <w:spacing w:after="0" w:line="10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October 2022, FW Cook conducted a comprehensive analysis of our pay practices and executive compensation levels as compared to a group of our peers (the “October 2022 Comparative Market Assessment”), which the Compensation Committee considered, among other things, in connection with certain pay adjustments for our executive officers in 2023, as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Peer Comparison Group</w:t>
      </w:r>
    </w:p>
    <w:p>
      <w:pPr>
        <w:spacing w:after="0" w:line="105"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For the October 2022 Comparative Market Assessment, FW Cook focused on our Peer Comparison Group. For a discussion of the Peer Comparison Group, including a list of peers comprising the Peer Comparison Group, see “2023 Director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Survey Comparison</w:t>
      </w:r>
    </w:p>
    <w:p>
      <w:pPr>
        <w:spacing w:after="0" w:line="105"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As part of the October 2022 Comparative Market Assessment, the Compensation Committee also reviewed and considered data from certain third-party surveys.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Results of the October 2022 Comparative Market Assessment</w:t>
      </w:r>
    </w:p>
    <w:p>
      <w:pPr>
        <w:spacing w:after="0" w:line="10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Based upon the results of the October 2022 Comparative Market Assessment, the Compensation Committee determined that, in the aggregate, the 2022 target total direct compensation for the Company’s executive officers was only slightly below the market median, but that the 2022 target total direct compensation for each of Messrs. Powell Brown and Watts was more meaningfully below the market median.</w:t>
      </w:r>
    </w:p>
    <w:p>
      <w:pPr>
        <w:spacing w:after="0" w:line="133"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As part of its ongoing evaluation of our executive officers’ compensation and based, in part, on the recommendation of FW Cook, in early 2023, the Compensation Committee approved the framework for our executive officers’ compensation for 2023, as described below.</w:t>
      </w:r>
    </w:p>
    <w:p>
      <w:pPr>
        <w:sectPr>
          <w:pgSz w:w="11900" w:h="16838" w:orient="portrait"/>
          <w:cols w:equalWidth="0" w:num="1">
            <w:col w:w="10920"/>
          </w:cols>
          <w:pgMar w:left="480" w:top="304" w:right="4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Consideration of Last Year’s “Say-On-Pay” Vote</w:t>
      </w:r>
    </w:p>
    <w:p>
      <w:pPr>
        <w:spacing w:after="0" w:line="119"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In accordance with the requirements of the Dodd-Frank Wall Street Reform and Consumer Protection Act of 2010 (the “Dodd-Frank Act”), we provide our shareholders with an opportunity to approve, on a nonbinding, advisory basis, the compensation of named executive officers. At our annual meetings of shareholders in both 2022 and 2023, our shareholders voted to approve compensation by a significant margin.</w:t>
      </w:r>
    </w:p>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view of the favorable vote in 2023 (as well as a similar favorable vote in 2022), as well as other factors (including regulatory requirements, market considerations and Company and individual performance), we did not substantially change our executive compensation policies for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2023 Base Salaries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determined the 2023 base salaries of our Named Executive Officers,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880" w:type="dxa"/>
            <w:vAlign w:val="bottom"/>
          </w:tcPr>
          <w:p>
            <w:pPr>
              <w:jc w:val="center"/>
              <w:ind w:right="149"/>
              <w:spacing w:after="0"/>
              <w:rPr>
                <w:sz w:val="20"/>
                <w:szCs w:val="20"/>
                <w:color w:val="auto"/>
              </w:rPr>
            </w:pPr>
            <w:r>
              <w:rPr>
                <w:rFonts w:ascii="Arial" w:cs="Arial" w:eastAsia="Arial" w:hAnsi="Arial"/>
                <w:sz w:val="14"/>
                <w:szCs w:val="14"/>
                <w:b w:val="1"/>
                <w:bCs w:val="1"/>
                <w:color w:val="002856"/>
              </w:rPr>
              <w:t>At our 2023 Annual</w:t>
            </w:r>
          </w:p>
        </w:tc>
        <w:tc>
          <w:tcPr>
            <w:tcW w:w="260" w:type="dxa"/>
            <w:vAlign w:val="bottom"/>
          </w:tcPr>
          <w:p>
            <w:pPr>
              <w:ind w:left="220"/>
              <w:spacing w:after="0"/>
              <w:rPr>
                <w:sz w:val="20"/>
                <w:szCs w:val="20"/>
                <w:color w:val="auto"/>
              </w:rPr>
            </w:pPr>
            <w:r>
              <w:rPr>
                <w:rFonts w:ascii="Arial" w:cs="Arial" w:eastAsia="Arial" w:hAnsi="Arial"/>
                <w:sz w:val="2"/>
                <w:szCs w:val="2"/>
                <w:b w:val="1"/>
                <w:bCs w:val="1"/>
                <w:color w:val="002856"/>
                <w:w w:val="97"/>
              </w:rPr>
              <w:t> </w:t>
            </w:r>
          </w:p>
        </w:tc>
      </w:tr>
      <w:tr>
        <w:trPr>
          <w:trHeight w:val="151"/>
        </w:trPr>
        <w:tc>
          <w:tcPr>
            <w:tcW w:w="1880" w:type="dxa"/>
            <w:vAlign w:val="bottom"/>
          </w:tcPr>
          <w:p>
            <w:pPr>
              <w:jc w:val="center"/>
              <w:ind w:right="149"/>
              <w:spacing w:after="0" w:line="151" w:lineRule="exact"/>
              <w:rPr>
                <w:sz w:val="20"/>
                <w:szCs w:val="20"/>
                <w:color w:val="auto"/>
              </w:rPr>
            </w:pPr>
            <w:r>
              <w:rPr>
                <w:rFonts w:ascii="Arial" w:cs="Arial" w:eastAsia="Arial" w:hAnsi="Arial"/>
                <w:sz w:val="14"/>
                <w:szCs w:val="14"/>
                <w:b w:val="1"/>
                <w:bCs w:val="1"/>
                <w:color w:val="002856"/>
              </w:rPr>
              <w:t>Meeting of Shareholders</w:t>
            </w:r>
          </w:p>
        </w:tc>
        <w:tc>
          <w:tcPr>
            <w:tcW w:w="260" w:type="dxa"/>
            <w:vAlign w:val="bottom"/>
          </w:tcPr>
          <w:p>
            <w:pPr>
              <w:spacing w:after="0"/>
              <w:rPr>
                <w:sz w:val="13"/>
                <w:szCs w:val="13"/>
                <w:color w:val="auto"/>
              </w:rPr>
            </w:pPr>
          </w:p>
        </w:tc>
      </w:tr>
      <w:tr>
        <w:trPr>
          <w:trHeight w:val="160"/>
        </w:trPr>
        <w:tc>
          <w:tcPr>
            <w:tcW w:w="1880" w:type="dxa"/>
            <w:vAlign w:val="bottom"/>
          </w:tcPr>
          <w:p>
            <w:pPr>
              <w:jc w:val="center"/>
              <w:ind w:right="169"/>
              <w:spacing w:after="0"/>
              <w:rPr>
                <w:sz w:val="20"/>
                <w:szCs w:val="20"/>
                <w:color w:val="auto"/>
              </w:rPr>
            </w:pPr>
            <w:r>
              <w:rPr>
                <w:rFonts w:ascii="Arial" w:cs="Arial" w:eastAsia="Arial" w:hAnsi="Arial"/>
                <w:sz w:val="14"/>
                <w:szCs w:val="14"/>
                <w:b w:val="1"/>
                <w:bCs w:val="1"/>
                <w:color w:val="002856"/>
              </w:rPr>
              <w:t>our executive</w:t>
            </w:r>
          </w:p>
        </w:tc>
        <w:tc>
          <w:tcPr>
            <w:tcW w:w="260" w:type="dxa"/>
            <w:vAlign w:val="bottom"/>
          </w:tcPr>
          <w:p>
            <w:pPr>
              <w:spacing w:after="0"/>
              <w:rPr>
                <w:sz w:val="13"/>
                <w:szCs w:val="13"/>
                <w:color w:val="auto"/>
              </w:rPr>
            </w:pPr>
          </w:p>
        </w:tc>
      </w:tr>
      <w:tr>
        <w:trPr>
          <w:trHeight w:val="160"/>
        </w:trPr>
        <w:tc>
          <w:tcPr>
            <w:tcW w:w="1880" w:type="dxa"/>
            <w:vAlign w:val="bottom"/>
          </w:tcPr>
          <w:p>
            <w:pPr>
              <w:jc w:val="center"/>
              <w:ind w:right="149"/>
              <w:spacing w:after="0"/>
              <w:rPr>
                <w:sz w:val="20"/>
                <w:szCs w:val="20"/>
                <w:color w:val="auto"/>
              </w:rPr>
            </w:pPr>
            <w:r>
              <w:rPr>
                <w:rFonts w:ascii="Arial" w:cs="Arial" w:eastAsia="Arial" w:hAnsi="Arial"/>
                <w:sz w:val="14"/>
                <w:szCs w:val="14"/>
                <w:b w:val="1"/>
                <w:bCs w:val="1"/>
                <w:color w:val="002856"/>
              </w:rPr>
              <w:t>compensation program</w:t>
            </w:r>
          </w:p>
        </w:tc>
        <w:tc>
          <w:tcPr>
            <w:tcW w:w="260" w:type="dxa"/>
            <w:vAlign w:val="bottom"/>
          </w:tcPr>
          <w:p>
            <w:pPr>
              <w:spacing w:after="0"/>
              <w:rPr>
                <w:sz w:val="13"/>
                <w:szCs w:val="13"/>
                <w:color w:val="auto"/>
              </w:rPr>
            </w:pPr>
          </w:p>
        </w:tc>
      </w:tr>
      <w:tr>
        <w:trPr>
          <w:trHeight w:val="195"/>
        </w:trPr>
        <w:tc>
          <w:tcPr>
            <w:tcW w:w="1880" w:type="dxa"/>
            <w:vAlign w:val="bottom"/>
          </w:tcPr>
          <w:p>
            <w:pPr>
              <w:jc w:val="center"/>
              <w:ind w:right="169"/>
              <w:spacing w:after="0"/>
              <w:rPr>
                <w:sz w:val="20"/>
                <w:szCs w:val="20"/>
                <w:color w:val="auto"/>
              </w:rPr>
            </w:pPr>
            <w:r>
              <w:rPr>
                <w:rFonts w:ascii="Arial" w:cs="Arial" w:eastAsia="Arial" w:hAnsi="Arial"/>
                <w:sz w:val="14"/>
                <w:szCs w:val="14"/>
                <w:b w:val="1"/>
                <w:bCs w:val="1"/>
                <w:color w:val="002856"/>
              </w:rPr>
              <w:t>was supported by</w:t>
            </w:r>
          </w:p>
        </w:tc>
        <w:tc>
          <w:tcPr>
            <w:tcW w:w="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-525145</wp:posOffset>
            </wp:positionV>
            <wp:extent cx="2004060" cy="13589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04060" cy="1358900"/>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98"/>
          <w:szCs w:val="98"/>
          <w:b w:val="1"/>
          <w:bCs w:val="1"/>
          <w:color w:val="002856"/>
        </w:rPr>
        <w:t>94</w:t>
      </w:r>
      <w:r>
        <w:rPr>
          <w:rFonts w:ascii="Arial" w:cs="Arial" w:eastAsia="Arial" w:hAnsi="Arial"/>
          <w:sz w:val="64"/>
          <w:szCs w:val="64"/>
          <w:b w:val="1"/>
          <w:bCs w:val="1"/>
          <w:color w:val="002856"/>
        </w:rPr>
        <w:t>%</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02856"/>
        </w:rPr>
        <w:t>of votes cast.</w:t>
      </w:r>
    </w:p>
    <w:p>
      <w:pPr>
        <w:spacing w:after="0" w:line="899" w:lineRule="exact"/>
        <w:rPr>
          <w:sz w:val="20"/>
          <w:szCs w:val="20"/>
          <w:color w:val="auto"/>
        </w:rPr>
      </w:pPr>
    </w:p>
    <w:p>
      <w:pPr>
        <w:sectPr>
          <w:pgSz w:w="11900" w:h="16838" w:orient="portrait"/>
          <w:cols w:equalWidth="0" w:num="2">
            <w:col w:w="7880" w:space="480"/>
            <w:col w:w="2560"/>
          </w:cols>
          <w:pgMar w:left="480" w:top="304" w:right="499" w:bottom="1440" w:gutter="0" w:footer="0" w:header="0"/>
          <w:type w:val="continuous"/>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4080" w:type="dxa"/>
            <w:vAlign w:val="bottom"/>
            <w:tcBorders>
              <w:bottom w:val="single" w:sz="8" w:color="C6093B"/>
            </w:tcBorders>
            <w:gridSpan w:val="2"/>
          </w:tcPr>
          <w:p>
            <w:pPr>
              <w:ind w:left="2580"/>
              <w:spacing w:after="0"/>
              <w:rPr>
                <w:sz w:val="20"/>
                <w:szCs w:val="20"/>
                <w:color w:val="auto"/>
              </w:rPr>
            </w:pPr>
            <w:r>
              <w:rPr>
                <w:rFonts w:ascii="Arial" w:cs="Arial" w:eastAsia="Arial" w:hAnsi="Arial"/>
                <w:sz w:val="14"/>
                <w:szCs w:val="14"/>
                <w:b w:val="1"/>
                <w:bCs w:val="1"/>
                <w:color w:val="002856"/>
              </w:rPr>
              <w:t>2023 Base Salary</w:t>
            </w:r>
          </w:p>
        </w:tc>
        <w:tc>
          <w:tcPr>
            <w:tcW w:w="1800" w:type="dxa"/>
            <w:vAlign w:val="bottom"/>
            <w:tcBorders>
              <w:bottom w:val="single" w:sz="8" w:color="C6093B"/>
            </w:tcBorders>
            <w:gridSpan w:val="2"/>
          </w:tcPr>
          <w:p>
            <w:pPr>
              <w:ind w:left="340"/>
              <w:spacing w:after="0"/>
              <w:rPr>
                <w:sz w:val="20"/>
                <w:szCs w:val="20"/>
                <w:color w:val="auto"/>
              </w:rPr>
            </w:pPr>
            <w:r>
              <w:rPr>
                <w:rFonts w:ascii="Arial" w:cs="Arial" w:eastAsia="Arial" w:hAnsi="Arial"/>
                <w:sz w:val="14"/>
                <w:szCs w:val="14"/>
                <w:b w:val="1"/>
                <w:bCs w:val="1"/>
                <w:color w:val="002856"/>
              </w:rPr>
              <w:t>2022 Base Salary</w:t>
            </w:r>
          </w:p>
        </w:tc>
        <w:tc>
          <w:tcPr>
            <w:tcW w:w="1100" w:type="dxa"/>
            <w:vAlign w:val="bottom"/>
            <w:tcBorders>
              <w:bottom w:val="single" w:sz="8" w:color="C6093B"/>
            </w:tcBorders>
          </w:tcPr>
          <w:p>
            <w:pPr>
              <w:jc w:val="right"/>
              <w:ind w:right="161"/>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39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2860" w:type="dxa"/>
            <w:vAlign w:val="bottom"/>
            <w:tcBorders>
              <w:bottom w:val="single" w:sz="8" w:color="4C4C4C"/>
            </w:tcBorders>
          </w:tcPr>
          <w:p>
            <w:pPr>
              <w:ind w:left="25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1,000,000</w:t>
            </w:r>
          </w:p>
        </w:tc>
        <w:tc>
          <w:tcPr>
            <w:tcW w:w="56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300"/>
              <w:spacing w:after="0"/>
              <w:rPr>
                <w:sz w:val="20"/>
                <w:szCs w:val="20"/>
                <w:color w:val="auto"/>
              </w:rPr>
            </w:pPr>
            <w:r>
              <w:rPr>
                <w:rFonts w:ascii="Arial" w:cs="Arial" w:eastAsia="Arial" w:hAnsi="Arial"/>
                <w:sz w:val="16"/>
                <w:szCs w:val="16"/>
                <w:color w:val="auto"/>
              </w:rPr>
              <w:t>1,000,000</w:t>
            </w:r>
          </w:p>
        </w:tc>
        <w:tc>
          <w:tcPr>
            <w:tcW w:w="110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34"/>
        </w:trPr>
        <w:tc>
          <w:tcPr>
            <w:tcW w:w="39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2860" w:type="dxa"/>
            <w:vAlign w:val="bottom"/>
            <w:tcBorders>
              <w:bottom w:val="single" w:sz="8" w:color="4C4C4C"/>
            </w:tcBorders>
          </w:tcPr>
          <w:p>
            <w:pPr>
              <w:ind w:left="25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650,000</w:t>
            </w:r>
          </w:p>
        </w:tc>
        <w:tc>
          <w:tcPr>
            <w:tcW w:w="56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300"/>
              <w:spacing w:after="0"/>
              <w:rPr>
                <w:sz w:val="20"/>
                <w:szCs w:val="20"/>
                <w:color w:val="auto"/>
              </w:rPr>
            </w:pPr>
            <w:r>
              <w:rPr>
                <w:rFonts w:ascii="Arial" w:cs="Arial" w:eastAsia="Arial" w:hAnsi="Arial"/>
                <w:sz w:val="16"/>
                <w:szCs w:val="16"/>
                <w:color w:val="auto"/>
              </w:rPr>
              <w:t>600,000</w:t>
            </w:r>
          </w:p>
        </w:tc>
        <w:tc>
          <w:tcPr>
            <w:tcW w:w="11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$50,000</w:t>
            </w:r>
            <w:r>
              <w:rPr>
                <w:rFonts w:ascii="Arial" w:cs="Arial" w:eastAsia="Arial" w:hAnsi="Arial"/>
                <w:sz w:val="24"/>
                <w:szCs w:val="24"/>
                <w:color w:val="auto"/>
                <w:vertAlign w:val="superscript"/>
              </w:rPr>
              <w:t>(1)</w:t>
            </w:r>
          </w:p>
        </w:tc>
      </w:tr>
      <w:tr>
        <w:trPr>
          <w:trHeight w:val="234"/>
        </w:trPr>
        <w:tc>
          <w:tcPr>
            <w:tcW w:w="39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2860" w:type="dxa"/>
            <w:vAlign w:val="bottom"/>
            <w:tcBorders>
              <w:bottom w:val="single" w:sz="8" w:color="4C4C4C"/>
            </w:tcBorders>
          </w:tcPr>
          <w:p>
            <w:pPr>
              <w:ind w:left="25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800,000</w:t>
            </w:r>
          </w:p>
        </w:tc>
        <w:tc>
          <w:tcPr>
            <w:tcW w:w="56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300"/>
              <w:spacing w:after="0"/>
              <w:rPr>
                <w:sz w:val="20"/>
                <w:szCs w:val="20"/>
                <w:color w:val="auto"/>
              </w:rPr>
            </w:pPr>
            <w:r>
              <w:rPr>
                <w:rFonts w:ascii="Arial" w:cs="Arial" w:eastAsia="Arial" w:hAnsi="Arial"/>
                <w:sz w:val="16"/>
                <w:szCs w:val="16"/>
                <w:color w:val="auto"/>
              </w:rPr>
              <w:t>800,000</w:t>
            </w:r>
          </w:p>
        </w:tc>
        <w:tc>
          <w:tcPr>
            <w:tcW w:w="110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34"/>
        </w:trPr>
        <w:tc>
          <w:tcPr>
            <w:tcW w:w="39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2860" w:type="dxa"/>
            <w:vAlign w:val="bottom"/>
            <w:tcBorders>
              <w:bottom w:val="single" w:sz="8" w:color="4C4C4C"/>
            </w:tcBorders>
          </w:tcPr>
          <w:p>
            <w:pPr>
              <w:ind w:left="25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700,000</w:t>
            </w:r>
          </w:p>
        </w:tc>
        <w:tc>
          <w:tcPr>
            <w:tcW w:w="56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300"/>
              <w:spacing w:after="0"/>
              <w:rPr>
                <w:sz w:val="20"/>
                <w:szCs w:val="20"/>
                <w:color w:val="auto"/>
              </w:rPr>
            </w:pPr>
            <w:r>
              <w:rPr>
                <w:rFonts w:ascii="Arial" w:cs="Arial" w:eastAsia="Arial" w:hAnsi="Arial"/>
                <w:sz w:val="16"/>
                <w:szCs w:val="16"/>
                <w:color w:val="auto"/>
              </w:rPr>
              <w:t>700,000</w:t>
            </w:r>
          </w:p>
        </w:tc>
        <w:tc>
          <w:tcPr>
            <w:tcW w:w="110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41"/>
        </w:trPr>
        <w:tc>
          <w:tcPr>
            <w:tcW w:w="394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2860" w:type="dxa"/>
            <w:vAlign w:val="bottom"/>
            <w:tcBorders>
              <w:bottom w:val="single" w:sz="8" w:color="C6093B"/>
            </w:tcBorders>
          </w:tcPr>
          <w:p>
            <w:pPr>
              <w:ind w:left="25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800,000</w:t>
            </w:r>
          </w:p>
        </w:tc>
        <w:tc>
          <w:tcPr>
            <w:tcW w:w="560" w:type="dxa"/>
            <w:vAlign w:val="bottom"/>
            <w:tcBorders>
              <w:bottom w:val="single" w:sz="8" w:color="C6093B"/>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300"/>
              <w:spacing w:after="0"/>
              <w:rPr>
                <w:sz w:val="20"/>
                <w:szCs w:val="20"/>
                <w:color w:val="auto"/>
              </w:rPr>
            </w:pPr>
            <w:r>
              <w:rPr>
                <w:rFonts w:ascii="Arial" w:cs="Arial" w:eastAsia="Arial" w:hAnsi="Arial"/>
                <w:sz w:val="16"/>
                <w:szCs w:val="16"/>
                <w:color w:val="auto"/>
              </w:rPr>
              <w:t>800,000</w:t>
            </w:r>
          </w:p>
        </w:tc>
        <w:tc>
          <w:tcPr>
            <w:tcW w:w="1100" w:type="dxa"/>
            <w:vAlign w:val="bottom"/>
            <w:tcBorders>
              <w:bottom w:val="single" w:sz="8" w:color="C6093B"/>
            </w:tcBorders>
          </w:tcPr>
          <w:p>
            <w:pPr>
              <w:jc w:val="right"/>
              <w:ind w:right="121"/>
              <w:spacing w:after="0"/>
              <w:rPr>
                <w:sz w:val="20"/>
                <w:szCs w:val="20"/>
                <w:color w:val="auto"/>
              </w:rPr>
            </w:pPr>
            <w:r>
              <w:rPr>
                <w:rFonts w:ascii="Arial" w:cs="Arial" w:eastAsia="Arial" w:hAnsi="Arial"/>
                <w:sz w:val="16"/>
                <w:szCs w:val="16"/>
                <w:color w:val="auto"/>
              </w:rPr>
              <w:t>—</w:t>
            </w:r>
          </w:p>
        </w:tc>
      </w:tr>
    </w:tbl>
    <w:p>
      <w:pPr>
        <w:spacing w:after="0" w:line="62" w:lineRule="exact"/>
        <w:rPr>
          <w:sz w:val="20"/>
          <w:szCs w:val="20"/>
          <w:color w:val="auto"/>
        </w:rPr>
      </w:pPr>
    </w:p>
    <w:p>
      <w:pPr>
        <w:ind w:left="220" w:right="140" w:hanging="213"/>
        <w:spacing w:after="0" w:line="201" w:lineRule="auto"/>
        <w:tabs>
          <w:tab w:leader="none" w:pos="220" w:val="left"/>
        </w:tabs>
        <w:numPr>
          <w:ilvl w:val="0"/>
          <w:numId w:val="20"/>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2023 base salary from $600,000 to $650,000 was based upon the October 2022 Comparative Market Assessment and the fact that 2022 target total pay for Mr. Watts was below the market median.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2023 Annual Cash Incentives</w:t>
      </w:r>
    </w:p>
    <w:p>
      <w:pPr>
        <w:spacing w:after="0" w:line="10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Our annual cash incentives are designed to further align executive officer compensation with our annual goals and objectives, and to create a direct link between compensation and financial and operational performance. During the first quarter of each year, the Compensation Committee approves the annual cash incentive components, consisting of financial performance measures, individual target cash incentive amounts and personal objectives, for each executive officer, including the relative weightings and goals against which performance is measured and payouts are determined for such fiscal year.</w:t>
      </w:r>
    </w:p>
    <w:p>
      <w:pPr>
        <w:spacing w:after="0" w:line="118"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33</w:t>
      </w:r>
    </w:p>
    <w:p>
      <w:pPr>
        <w:sectPr>
          <w:pgSz w:w="11900" w:h="16838" w:orient="portrait"/>
          <w:cols w:equalWidth="0" w:num="1">
            <w:col w:w="10920"/>
          </w:cols>
          <w:pgMar w:left="480" w:top="304" w:right="4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jc w:val="both"/>
        <w:ind w:right="540"/>
        <w:spacing w:after="0" w:line="262" w:lineRule="auto"/>
        <w:rPr>
          <w:sz w:val="20"/>
          <w:szCs w:val="20"/>
          <w:color w:val="auto"/>
        </w:rPr>
      </w:pPr>
      <w:r>
        <w:rPr>
          <w:rFonts w:ascii="Arial" w:cs="Arial" w:eastAsia="Arial" w:hAnsi="Arial"/>
          <w:sz w:val="16"/>
          <w:szCs w:val="16"/>
          <w:b w:val="1"/>
          <w:bCs w:val="1"/>
          <w:color w:val="1D4F90"/>
        </w:rPr>
        <w:t xml:space="preserve">Target Amounts. </w:t>
      </w:r>
      <w:r>
        <w:rPr>
          <w:rFonts w:ascii="Arial" w:cs="Arial" w:eastAsia="Arial" w:hAnsi="Arial"/>
          <w:sz w:val="16"/>
          <w:szCs w:val="16"/>
          <w:color w:val="000000"/>
        </w:rPr>
        <w:t>In February 2023, the Compensation Committee determined not to change the components of our annual executive officer cash</w:t>
      </w:r>
      <w:r>
        <w:rPr>
          <w:rFonts w:ascii="Arial" w:cs="Arial" w:eastAsia="Arial" w:hAnsi="Arial"/>
          <w:sz w:val="16"/>
          <w:szCs w:val="16"/>
          <w:b w:val="1"/>
          <w:bCs w:val="1"/>
          <w:color w:val="1D4F90"/>
        </w:rPr>
        <w:t xml:space="preserve"> </w:t>
      </w:r>
      <w:r>
        <w:rPr>
          <w:rFonts w:ascii="Arial" w:cs="Arial" w:eastAsia="Arial" w:hAnsi="Arial"/>
          <w:sz w:val="16"/>
          <w:szCs w:val="16"/>
          <w:color w:val="000000"/>
        </w:rPr>
        <w:t>incentives or the weighting of each component for our Named Executive Officers and determined the target cash incentive amounts for our Named Executive Officers,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980" w:type="dxa"/>
            <w:vAlign w:val="bottom"/>
            <w:gridSpan w:val="2"/>
          </w:tcPr>
          <w:p>
            <w:pPr>
              <w:ind w:left="2480"/>
              <w:spacing w:after="0"/>
              <w:rPr>
                <w:sz w:val="20"/>
                <w:szCs w:val="20"/>
                <w:color w:val="auto"/>
              </w:rPr>
            </w:pPr>
            <w:r>
              <w:rPr>
                <w:rFonts w:ascii="Arial" w:cs="Arial" w:eastAsia="Arial" w:hAnsi="Arial"/>
                <w:sz w:val="14"/>
                <w:szCs w:val="14"/>
                <w:b w:val="1"/>
                <w:bCs w:val="1"/>
                <w:color w:val="002856"/>
              </w:rPr>
              <w:t>2023 Target Cash</w:t>
            </w:r>
          </w:p>
        </w:tc>
        <w:tc>
          <w:tcPr>
            <w:tcW w:w="1880" w:type="dxa"/>
            <w:vAlign w:val="bottom"/>
            <w:gridSpan w:val="2"/>
          </w:tcPr>
          <w:p>
            <w:pPr>
              <w:ind w:left="340"/>
              <w:spacing w:after="0"/>
              <w:rPr>
                <w:sz w:val="20"/>
                <w:szCs w:val="20"/>
                <w:color w:val="auto"/>
              </w:rPr>
            </w:pPr>
            <w:r>
              <w:rPr>
                <w:rFonts w:ascii="Arial" w:cs="Arial" w:eastAsia="Arial" w:hAnsi="Arial"/>
                <w:sz w:val="14"/>
                <w:szCs w:val="14"/>
                <w:b w:val="1"/>
                <w:bCs w:val="1"/>
                <w:color w:val="002856"/>
              </w:rPr>
              <w:t>2022 Target Cash</w:t>
            </w:r>
          </w:p>
        </w:tc>
        <w:tc>
          <w:tcPr>
            <w:tcW w:w="1260" w:type="dxa"/>
            <w:vAlign w:val="bottom"/>
          </w:tcPr>
          <w:p>
            <w:pPr>
              <w:spacing w:after="0"/>
              <w:rPr>
                <w:sz w:val="14"/>
                <w:szCs w:val="14"/>
                <w:color w:val="auto"/>
              </w:rPr>
            </w:pPr>
          </w:p>
        </w:tc>
      </w:tr>
      <w:tr>
        <w:trPr>
          <w:trHeight w:val="177"/>
        </w:trPr>
        <w:tc>
          <w:tcPr>
            <w:tcW w:w="38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3980" w:type="dxa"/>
            <w:vAlign w:val="bottom"/>
            <w:tcBorders>
              <w:bottom w:val="single" w:sz="8" w:color="C6093B"/>
            </w:tcBorders>
            <w:gridSpan w:val="2"/>
          </w:tcPr>
          <w:p>
            <w:pPr>
              <w:ind w:left="2460"/>
              <w:spacing w:after="0"/>
              <w:rPr>
                <w:sz w:val="20"/>
                <w:szCs w:val="20"/>
                <w:color w:val="auto"/>
              </w:rPr>
            </w:pPr>
            <w:r>
              <w:rPr>
                <w:rFonts w:ascii="Arial" w:cs="Arial" w:eastAsia="Arial" w:hAnsi="Arial"/>
                <w:sz w:val="14"/>
                <w:szCs w:val="14"/>
                <w:b w:val="1"/>
                <w:bCs w:val="1"/>
                <w:color w:val="002856"/>
              </w:rPr>
              <w:t>Incentive Amount</w:t>
            </w:r>
          </w:p>
        </w:tc>
        <w:tc>
          <w:tcPr>
            <w:tcW w:w="1880" w:type="dxa"/>
            <w:vAlign w:val="bottom"/>
            <w:tcBorders>
              <w:bottom w:val="single" w:sz="8" w:color="C6093B"/>
            </w:tcBorders>
            <w:gridSpan w:val="2"/>
          </w:tcPr>
          <w:p>
            <w:pPr>
              <w:ind w:left="320"/>
              <w:spacing w:after="0"/>
              <w:rPr>
                <w:sz w:val="20"/>
                <w:szCs w:val="20"/>
                <w:color w:val="auto"/>
              </w:rPr>
            </w:pPr>
            <w:r>
              <w:rPr>
                <w:rFonts w:ascii="Arial" w:cs="Arial" w:eastAsia="Arial" w:hAnsi="Arial"/>
                <w:sz w:val="14"/>
                <w:szCs w:val="14"/>
                <w:b w:val="1"/>
                <w:bCs w:val="1"/>
                <w:color w:val="002856"/>
              </w:rPr>
              <w:t>Incentive Amount</w:t>
            </w:r>
          </w:p>
        </w:tc>
        <w:tc>
          <w:tcPr>
            <w:tcW w:w="1260" w:type="dxa"/>
            <w:vAlign w:val="bottom"/>
            <w:tcBorders>
              <w:bottom w:val="single" w:sz="8" w:color="C6093B"/>
            </w:tcBorders>
          </w:tcPr>
          <w:p>
            <w:pPr>
              <w:jc w:val="right"/>
              <w:ind w:right="241"/>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380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2740" w:type="dxa"/>
            <w:vAlign w:val="bottom"/>
            <w:tcBorders>
              <w:bottom w:val="single" w:sz="8" w:color="4C4C4C"/>
            </w:tcBorders>
          </w:tcPr>
          <w:p>
            <w:pPr>
              <w:ind w:left="2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3,000,000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280"/>
              <w:spacing w:after="0"/>
              <w:rPr>
                <w:sz w:val="20"/>
                <w:szCs w:val="20"/>
                <w:color w:val="auto"/>
              </w:rPr>
            </w:pPr>
            <w:r>
              <w:rPr>
                <w:rFonts w:ascii="Arial" w:cs="Arial" w:eastAsia="Arial" w:hAnsi="Arial"/>
                <w:sz w:val="16"/>
                <w:szCs w:val="16"/>
                <w:color w:val="auto"/>
              </w:rPr>
              <w:t>2,000,000</w:t>
            </w:r>
          </w:p>
        </w:tc>
        <w:tc>
          <w:tcPr>
            <w:tcW w:w="1260" w:type="dxa"/>
            <w:vAlign w:val="bottom"/>
            <w:tcBorders>
              <w:bottom w:val="single" w:sz="8" w:color="4C4C4C"/>
            </w:tcBorders>
          </w:tcPr>
          <w:p>
            <w:pPr>
              <w:jc w:val="right"/>
              <w:spacing w:after="0" w:line="241" w:lineRule="exact"/>
              <w:rPr>
                <w:sz w:val="20"/>
                <w:szCs w:val="20"/>
                <w:color w:val="auto"/>
              </w:rPr>
            </w:pPr>
            <w:r>
              <w:rPr>
                <w:rFonts w:ascii="Arial" w:cs="Arial" w:eastAsia="Arial" w:hAnsi="Arial"/>
                <w:sz w:val="16"/>
                <w:szCs w:val="16"/>
                <w:color w:val="auto"/>
              </w:rPr>
              <w:t>1,000,000</w:t>
            </w:r>
            <w:r>
              <w:rPr>
                <w:rFonts w:ascii="Arial" w:cs="Arial" w:eastAsia="Arial" w:hAnsi="Arial"/>
                <w:sz w:val="24"/>
                <w:szCs w:val="24"/>
                <w:color w:val="auto"/>
                <w:vertAlign w:val="superscript"/>
              </w:rPr>
              <w:t>(1)</w:t>
            </w:r>
          </w:p>
        </w:tc>
      </w:tr>
      <w:tr>
        <w:trPr>
          <w:trHeight w:val="234"/>
        </w:trPr>
        <w:tc>
          <w:tcPr>
            <w:tcW w:w="380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2740" w:type="dxa"/>
            <w:vAlign w:val="bottom"/>
            <w:tcBorders>
              <w:bottom w:val="single" w:sz="8" w:color="4C4C4C"/>
            </w:tcBorders>
          </w:tcPr>
          <w:p>
            <w:pPr>
              <w:ind w:left="2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850,000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280"/>
              <w:spacing w:after="0"/>
              <w:rPr>
                <w:sz w:val="20"/>
                <w:szCs w:val="20"/>
                <w:color w:val="auto"/>
              </w:rPr>
            </w:pPr>
            <w:r>
              <w:rPr>
                <w:rFonts w:ascii="Arial" w:cs="Arial" w:eastAsia="Arial" w:hAnsi="Arial"/>
                <w:sz w:val="16"/>
                <w:szCs w:val="16"/>
                <w:color w:val="auto"/>
              </w:rPr>
              <w:t>700,000</w:t>
            </w:r>
          </w:p>
        </w:tc>
        <w:tc>
          <w:tcPr>
            <w:tcW w:w="126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150,000</w:t>
            </w:r>
            <w:r>
              <w:rPr>
                <w:rFonts w:ascii="Arial" w:cs="Arial" w:eastAsia="Arial" w:hAnsi="Arial"/>
                <w:sz w:val="24"/>
                <w:szCs w:val="24"/>
                <w:color w:val="auto"/>
                <w:vertAlign w:val="superscript"/>
              </w:rPr>
              <w:t>(2)</w:t>
            </w:r>
          </w:p>
        </w:tc>
      </w:tr>
      <w:tr>
        <w:trPr>
          <w:trHeight w:val="234"/>
        </w:trPr>
        <w:tc>
          <w:tcPr>
            <w:tcW w:w="380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2740" w:type="dxa"/>
            <w:vAlign w:val="bottom"/>
            <w:tcBorders>
              <w:bottom w:val="single" w:sz="8" w:color="4C4C4C"/>
            </w:tcBorders>
          </w:tcPr>
          <w:p>
            <w:pPr>
              <w:ind w:left="2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1,400,000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280"/>
              <w:spacing w:after="0"/>
              <w:rPr>
                <w:sz w:val="20"/>
                <w:szCs w:val="20"/>
                <w:color w:val="auto"/>
              </w:rPr>
            </w:pPr>
            <w:r>
              <w:rPr>
                <w:rFonts w:ascii="Arial" w:cs="Arial" w:eastAsia="Arial" w:hAnsi="Arial"/>
                <w:sz w:val="16"/>
                <w:szCs w:val="16"/>
                <w:color w:val="auto"/>
              </w:rPr>
              <w:t>1,400,000</w:t>
            </w:r>
          </w:p>
        </w:tc>
        <w:tc>
          <w:tcPr>
            <w:tcW w:w="126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34"/>
        </w:trPr>
        <w:tc>
          <w:tcPr>
            <w:tcW w:w="380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2740" w:type="dxa"/>
            <w:vAlign w:val="bottom"/>
            <w:tcBorders>
              <w:bottom w:val="single" w:sz="8" w:color="4C4C4C"/>
            </w:tcBorders>
          </w:tcPr>
          <w:p>
            <w:pPr>
              <w:ind w:left="2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900,000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280"/>
              <w:spacing w:after="0"/>
              <w:rPr>
                <w:sz w:val="20"/>
                <w:szCs w:val="20"/>
                <w:color w:val="auto"/>
              </w:rPr>
            </w:pPr>
            <w:r>
              <w:rPr>
                <w:rFonts w:ascii="Arial" w:cs="Arial" w:eastAsia="Arial" w:hAnsi="Arial"/>
                <w:sz w:val="16"/>
                <w:szCs w:val="16"/>
                <w:color w:val="auto"/>
              </w:rPr>
              <w:t>900,000</w:t>
            </w:r>
          </w:p>
        </w:tc>
        <w:tc>
          <w:tcPr>
            <w:tcW w:w="126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41"/>
        </w:trPr>
        <w:tc>
          <w:tcPr>
            <w:tcW w:w="380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2740" w:type="dxa"/>
            <w:vAlign w:val="bottom"/>
            <w:tcBorders>
              <w:bottom w:val="single" w:sz="8" w:color="C6093B"/>
            </w:tcBorders>
          </w:tcPr>
          <w:p>
            <w:pPr>
              <w:ind w:left="24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1,000,000</w:t>
            </w:r>
          </w:p>
        </w:tc>
        <w:tc>
          <w:tcPr>
            <w:tcW w:w="600" w:type="dxa"/>
            <w:vAlign w:val="bottom"/>
            <w:tcBorders>
              <w:bottom w:val="single" w:sz="8" w:color="C6093B"/>
            </w:tcBorders>
          </w:tcPr>
          <w:p>
            <w:pPr>
              <w:ind w:lef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6093B"/>
            </w:tcBorders>
          </w:tcPr>
          <w:p>
            <w:pPr>
              <w:jc w:val="right"/>
              <w:ind w:right="280"/>
              <w:spacing w:after="0"/>
              <w:rPr>
                <w:sz w:val="20"/>
                <w:szCs w:val="20"/>
                <w:color w:val="auto"/>
              </w:rPr>
            </w:pPr>
            <w:r>
              <w:rPr>
                <w:rFonts w:ascii="Arial" w:cs="Arial" w:eastAsia="Arial" w:hAnsi="Arial"/>
                <w:sz w:val="16"/>
                <w:szCs w:val="16"/>
                <w:color w:val="auto"/>
              </w:rPr>
              <w:t>1,000,000</w:t>
            </w:r>
          </w:p>
        </w:tc>
        <w:tc>
          <w:tcPr>
            <w:tcW w:w="1260" w:type="dxa"/>
            <w:vAlign w:val="bottom"/>
            <w:tcBorders>
              <w:bottom w:val="single" w:sz="8" w:color="C6093B"/>
            </w:tcBorders>
          </w:tcPr>
          <w:p>
            <w:pPr>
              <w:jc w:val="right"/>
              <w:ind w:right="121"/>
              <w:spacing w:after="0"/>
              <w:rPr>
                <w:sz w:val="20"/>
                <w:szCs w:val="20"/>
                <w:color w:val="auto"/>
              </w:rPr>
            </w:pPr>
            <w:r>
              <w:rPr>
                <w:rFonts w:ascii="Arial" w:cs="Arial" w:eastAsia="Arial" w:hAnsi="Arial"/>
                <w:sz w:val="16"/>
                <w:szCs w:val="16"/>
                <w:color w:val="auto"/>
              </w:rPr>
              <w:t>—</w:t>
            </w:r>
          </w:p>
        </w:tc>
      </w:tr>
    </w:tbl>
    <w:p>
      <w:pPr>
        <w:spacing w:after="0" w:line="62" w:lineRule="exact"/>
        <w:rPr>
          <w:sz w:val="20"/>
          <w:szCs w:val="20"/>
          <w:color w:val="auto"/>
        </w:rPr>
      </w:pPr>
    </w:p>
    <w:p>
      <w:pPr>
        <w:ind w:left="220" w:right="80" w:hanging="213"/>
        <w:spacing w:after="0" w:line="201" w:lineRule="auto"/>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Powell Brown’s 2023 target cash incentive amount from $2,000,000 to $3,000,000 was based upon the October 2022 Comparative Market Assessment and the fact that 2022 target total pay for Mr. Powell Brown was below the market median.</w:t>
      </w:r>
    </w:p>
    <w:p>
      <w:pPr>
        <w:spacing w:after="0" w:line="49" w:lineRule="exact"/>
        <w:rPr>
          <w:rFonts w:ascii="Arial" w:cs="Arial" w:eastAsia="Arial" w:hAnsi="Arial"/>
          <w:sz w:val="19"/>
          <w:szCs w:val="19"/>
          <w:color w:val="auto"/>
          <w:vertAlign w:val="superscript"/>
        </w:rPr>
      </w:pPr>
    </w:p>
    <w:p>
      <w:pPr>
        <w:ind w:left="220" w:right="240" w:hanging="213"/>
        <w:spacing w:after="0" w:line="201" w:lineRule="auto"/>
        <w:tabs>
          <w:tab w:leader="none" w:pos="220" w:val="left"/>
        </w:tabs>
        <w:numPr>
          <w:ilvl w:val="0"/>
          <w:numId w:val="21"/>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2023 target cash incentive amount from $700,000 to $850,000 was based upon the October 2022 Comparative Market Assessment and the fact that 2022 target total pay for Mr. Watts was below the market median.</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Payouts can range from 0% to 200% of the aggregate target cash incentive depending on the financial performance of the Company or the segment, as applicable, and the Named Executive Officer’s performance against personal objectives.</w:t>
      </w:r>
    </w:p>
    <w:p>
      <w:pPr>
        <w:spacing w:after="0" w:line="161"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For 2023, the Compensation Committee selected the following components and weightings for the annual cash incentives for the Named Executive Officers: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vMerge w:val="restart"/>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760" w:type="dxa"/>
            <w:vAlign w:val="bottom"/>
          </w:tcPr>
          <w:p>
            <w:pPr>
              <w:spacing w:after="0"/>
              <w:rPr>
                <w:sz w:val="21"/>
                <w:szCs w:val="21"/>
                <w:color w:val="auto"/>
              </w:rPr>
            </w:pPr>
          </w:p>
        </w:tc>
        <w:tc>
          <w:tcPr>
            <w:tcW w:w="4260" w:type="dxa"/>
            <w:vAlign w:val="bottom"/>
            <w:gridSpan w:val="4"/>
          </w:tcPr>
          <w:p>
            <w:pPr>
              <w:ind w:left="520"/>
              <w:spacing w:after="0"/>
              <w:rPr>
                <w:sz w:val="20"/>
                <w:szCs w:val="20"/>
                <w:color w:val="auto"/>
              </w:rPr>
            </w:pPr>
            <w:r>
              <w:rPr>
                <w:rFonts w:ascii="Arial" w:cs="Arial" w:eastAsia="Arial" w:hAnsi="Arial"/>
                <w:sz w:val="14"/>
                <w:szCs w:val="14"/>
                <w:b w:val="1"/>
                <w:bCs w:val="1"/>
                <w:color w:val="002856"/>
              </w:rPr>
              <w:t>Financial Performance Measures</w:t>
            </w:r>
            <w:r>
              <w:rPr>
                <w:rFonts w:ascii="Arial" w:cs="Arial" w:eastAsia="Arial" w:hAnsi="Arial"/>
                <w:sz w:val="21"/>
                <w:szCs w:val="21"/>
                <w:b w:val="1"/>
                <w:bCs w:val="1"/>
                <w:color w:val="002856"/>
                <w:vertAlign w:val="superscript"/>
              </w:rPr>
              <w:t>(1)</w:t>
            </w:r>
          </w:p>
        </w:tc>
        <w:tc>
          <w:tcPr>
            <w:tcW w:w="2400" w:type="dxa"/>
            <w:vAlign w:val="bottom"/>
            <w:gridSpan w:val="2"/>
          </w:tcPr>
          <w:p>
            <w:pPr>
              <w:ind w:left="520"/>
              <w:spacing w:after="0"/>
              <w:rPr>
                <w:sz w:val="20"/>
                <w:szCs w:val="20"/>
                <w:color w:val="auto"/>
              </w:rPr>
            </w:pPr>
            <w:r>
              <w:rPr>
                <w:rFonts w:ascii="Arial" w:cs="Arial" w:eastAsia="Arial" w:hAnsi="Arial"/>
                <w:sz w:val="14"/>
                <w:szCs w:val="14"/>
                <w:b w:val="1"/>
                <w:bCs w:val="1"/>
                <w:color w:val="002856"/>
              </w:rPr>
              <w:t>Personal Objectives</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6093B"/>
            </w:tcBorders>
            <w:vMerge w:val="continue"/>
          </w:tcPr>
          <w:p>
            <w:pPr>
              <w:spacing w:after="0"/>
              <w:rPr>
                <w:sz w:val="13"/>
                <w:szCs w:val="13"/>
                <w:color w:val="auto"/>
              </w:rPr>
            </w:pPr>
          </w:p>
        </w:tc>
        <w:tc>
          <w:tcPr>
            <w:tcW w:w="760" w:type="dxa"/>
            <w:vAlign w:val="bottom"/>
            <w:tcBorders>
              <w:top w:val="single" w:sz="8" w:color="C6093B"/>
              <w:bottom w:val="single" w:sz="8" w:color="C6093B"/>
            </w:tcBorders>
          </w:tcPr>
          <w:p>
            <w:pPr>
              <w:jc w:val="center"/>
              <w:ind w:right="2"/>
              <w:spacing w:after="0" w:line="154" w:lineRule="exact"/>
              <w:rPr>
                <w:sz w:val="20"/>
                <w:szCs w:val="20"/>
                <w:color w:val="auto"/>
              </w:rPr>
            </w:pPr>
            <w:r>
              <w:rPr>
                <w:rFonts w:ascii="Arial" w:cs="Arial" w:eastAsia="Arial" w:hAnsi="Arial"/>
                <w:sz w:val="14"/>
                <w:szCs w:val="14"/>
                <w:b w:val="1"/>
                <w:bCs w:val="1"/>
                <w:color w:val="002856"/>
              </w:rPr>
              <w:t>Weighting</w:t>
            </w:r>
          </w:p>
        </w:tc>
        <w:tc>
          <w:tcPr>
            <w:tcW w:w="1580" w:type="dxa"/>
            <w:vAlign w:val="bottom"/>
            <w:tcBorders>
              <w:top w:val="single" w:sz="8" w:color="C6093B"/>
              <w:bottom w:val="single" w:sz="8" w:color="C6093B"/>
            </w:tcBorders>
          </w:tcPr>
          <w:p>
            <w:pPr>
              <w:jc w:val="center"/>
              <w:spacing w:after="0" w:line="154" w:lineRule="exact"/>
              <w:rPr>
                <w:sz w:val="20"/>
                <w:szCs w:val="20"/>
                <w:color w:val="auto"/>
              </w:rPr>
            </w:pPr>
            <w:r>
              <w:rPr>
                <w:rFonts w:ascii="Arial" w:cs="Arial" w:eastAsia="Arial" w:hAnsi="Arial"/>
                <w:sz w:val="14"/>
                <w:szCs w:val="14"/>
                <w:b w:val="1"/>
                <w:bCs w:val="1"/>
                <w:color w:val="002856"/>
              </w:rPr>
              <w:t>Measure</w:t>
            </w:r>
          </w:p>
        </w:tc>
        <w:tc>
          <w:tcPr>
            <w:tcW w:w="820" w:type="dxa"/>
            <w:vAlign w:val="bottom"/>
            <w:tcBorders>
              <w:top w:val="single" w:sz="8" w:color="C6093B"/>
              <w:bottom w:val="single" w:sz="8" w:color="C6093B"/>
            </w:tcBorders>
          </w:tcPr>
          <w:p>
            <w:pPr>
              <w:jc w:val="center"/>
              <w:spacing w:after="0" w:line="154" w:lineRule="exact"/>
              <w:rPr>
                <w:sz w:val="20"/>
                <w:szCs w:val="20"/>
                <w:color w:val="auto"/>
              </w:rPr>
            </w:pPr>
            <w:r>
              <w:rPr>
                <w:rFonts w:ascii="Arial" w:cs="Arial" w:eastAsia="Arial" w:hAnsi="Arial"/>
                <w:sz w:val="14"/>
                <w:szCs w:val="14"/>
                <w:b w:val="1"/>
                <w:bCs w:val="1"/>
                <w:color w:val="002856"/>
              </w:rPr>
              <w:t>Weighting</w:t>
            </w:r>
          </w:p>
        </w:tc>
        <w:tc>
          <w:tcPr>
            <w:tcW w:w="1740" w:type="dxa"/>
            <w:vAlign w:val="bottom"/>
            <w:tcBorders>
              <w:top w:val="single" w:sz="8" w:color="C6093B"/>
              <w:bottom w:val="single" w:sz="8" w:color="C6093B"/>
            </w:tcBorders>
          </w:tcPr>
          <w:p>
            <w:pPr>
              <w:jc w:val="center"/>
              <w:spacing w:after="0" w:line="154" w:lineRule="exact"/>
              <w:rPr>
                <w:sz w:val="20"/>
                <w:szCs w:val="20"/>
                <w:color w:val="auto"/>
              </w:rPr>
            </w:pPr>
            <w:r>
              <w:rPr>
                <w:rFonts w:ascii="Arial" w:cs="Arial" w:eastAsia="Arial" w:hAnsi="Arial"/>
                <w:sz w:val="14"/>
                <w:szCs w:val="14"/>
                <w:b w:val="1"/>
                <w:bCs w:val="1"/>
                <w:color w:val="002856"/>
              </w:rPr>
              <w:t>Measure</w:t>
            </w:r>
          </w:p>
        </w:tc>
        <w:tc>
          <w:tcPr>
            <w:tcW w:w="120" w:type="dxa"/>
            <w:vAlign w:val="bottom"/>
            <w:tcBorders>
              <w:bottom w:val="single" w:sz="8" w:color="C6093B"/>
            </w:tcBorders>
          </w:tcPr>
          <w:p>
            <w:pPr>
              <w:spacing w:after="0"/>
              <w:rPr>
                <w:sz w:val="13"/>
                <w:szCs w:val="13"/>
                <w:color w:val="auto"/>
              </w:rPr>
            </w:pPr>
          </w:p>
        </w:tc>
        <w:tc>
          <w:tcPr>
            <w:tcW w:w="780" w:type="dxa"/>
            <w:vAlign w:val="bottom"/>
            <w:tcBorders>
              <w:top w:val="single" w:sz="8" w:color="C6093B"/>
              <w:bottom w:val="single" w:sz="8" w:color="C6093B"/>
            </w:tcBorders>
          </w:tcPr>
          <w:p>
            <w:pPr>
              <w:jc w:val="center"/>
              <w:ind w:right="23"/>
              <w:spacing w:after="0" w:line="154" w:lineRule="exact"/>
              <w:rPr>
                <w:sz w:val="20"/>
                <w:szCs w:val="20"/>
                <w:color w:val="auto"/>
              </w:rPr>
            </w:pPr>
            <w:r>
              <w:rPr>
                <w:rFonts w:ascii="Arial" w:cs="Arial" w:eastAsia="Arial" w:hAnsi="Arial"/>
                <w:sz w:val="14"/>
                <w:szCs w:val="14"/>
                <w:b w:val="1"/>
                <w:bCs w:val="1"/>
                <w:color w:val="002856"/>
              </w:rPr>
              <w:t>Weighting</w:t>
            </w:r>
          </w:p>
        </w:tc>
        <w:tc>
          <w:tcPr>
            <w:tcW w:w="1620" w:type="dxa"/>
            <w:vAlign w:val="bottom"/>
            <w:tcBorders>
              <w:top w:val="single" w:sz="8" w:color="C6093B"/>
              <w:bottom w:val="single" w:sz="8" w:color="C6093B"/>
            </w:tcBorders>
          </w:tcPr>
          <w:p>
            <w:pPr>
              <w:jc w:val="center"/>
              <w:spacing w:after="0" w:line="154" w:lineRule="exact"/>
              <w:rPr>
                <w:sz w:val="20"/>
                <w:szCs w:val="20"/>
                <w:color w:val="auto"/>
              </w:rPr>
            </w:pPr>
            <w:r>
              <w:rPr>
                <w:rFonts w:ascii="Arial" w:cs="Arial" w:eastAsia="Arial" w:hAnsi="Arial"/>
                <w:sz w:val="14"/>
                <w:szCs w:val="14"/>
                <w:b w:val="1"/>
                <w:bCs w:val="1"/>
                <w:color w:val="002856"/>
              </w:rPr>
              <w:t>Measure</w:t>
            </w:r>
          </w:p>
        </w:tc>
        <w:tc>
          <w:tcPr>
            <w:tcW w:w="0" w:type="dxa"/>
            <w:vAlign w:val="bottom"/>
          </w:tcPr>
          <w:p>
            <w:pPr>
              <w:spacing w:after="0"/>
              <w:rPr>
                <w:sz w:val="1"/>
                <w:szCs w:val="1"/>
                <w:color w:val="auto"/>
              </w:rPr>
            </w:pPr>
          </w:p>
        </w:tc>
      </w:tr>
      <w:tr>
        <w:trPr>
          <w:trHeight w:val="227"/>
        </w:trPr>
        <w:tc>
          <w:tcPr>
            <w:tcW w:w="3500" w:type="dxa"/>
            <w:vAlign w:val="bottom"/>
            <w:vMerge w:val="restart"/>
          </w:tcPr>
          <w:p>
            <w:pPr>
              <w:ind w:left="80"/>
              <w:spacing w:after="0"/>
              <w:rPr>
                <w:sz w:val="20"/>
                <w:szCs w:val="20"/>
                <w:color w:val="auto"/>
              </w:rPr>
            </w:pPr>
            <w:r>
              <w:rPr>
                <w:rFonts w:ascii="Arial" w:cs="Arial" w:eastAsia="Arial" w:hAnsi="Arial"/>
                <w:sz w:val="16"/>
                <w:szCs w:val="16"/>
                <w:b w:val="1"/>
                <w:bCs w:val="1"/>
                <w:color w:val="1D4F90"/>
              </w:rPr>
              <w:t>J. Powell Brown</w:t>
            </w: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Adjusted EBITDAC</w:t>
            </w:r>
          </w:p>
        </w:tc>
        <w:tc>
          <w:tcPr>
            <w:tcW w:w="7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Personal objectives</w:t>
            </w: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rPr>
              <w:t>Company Organic</w:t>
            </w:r>
          </w:p>
        </w:tc>
        <w:tc>
          <w:tcPr>
            <w:tcW w:w="820" w:type="dxa"/>
            <w:vAlign w:val="bottom"/>
          </w:tcPr>
          <w:p>
            <w:pPr>
              <w:spacing w:after="0"/>
              <w:rPr>
                <w:sz w:val="8"/>
                <w:szCs w:val="8"/>
                <w:color w:val="auto"/>
              </w:rPr>
            </w:pPr>
          </w:p>
        </w:tc>
        <w:tc>
          <w:tcPr>
            <w:tcW w:w="1860" w:type="dxa"/>
            <w:vAlign w:val="bottom"/>
            <w:gridSpan w:val="2"/>
            <w:vMerge w:val="restart"/>
          </w:tcPr>
          <w:p>
            <w:pPr>
              <w:jc w:val="center"/>
              <w:ind w:right="60"/>
              <w:spacing w:after="0" w:line="188" w:lineRule="exact"/>
              <w:rPr>
                <w:sz w:val="20"/>
                <w:szCs w:val="20"/>
                <w:color w:val="auto"/>
              </w:rPr>
            </w:pPr>
            <w:r>
              <w:rPr>
                <w:rFonts w:ascii="Arial" w:cs="Arial" w:eastAsia="Arial" w:hAnsi="Arial"/>
                <w:sz w:val="14"/>
                <w:szCs w:val="14"/>
                <w:color w:val="auto"/>
              </w:rPr>
              <w:t>Margin</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(applicable to</w:t>
            </w:r>
          </w:p>
        </w:tc>
        <w:tc>
          <w:tcPr>
            <w:tcW w:w="780" w:type="dxa"/>
            <w:vAlign w:val="bottom"/>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established for each</w:t>
            </w:r>
          </w:p>
        </w:tc>
        <w:tc>
          <w:tcPr>
            <w:tcW w:w="0" w:type="dxa"/>
            <w:vAlign w:val="bottom"/>
          </w:tcPr>
          <w:p>
            <w:pPr>
              <w:spacing w:after="0"/>
              <w:rPr>
                <w:sz w:val="1"/>
                <w:szCs w:val="1"/>
                <w:color w:val="auto"/>
              </w:rPr>
            </w:pPr>
          </w:p>
        </w:tc>
      </w:tr>
      <w:tr>
        <w:trPr>
          <w:trHeight w:val="94"/>
        </w:trPr>
        <w:tc>
          <w:tcPr>
            <w:tcW w:w="3500" w:type="dxa"/>
            <w:vAlign w:val="bottom"/>
            <w:vMerge w:val="restart"/>
          </w:tcPr>
          <w:p>
            <w:pPr>
              <w:ind w:left="80"/>
              <w:spacing w:after="0"/>
              <w:rPr>
                <w:sz w:val="20"/>
                <w:szCs w:val="20"/>
                <w:color w:val="auto"/>
              </w:rPr>
            </w:pPr>
            <w:r>
              <w:rPr>
                <w:rFonts w:ascii="Arial" w:cs="Arial" w:eastAsia="Arial" w:hAnsi="Arial"/>
                <w:sz w:val="16"/>
                <w:szCs w:val="16"/>
                <w:b w:val="1"/>
                <w:bCs w:val="1"/>
                <w:color w:val="1D4F90"/>
              </w:rPr>
              <w:t>R. Andrew Watts</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58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860" w:type="dxa"/>
            <w:vAlign w:val="bottom"/>
            <w:gridSpan w:val="2"/>
            <w:vMerge w:val="continue"/>
          </w:tcPr>
          <w:p>
            <w:pPr>
              <w:spacing w:after="0"/>
              <w:rPr>
                <w:sz w:val="8"/>
                <w:szCs w:val="8"/>
                <w:color w:val="auto"/>
              </w:rPr>
            </w:pPr>
          </w:p>
        </w:tc>
        <w:tc>
          <w:tcPr>
            <w:tcW w:w="780" w:type="dxa"/>
            <w:vAlign w:val="bottom"/>
            <w:vMerge w:val="restart"/>
          </w:tcPr>
          <w:p>
            <w:pPr>
              <w:jc w:val="center"/>
              <w:ind w:right="3"/>
              <w:spacing w:after="0"/>
              <w:rPr>
                <w:sz w:val="20"/>
                <w:szCs w:val="20"/>
                <w:color w:val="auto"/>
              </w:rPr>
            </w:pPr>
            <w:r>
              <w:rPr>
                <w:rFonts w:ascii="Arial" w:cs="Arial" w:eastAsia="Arial" w:hAnsi="Arial"/>
                <w:sz w:val="16"/>
                <w:szCs w:val="16"/>
                <w:b w:val="1"/>
                <w:bCs w:val="1"/>
                <w:color w:val="002856"/>
              </w:rPr>
              <w:t>20%</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580" w:type="dxa"/>
            <w:vAlign w:val="bottom"/>
            <w:vMerge w:val="restart"/>
          </w:tcPr>
          <w:p>
            <w:pPr>
              <w:jc w:val="center"/>
              <w:spacing w:after="0" w:line="188" w:lineRule="exact"/>
              <w:rPr>
                <w:sz w:val="20"/>
                <w:szCs w:val="20"/>
                <w:color w:val="auto"/>
              </w:rPr>
            </w:pPr>
            <w:r>
              <w:rPr>
                <w:rFonts w:ascii="Arial" w:cs="Arial" w:eastAsia="Arial" w:hAnsi="Arial"/>
                <w:sz w:val="14"/>
                <w:szCs w:val="14"/>
                <w:color w:val="auto"/>
              </w:rPr>
              <w:t>Revenue</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growth</w:t>
            </w:r>
          </w:p>
        </w:tc>
        <w:tc>
          <w:tcPr>
            <w:tcW w:w="820" w:type="dxa"/>
            <w:vAlign w:val="bottom"/>
            <w:vMerge w:val="continue"/>
          </w:tcPr>
          <w:p>
            <w:pPr>
              <w:spacing w:after="0"/>
              <w:rPr>
                <w:sz w:val="8"/>
                <w:szCs w:val="8"/>
                <w:color w:val="auto"/>
              </w:rPr>
            </w:pPr>
          </w:p>
        </w:tc>
        <w:tc>
          <w:tcPr>
            <w:tcW w:w="1860" w:type="dxa"/>
            <w:vAlign w:val="bottom"/>
            <w:gridSpan w:val="2"/>
            <w:vMerge w:val="restart"/>
          </w:tcPr>
          <w:p>
            <w:pPr>
              <w:jc w:val="center"/>
              <w:ind w:right="60"/>
              <w:spacing w:after="0"/>
              <w:rPr>
                <w:sz w:val="20"/>
                <w:szCs w:val="20"/>
                <w:color w:val="auto"/>
              </w:rPr>
            </w:pPr>
            <w:r>
              <w:rPr>
                <w:rFonts w:ascii="Arial" w:cs="Arial" w:eastAsia="Arial" w:hAnsi="Arial"/>
                <w:sz w:val="16"/>
                <w:szCs w:val="16"/>
                <w:color w:val="auto"/>
                <w:w w:val="99"/>
              </w:rPr>
              <w:t>all Named</w:t>
            </w:r>
          </w:p>
        </w:tc>
        <w:tc>
          <w:tcPr>
            <w:tcW w:w="780" w:type="dxa"/>
            <w:vAlign w:val="bottom"/>
            <w:vMerge w:val="continue"/>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Named</w:t>
            </w:r>
          </w:p>
        </w:tc>
        <w:tc>
          <w:tcPr>
            <w:tcW w:w="0" w:type="dxa"/>
            <w:vAlign w:val="bottom"/>
          </w:tcPr>
          <w:p>
            <w:pPr>
              <w:spacing w:after="0"/>
              <w:rPr>
                <w:sz w:val="1"/>
                <w:szCs w:val="1"/>
                <w:color w:val="auto"/>
              </w:rPr>
            </w:pPr>
          </w:p>
        </w:tc>
      </w:tr>
      <w:tr>
        <w:trPr>
          <w:trHeight w:val="94"/>
        </w:trPr>
        <w:tc>
          <w:tcPr>
            <w:tcW w:w="3500" w:type="dxa"/>
            <w:vAlign w:val="bottom"/>
            <w:vMerge w:val="restart"/>
          </w:tcPr>
          <w:p>
            <w:pPr>
              <w:ind w:left="80"/>
              <w:spacing w:after="0"/>
              <w:rPr>
                <w:sz w:val="20"/>
                <w:szCs w:val="20"/>
                <w:color w:val="auto"/>
              </w:rPr>
            </w:pPr>
            <w:r>
              <w:rPr>
                <w:rFonts w:ascii="Arial" w:cs="Arial" w:eastAsia="Arial" w:hAnsi="Arial"/>
                <w:sz w:val="16"/>
                <w:szCs w:val="16"/>
                <w:b w:val="1"/>
                <w:bCs w:val="1"/>
                <w:color w:val="1D4F90"/>
              </w:rPr>
              <w:t>J. Scott Penny</w:t>
            </w:r>
          </w:p>
        </w:tc>
        <w:tc>
          <w:tcPr>
            <w:tcW w:w="76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5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Executive Officers)</w:t>
            </w:r>
          </w:p>
        </w:tc>
        <w:tc>
          <w:tcPr>
            <w:tcW w:w="780" w:type="dxa"/>
            <w:vAlign w:val="bottom"/>
          </w:tcPr>
          <w:p>
            <w:pPr>
              <w:spacing w:after="0"/>
              <w:rPr>
                <w:sz w:val="11"/>
                <w:szCs w:val="11"/>
                <w:color w:val="auto"/>
              </w:rPr>
            </w:pPr>
          </w:p>
        </w:tc>
        <w:tc>
          <w:tcPr>
            <w:tcW w:w="1620" w:type="dxa"/>
            <w:vAlign w:val="bottom"/>
            <w:vMerge w:val="restart"/>
          </w:tcPr>
          <w:p>
            <w:pPr>
              <w:jc w:val="center"/>
              <w:spacing w:after="0" w:line="214" w:lineRule="exact"/>
              <w:rPr>
                <w:sz w:val="20"/>
                <w:szCs w:val="20"/>
                <w:color w:val="auto"/>
              </w:rPr>
            </w:pPr>
            <w:r>
              <w:rPr>
                <w:rFonts w:ascii="Arial" w:cs="Arial" w:eastAsia="Arial" w:hAnsi="Arial"/>
                <w:sz w:val="16"/>
                <w:szCs w:val="16"/>
                <w:color w:val="auto"/>
                <w:w w:val="96"/>
              </w:rPr>
              <w:t>Executive Officer</w:t>
            </w:r>
            <w:r>
              <w:rPr>
                <w:rFonts w:ascii="Arial" w:cs="Arial" w:eastAsia="Arial" w:hAnsi="Arial"/>
                <w:sz w:val="24"/>
                <w:szCs w:val="24"/>
                <w:color w:val="auto"/>
                <w:w w:val="96"/>
                <w:vertAlign w:val="superscript"/>
              </w:rPr>
              <w:t>(4)</w:t>
            </w:r>
          </w:p>
        </w:tc>
        <w:tc>
          <w:tcPr>
            <w:tcW w:w="0" w:type="dxa"/>
            <w:vAlign w:val="bottom"/>
          </w:tcPr>
          <w:p>
            <w:pPr>
              <w:spacing w:after="0"/>
              <w:rPr>
                <w:sz w:val="1"/>
                <w:szCs w:val="1"/>
                <w:color w:val="auto"/>
              </w:rPr>
            </w:pPr>
          </w:p>
        </w:tc>
      </w:tr>
      <w:tr>
        <w:trPr>
          <w:trHeight w:val="87"/>
        </w:trPr>
        <w:tc>
          <w:tcPr>
            <w:tcW w:w="3500" w:type="dxa"/>
            <w:vAlign w:val="bottom"/>
            <w:tcBorders>
              <w:bottom w:val="single" w:sz="8" w:color="4C4C4C"/>
            </w:tcBorders>
          </w:tcPr>
          <w:p>
            <w:pPr>
              <w:spacing w:after="0"/>
              <w:rPr>
                <w:sz w:val="7"/>
                <w:szCs w:val="7"/>
                <w:color w:val="auto"/>
              </w:rPr>
            </w:pPr>
          </w:p>
        </w:tc>
        <w:tc>
          <w:tcPr>
            <w:tcW w:w="760" w:type="dxa"/>
            <w:vAlign w:val="bottom"/>
            <w:tcBorders>
              <w:bottom w:val="single" w:sz="8" w:color="4C4C4C"/>
            </w:tcBorders>
          </w:tcPr>
          <w:p>
            <w:pPr>
              <w:spacing w:after="0"/>
              <w:rPr>
                <w:sz w:val="7"/>
                <w:szCs w:val="7"/>
                <w:color w:val="auto"/>
              </w:rPr>
            </w:pPr>
          </w:p>
        </w:tc>
        <w:tc>
          <w:tcPr>
            <w:tcW w:w="1580" w:type="dxa"/>
            <w:vAlign w:val="bottom"/>
            <w:tcBorders>
              <w:bottom w:val="single" w:sz="8" w:color="4C4C4C"/>
            </w:tcBorders>
          </w:tcPr>
          <w:p>
            <w:pPr>
              <w:spacing w:after="0"/>
              <w:rPr>
                <w:sz w:val="7"/>
                <w:szCs w:val="7"/>
                <w:color w:val="auto"/>
              </w:rPr>
            </w:pPr>
          </w:p>
        </w:tc>
        <w:tc>
          <w:tcPr>
            <w:tcW w:w="820" w:type="dxa"/>
            <w:vAlign w:val="bottom"/>
            <w:tcBorders>
              <w:bottom w:val="single" w:sz="8" w:color="4C4C4C"/>
            </w:tcBorders>
          </w:tcPr>
          <w:p>
            <w:pPr>
              <w:spacing w:after="0"/>
              <w:rPr>
                <w:sz w:val="7"/>
                <w:szCs w:val="7"/>
                <w:color w:val="auto"/>
              </w:rPr>
            </w:pPr>
          </w:p>
        </w:tc>
        <w:tc>
          <w:tcPr>
            <w:tcW w:w="1860" w:type="dxa"/>
            <w:vAlign w:val="bottom"/>
            <w:tcBorders>
              <w:bottom w:val="single" w:sz="8" w:color="4C4C4C"/>
            </w:tcBorders>
            <w:gridSpan w:val="2"/>
            <w:vMerge w:val="continue"/>
          </w:tcPr>
          <w:p>
            <w:pPr>
              <w:spacing w:after="0"/>
              <w:rPr>
                <w:sz w:val="7"/>
                <w:szCs w:val="7"/>
                <w:color w:val="auto"/>
              </w:rPr>
            </w:pPr>
          </w:p>
        </w:tc>
        <w:tc>
          <w:tcPr>
            <w:tcW w:w="780" w:type="dxa"/>
            <w:vAlign w:val="bottom"/>
            <w:tcBorders>
              <w:bottom w:val="single" w:sz="8" w:color="4C4C4C"/>
            </w:tcBorders>
          </w:tcPr>
          <w:p>
            <w:pPr>
              <w:spacing w:after="0"/>
              <w:rPr>
                <w:sz w:val="7"/>
                <w:szCs w:val="7"/>
                <w:color w:val="auto"/>
              </w:rPr>
            </w:pPr>
          </w:p>
        </w:tc>
        <w:tc>
          <w:tcPr>
            <w:tcW w:w="1620" w:type="dxa"/>
            <w:vAlign w:val="bottom"/>
            <w:tcBorders>
              <w:bottom w:val="single" w:sz="8" w:color="4C4C4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9"/>
              </w:rPr>
              <w:t>Retail segment</w:t>
            </w:r>
          </w:p>
        </w:tc>
        <w:tc>
          <w:tcPr>
            <w:tcW w:w="820" w:type="dxa"/>
            <w:vAlign w:val="bottom"/>
          </w:tcPr>
          <w:p>
            <w:pPr>
              <w:spacing w:after="0"/>
              <w:rPr>
                <w:sz w:val="19"/>
                <w:szCs w:val="19"/>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Adjusted EBITDAC</w:t>
            </w:r>
          </w:p>
        </w:tc>
        <w:tc>
          <w:tcPr>
            <w:tcW w:w="7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Personal objectives</w:t>
            </w: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860" w:type="dxa"/>
            <w:vAlign w:val="bottom"/>
            <w:gridSpan w:val="2"/>
            <w:vMerge w:val="restart"/>
          </w:tcPr>
          <w:p>
            <w:pPr>
              <w:jc w:val="center"/>
              <w:ind w:right="60"/>
              <w:spacing w:after="0" w:line="188" w:lineRule="exact"/>
              <w:rPr>
                <w:sz w:val="20"/>
                <w:szCs w:val="20"/>
                <w:color w:val="auto"/>
              </w:rPr>
            </w:pPr>
            <w:r>
              <w:rPr>
                <w:rFonts w:ascii="Arial" w:cs="Arial" w:eastAsia="Arial" w:hAnsi="Arial"/>
                <w:sz w:val="14"/>
                <w:szCs w:val="14"/>
                <w:color w:val="auto"/>
              </w:rPr>
              <w:t>Margin</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(applicable to</w:t>
            </w:r>
          </w:p>
        </w:tc>
        <w:tc>
          <w:tcPr>
            <w:tcW w:w="780" w:type="dxa"/>
            <w:vAlign w:val="bottom"/>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established for each</w:t>
            </w:r>
          </w:p>
        </w:tc>
        <w:tc>
          <w:tcPr>
            <w:tcW w:w="0" w:type="dxa"/>
            <w:vAlign w:val="bottom"/>
          </w:tcPr>
          <w:p>
            <w:pPr>
              <w:spacing w:after="0"/>
              <w:rPr>
                <w:sz w:val="1"/>
                <w:szCs w:val="1"/>
                <w:color w:val="auto"/>
              </w:rPr>
            </w:pPr>
          </w:p>
        </w:tc>
      </w:tr>
      <w:tr>
        <w:trPr>
          <w:trHeight w:val="94"/>
        </w:trPr>
        <w:tc>
          <w:tcPr>
            <w:tcW w:w="3500" w:type="dxa"/>
            <w:vAlign w:val="bottom"/>
            <w:vMerge w:val="restart"/>
          </w:tcPr>
          <w:p>
            <w:pPr>
              <w:ind w:left="80"/>
              <w:spacing w:after="0"/>
              <w:rPr>
                <w:sz w:val="20"/>
                <w:szCs w:val="20"/>
                <w:color w:val="auto"/>
              </w:rPr>
            </w:pPr>
            <w:r>
              <w:rPr>
                <w:rFonts w:ascii="Arial" w:cs="Arial" w:eastAsia="Arial" w:hAnsi="Arial"/>
                <w:sz w:val="16"/>
                <w:szCs w:val="16"/>
                <w:b w:val="1"/>
                <w:bCs w:val="1"/>
                <w:color w:val="1D4F90"/>
              </w:rPr>
              <w:t>P. Barrett Brown</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580" w:type="dxa"/>
            <w:vAlign w:val="bottom"/>
            <w:vMerge w:val="restart"/>
          </w:tcPr>
          <w:p>
            <w:pPr>
              <w:jc w:val="center"/>
              <w:spacing w:after="0" w:line="188" w:lineRule="exact"/>
              <w:rPr>
                <w:sz w:val="20"/>
                <w:szCs w:val="20"/>
                <w:color w:val="auto"/>
              </w:rPr>
            </w:pPr>
            <w:r>
              <w:rPr>
                <w:rFonts w:ascii="Arial" w:cs="Arial" w:eastAsia="Arial" w:hAnsi="Arial"/>
                <w:sz w:val="14"/>
                <w:szCs w:val="14"/>
                <w:color w:val="auto"/>
              </w:rPr>
              <w:t>Organic Revenue</w:t>
            </w:r>
            <w:r>
              <w:rPr>
                <w:rFonts w:ascii="Arial" w:cs="Arial" w:eastAsia="Arial" w:hAnsi="Arial"/>
                <w:sz w:val="21"/>
                <w:szCs w:val="21"/>
                <w:color w:val="auto"/>
                <w:vertAlign w:val="superscript"/>
              </w:rPr>
              <w:t>(2)</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860" w:type="dxa"/>
            <w:vAlign w:val="bottom"/>
            <w:gridSpan w:val="2"/>
            <w:vMerge w:val="continue"/>
          </w:tcPr>
          <w:p>
            <w:pPr>
              <w:spacing w:after="0"/>
              <w:rPr>
                <w:sz w:val="8"/>
                <w:szCs w:val="8"/>
                <w:color w:val="auto"/>
              </w:rPr>
            </w:pPr>
          </w:p>
        </w:tc>
        <w:tc>
          <w:tcPr>
            <w:tcW w:w="780" w:type="dxa"/>
            <w:vAlign w:val="bottom"/>
            <w:vMerge w:val="restart"/>
          </w:tcPr>
          <w:p>
            <w:pPr>
              <w:jc w:val="center"/>
              <w:ind w:right="3"/>
              <w:spacing w:after="0"/>
              <w:rPr>
                <w:sz w:val="20"/>
                <w:szCs w:val="20"/>
                <w:color w:val="auto"/>
              </w:rPr>
            </w:pPr>
            <w:r>
              <w:rPr>
                <w:rFonts w:ascii="Arial" w:cs="Arial" w:eastAsia="Arial" w:hAnsi="Arial"/>
                <w:sz w:val="16"/>
                <w:szCs w:val="16"/>
                <w:b w:val="1"/>
                <w:bCs w:val="1"/>
                <w:color w:val="002856"/>
              </w:rPr>
              <w:t>20%</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60" w:type="dxa"/>
            <w:vAlign w:val="bottom"/>
            <w:gridSpan w:val="2"/>
            <w:vMerge w:val="restart"/>
          </w:tcPr>
          <w:p>
            <w:pPr>
              <w:jc w:val="center"/>
              <w:ind w:right="60"/>
              <w:spacing w:after="0"/>
              <w:rPr>
                <w:sz w:val="20"/>
                <w:szCs w:val="20"/>
                <w:color w:val="auto"/>
              </w:rPr>
            </w:pPr>
            <w:r>
              <w:rPr>
                <w:rFonts w:ascii="Arial" w:cs="Arial" w:eastAsia="Arial" w:hAnsi="Arial"/>
                <w:sz w:val="16"/>
                <w:szCs w:val="16"/>
                <w:color w:val="auto"/>
                <w:w w:val="99"/>
              </w:rPr>
              <w:t>all Named</w:t>
            </w:r>
          </w:p>
        </w:tc>
        <w:tc>
          <w:tcPr>
            <w:tcW w:w="780" w:type="dxa"/>
            <w:vAlign w:val="bottom"/>
            <w:vMerge w:val="continue"/>
          </w:tcPr>
          <w:p>
            <w:pPr>
              <w:spacing w:after="0"/>
              <w:rPr>
                <w:sz w:val="8"/>
                <w:szCs w:val="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Named</w:t>
            </w:r>
          </w:p>
        </w:tc>
        <w:tc>
          <w:tcPr>
            <w:tcW w:w="0" w:type="dxa"/>
            <w:vAlign w:val="bottom"/>
          </w:tcPr>
          <w:p>
            <w:pPr>
              <w:spacing w:after="0"/>
              <w:rPr>
                <w:sz w:val="1"/>
                <w:szCs w:val="1"/>
                <w:color w:val="auto"/>
              </w:rPr>
            </w:pPr>
          </w:p>
        </w:tc>
      </w:tr>
      <w:tr>
        <w:trPr>
          <w:trHeight w:val="94"/>
        </w:trPr>
        <w:tc>
          <w:tcPr>
            <w:tcW w:w="3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80" w:type="dxa"/>
            <w:vAlign w:val="bottom"/>
            <w:vMerge w:val="restart"/>
          </w:tcPr>
          <w:p>
            <w:pPr>
              <w:jc w:val="center"/>
              <w:spacing w:after="0" w:line="268" w:lineRule="exact"/>
              <w:rPr>
                <w:sz w:val="20"/>
                <w:szCs w:val="20"/>
                <w:color w:val="auto"/>
              </w:rPr>
            </w:pPr>
            <w:r>
              <w:rPr>
                <w:rFonts w:ascii="Arial" w:cs="Arial" w:eastAsia="Arial" w:hAnsi="Arial"/>
                <w:sz w:val="16"/>
                <w:szCs w:val="16"/>
                <w:color w:val="auto"/>
                <w:w w:val="97"/>
              </w:rPr>
              <w:t>growth – adjusted</w:t>
            </w:r>
            <w:r>
              <w:rPr>
                <w:rFonts w:ascii="Arial" w:cs="Arial" w:eastAsia="Arial" w:hAnsi="Arial"/>
                <w:sz w:val="24"/>
                <w:szCs w:val="24"/>
                <w:color w:val="auto"/>
                <w:w w:val="97"/>
                <w:vertAlign w:val="superscript"/>
              </w:rPr>
              <w:t>(3)</w:t>
            </w:r>
          </w:p>
        </w:tc>
        <w:tc>
          <w:tcPr>
            <w:tcW w:w="8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Executive Officers)</w:t>
            </w:r>
          </w:p>
        </w:tc>
        <w:tc>
          <w:tcPr>
            <w:tcW w:w="780" w:type="dxa"/>
            <w:vAlign w:val="bottom"/>
          </w:tcPr>
          <w:p>
            <w:pPr>
              <w:spacing w:after="0"/>
              <w:rPr>
                <w:sz w:val="15"/>
                <w:szCs w:val="15"/>
                <w:color w:val="auto"/>
              </w:rPr>
            </w:pPr>
          </w:p>
        </w:tc>
        <w:tc>
          <w:tcPr>
            <w:tcW w:w="1620" w:type="dxa"/>
            <w:vAlign w:val="bottom"/>
            <w:vMerge w:val="restart"/>
          </w:tcPr>
          <w:p>
            <w:pPr>
              <w:jc w:val="center"/>
              <w:spacing w:after="0" w:line="214" w:lineRule="exact"/>
              <w:rPr>
                <w:sz w:val="20"/>
                <w:szCs w:val="20"/>
                <w:color w:val="auto"/>
              </w:rPr>
            </w:pPr>
            <w:r>
              <w:rPr>
                <w:rFonts w:ascii="Arial" w:cs="Arial" w:eastAsia="Arial" w:hAnsi="Arial"/>
                <w:sz w:val="16"/>
                <w:szCs w:val="16"/>
                <w:color w:val="auto"/>
                <w:w w:val="96"/>
              </w:rPr>
              <w:t>Executive Officer</w:t>
            </w:r>
            <w:r>
              <w:rPr>
                <w:rFonts w:ascii="Arial" w:cs="Arial" w:eastAsia="Arial" w:hAnsi="Arial"/>
                <w:sz w:val="24"/>
                <w:szCs w:val="24"/>
                <w:color w:val="auto"/>
                <w:w w:val="96"/>
                <w:vertAlign w:val="superscript"/>
              </w:rPr>
              <w:t>(4)</w:t>
            </w:r>
          </w:p>
        </w:tc>
        <w:tc>
          <w:tcPr>
            <w:tcW w:w="0" w:type="dxa"/>
            <w:vAlign w:val="bottom"/>
          </w:tcPr>
          <w:p>
            <w:pPr>
              <w:spacing w:after="0"/>
              <w:rPr>
                <w:sz w:val="1"/>
                <w:szCs w:val="1"/>
                <w:color w:val="auto"/>
              </w:rPr>
            </w:pPr>
          </w:p>
        </w:tc>
      </w:tr>
      <w:tr>
        <w:trPr>
          <w:trHeight w:val="40"/>
        </w:trPr>
        <w:tc>
          <w:tcPr>
            <w:tcW w:w="3500" w:type="dxa"/>
            <w:vAlign w:val="bottom"/>
            <w:tcBorders>
              <w:bottom w:val="single" w:sz="8" w:color="4C4C4C"/>
            </w:tcBorders>
          </w:tcPr>
          <w:p>
            <w:pPr>
              <w:spacing w:after="0"/>
              <w:rPr>
                <w:sz w:val="3"/>
                <w:szCs w:val="3"/>
                <w:color w:val="auto"/>
              </w:rPr>
            </w:pPr>
          </w:p>
        </w:tc>
        <w:tc>
          <w:tcPr>
            <w:tcW w:w="760" w:type="dxa"/>
            <w:vAlign w:val="bottom"/>
            <w:tcBorders>
              <w:bottom w:val="single" w:sz="8" w:color="4C4C4C"/>
            </w:tcBorders>
          </w:tcPr>
          <w:p>
            <w:pPr>
              <w:spacing w:after="0"/>
              <w:rPr>
                <w:sz w:val="3"/>
                <w:szCs w:val="3"/>
                <w:color w:val="auto"/>
              </w:rPr>
            </w:pPr>
          </w:p>
        </w:tc>
        <w:tc>
          <w:tcPr>
            <w:tcW w:w="1580" w:type="dxa"/>
            <w:vAlign w:val="bottom"/>
            <w:tcBorders>
              <w:bottom w:val="single" w:sz="8" w:color="4C4C4C"/>
            </w:tcBorders>
          </w:tcPr>
          <w:p>
            <w:pPr>
              <w:spacing w:after="0"/>
              <w:rPr>
                <w:sz w:val="3"/>
                <w:szCs w:val="3"/>
                <w:color w:val="auto"/>
              </w:rPr>
            </w:pPr>
          </w:p>
        </w:tc>
        <w:tc>
          <w:tcPr>
            <w:tcW w:w="820" w:type="dxa"/>
            <w:vAlign w:val="bottom"/>
            <w:tcBorders>
              <w:bottom w:val="single" w:sz="8" w:color="4C4C4C"/>
            </w:tcBorders>
          </w:tcPr>
          <w:p>
            <w:pPr>
              <w:spacing w:after="0"/>
              <w:rPr>
                <w:sz w:val="3"/>
                <w:szCs w:val="3"/>
                <w:color w:val="auto"/>
              </w:rPr>
            </w:pPr>
          </w:p>
        </w:tc>
        <w:tc>
          <w:tcPr>
            <w:tcW w:w="1860" w:type="dxa"/>
            <w:vAlign w:val="bottom"/>
            <w:tcBorders>
              <w:bottom w:val="single" w:sz="8" w:color="4C4C4C"/>
            </w:tcBorders>
            <w:gridSpan w:val="2"/>
            <w:vMerge w:val="continue"/>
          </w:tcPr>
          <w:p>
            <w:pPr>
              <w:spacing w:after="0"/>
              <w:rPr>
                <w:sz w:val="3"/>
                <w:szCs w:val="3"/>
                <w:color w:val="auto"/>
              </w:rPr>
            </w:pPr>
          </w:p>
        </w:tc>
        <w:tc>
          <w:tcPr>
            <w:tcW w:w="780" w:type="dxa"/>
            <w:vAlign w:val="bottom"/>
            <w:tcBorders>
              <w:bottom w:val="single" w:sz="8" w:color="4C4C4C"/>
            </w:tcBorders>
          </w:tcPr>
          <w:p>
            <w:pPr>
              <w:spacing w:after="0"/>
              <w:rPr>
                <w:sz w:val="3"/>
                <w:szCs w:val="3"/>
                <w:color w:val="auto"/>
              </w:rPr>
            </w:pPr>
          </w:p>
        </w:tc>
        <w:tc>
          <w:tcPr>
            <w:tcW w:w="1620" w:type="dxa"/>
            <w:vAlign w:val="bottom"/>
            <w:tcBorders>
              <w:bottom w:val="single" w:sz="8" w:color="4C4C4C"/>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rPr>
              <w:t>National Programs</w:t>
            </w:r>
          </w:p>
        </w:tc>
        <w:tc>
          <w:tcPr>
            <w:tcW w:w="820" w:type="dxa"/>
            <w:vAlign w:val="bottom"/>
          </w:tcPr>
          <w:p>
            <w:pPr>
              <w:spacing w:after="0"/>
              <w:rPr>
                <w:sz w:val="19"/>
                <w:szCs w:val="19"/>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Adjusted EBITDAC</w:t>
            </w:r>
          </w:p>
        </w:tc>
        <w:tc>
          <w:tcPr>
            <w:tcW w:w="7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Personal objectives</w:t>
            </w:r>
          </w:p>
        </w:tc>
        <w:tc>
          <w:tcPr>
            <w:tcW w:w="0" w:type="dxa"/>
            <w:vAlign w:val="bottom"/>
          </w:tcPr>
          <w:p>
            <w:pPr>
              <w:spacing w:after="0"/>
              <w:rPr>
                <w:sz w:val="1"/>
                <w:szCs w:val="1"/>
                <w:color w:val="auto"/>
              </w:rPr>
            </w:pPr>
          </w:p>
        </w:tc>
      </w:tr>
      <w:tr>
        <w:trPr>
          <w:trHeight w:val="187"/>
        </w:trPr>
        <w:tc>
          <w:tcPr>
            <w:tcW w:w="3500" w:type="dxa"/>
            <w:vAlign w:val="bottom"/>
            <w:vMerge w:val="restart"/>
          </w:tcPr>
          <w:p>
            <w:pPr>
              <w:ind w:left="80"/>
              <w:spacing w:after="0"/>
              <w:rPr>
                <w:sz w:val="20"/>
                <w:szCs w:val="20"/>
                <w:color w:val="auto"/>
              </w:rPr>
            </w:pPr>
            <w:r>
              <w:rPr>
                <w:rFonts w:ascii="Arial" w:cs="Arial" w:eastAsia="Arial" w:hAnsi="Arial"/>
                <w:sz w:val="16"/>
                <w:szCs w:val="16"/>
                <w:b w:val="1"/>
                <w:bCs w:val="1"/>
                <w:color w:val="1D4F90"/>
              </w:rPr>
              <w:t>Chris L. Walker</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580" w:type="dxa"/>
            <w:vAlign w:val="bottom"/>
          </w:tcPr>
          <w:p>
            <w:pPr>
              <w:jc w:val="center"/>
              <w:spacing w:after="0"/>
              <w:rPr>
                <w:sz w:val="20"/>
                <w:szCs w:val="20"/>
                <w:color w:val="auto"/>
              </w:rPr>
            </w:pPr>
            <w:r>
              <w:rPr>
                <w:rFonts w:ascii="Arial" w:cs="Arial" w:eastAsia="Arial" w:hAnsi="Arial"/>
                <w:sz w:val="16"/>
                <w:szCs w:val="16"/>
                <w:color w:val="auto"/>
              </w:rPr>
              <w:t>segment Organic</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002856"/>
                <w:w w:val="99"/>
              </w:rPr>
              <w:t>40%</w:t>
            </w:r>
          </w:p>
        </w:tc>
        <w:tc>
          <w:tcPr>
            <w:tcW w:w="1860" w:type="dxa"/>
            <w:vAlign w:val="bottom"/>
            <w:gridSpan w:val="2"/>
          </w:tcPr>
          <w:p>
            <w:pPr>
              <w:jc w:val="center"/>
              <w:ind w:right="60"/>
              <w:spacing w:after="0" w:line="188" w:lineRule="exact"/>
              <w:rPr>
                <w:sz w:val="20"/>
                <w:szCs w:val="20"/>
                <w:color w:val="auto"/>
              </w:rPr>
            </w:pPr>
            <w:r>
              <w:rPr>
                <w:rFonts w:ascii="Arial" w:cs="Arial" w:eastAsia="Arial" w:hAnsi="Arial"/>
                <w:sz w:val="14"/>
                <w:szCs w:val="14"/>
                <w:color w:val="auto"/>
              </w:rPr>
              <w:t>Margin</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(applicable to</w:t>
            </w:r>
          </w:p>
        </w:tc>
        <w:tc>
          <w:tcPr>
            <w:tcW w:w="780" w:type="dxa"/>
            <w:vAlign w:val="bottom"/>
            <w:vMerge w:val="restart"/>
          </w:tcPr>
          <w:p>
            <w:pPr>
              <w:jc w:val="center"/>
              <w:ind w:right="3"/>
              <w:spacing w:after="0"/>
              <w:rPr>
                <w:sz w:val="20"/>
                <w:szCs w:val="20"/>
                <w:color w:val="auto"/>
              </w:rPr>
            </w:pPr>
            <w:r>
              <w:rPr>
                <w:rFonts w:ascii="Arial" w:cs="Arial" w:eastAsia="Arial" w:hAnsi="Arial"/>
                <w:sz w:val="16"/>
                <w:szCs w:val="16"/>
                <w:b w:val="1"/>
                <w:bCs w:val="1"/>
                <w:color w:val="002856"/>
              </w:rPr>
              <w:t>20%</w:t>
            </w:r>
          </w:p>
        </w:tc>
        <w:tc>
          <w:tcPr>
            <w:tcW w:w="1620" w:type="dxa"/>
            <w:vAlign w:val="bottom"/>
          </w:tcPr>
          <w:p>
            <w:pPr>
              <w:jc w:val="center"/>
              <w:spacing w:after="0"/>
              <w:rPr>
                <w:sz w:val="20"/>
                <w:szCs w:val="20"/>
                <w:color w:val="auto"/>
              </w:rPr>
            </w:pPr>
            <w:r>
              <w:rPr>
                <w:rFonts w:ascii="Arial" w:cs="Arial" w:eastAsia="Arial" w:hAnsi="Arial"/>
                <w:sz w:val="16"/>
                <w:szCs w:val="16"/>
                <w:color w:val="auto"/>
              </w:rPr>
              <w:t>established for each</w:t>
            </w:r>
          </w:p>
        </w:tc>
        <w:tc>
          <w:tcPr>
            <w:tcW w:w="0" w:type="dxa"/>
            <w:vAlign w:val="bottom"/>
          </w:tcPr>
          <w:p>
            <w:pPr>
              <w:spacing w:after="0"/>
              <w:rPr>
                <w:sz w:val="1"/>
                <w:szCs w:val="1"/>
                <w:color w:val="auto"/>
              </w:rPr>
            </w:pPr>
          </w:p>
        </w:tc>
      </w:tr>
      <w:tr>
        <w:trPr>
          <w:trHeight w:val="128"/>
        </w:trPr>
        <w:tc>
          <w:tcPr>
            <w:tcW w:w="35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580" w:type="dxa"/>
            <w:vAlign w:val="bottom"/>
            <w:vMerge w:val="restart"/>
          </w:tcPr>
          <w:p>
            <w:pPr>
              <w:jc w:val="center"/>
              <w:spacing w:after="0" w:line="188" w:lineRule="exact"/>
              <w:rPr>
                <w:sz w:val="20"/>
                <w:szCs w:val="20"/>
                <w:color w:val="auto"/>
              </w:rPr>
            </w:pPr>
            <w:r>
              <w:rPr>
                <w:rFonts w:ascii="Arial" w:cs="Arial" w:eastAsia="Arial" w:hAnsi="Arial"/>
                <w:sz w:val="14"/>
                <w:szCs w:val="14"/>
                <w:color w:val="auto"/>
              </w:rPr>
              <w:t>Revenue</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growth –</w:t>
            </w:r>
          </w:p>
        </w:tc>
        <w:tc>
          <w:tcPr>
            <w:tcW w:w="820" w:type="dxa"/>
            <w:vAlign w:val="bottom"/>
            <w:vMerge w:val="continue"/>
          </w:tcPr>
          <w:p>
            <w:pPr>
              <w:spacing w:after="0"/>
              <w:rPr>
                <w:sz w:val="11"/>
                <w:szCs w:val="11"/>
                <w:color w:val="auto"/>
              </w:rPr>
            </w:pPr>
          </w:p>
        </w:tc>
        <w:tc>
          <w:tcPr>
            <w:tcW w:w="1860" w:type="dxa"/>
            <w:vAlign w:val="bottom"/>
            <w:gridSpan w:val="2"/>
            <w:vMerge w:val="restart"/>
          </w:tcPr>
          <w:p>
            <w:pPr>
              <w:jc w:val="center"/>
              <w:ind w:right="60"/>
              <w:spacing w:after="0"/>
              <w:rPr>
                <w:sz w:val="20"/>
                <w:szCs w:val="20"/>
                <w:color w:val="auto"/>
              </w:rPr>
            </w:pPr>
            <w:r>
              <w:rPr>
                <w:rFonts w:ascii="Arial" w:cs="Arial" w:eastAsia="Arial" w:hAnsi="Arial"/>
                <w:sz w:val="16"/>
                <w:szCs w:val="16"/>
                <w:color w:val="auto"/>
                <w:w w:val="99"/>
              </w:rPr>
              <w:t>all Named</w:t>
            </w:r>
          </w:p>
        </w:tc>
        <w:tc>
          <w:tcPr>
            <w:tcW w:w="780" w:type="dxa"/>
            <w:vAlign w:val="bottom"/>
            <w:vMerge w:val="continue"/>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Named</w:t>
            </w:r>
          </w:p>
        </w:tc>
        <w:tc>
          <w:tcPr>
            <w:tcW w:w="0" w:type="dxa"/>
            <w:vAlign w:val="bottom"/>
          </w:tcPr>
          <w:p>
            <w:pPr>
              <w:spacing w:after="0"/>
              <w:rPr>
                <w:sz w:val="1"/>
                <w:szCs w:val="1"/>
                <w:color w:val="auto"/>
              </w:rPr>
            </w:pPr>
          </w:p>
        </w:tc>
      </w:tr>
      <w:tr>
        <w:trPr>
          <w:trHeight w:val="60"/>
        </w:trPr>
        <w:tc>
          <w:tcPr>
            <w:tcW w:w="3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C6093B"/>
            </w:tcBorders>
          </w:tcPr>
          <w:p>
            <w:pPr>
              <w:spacing w:after="0"/>
              <w:rPr>
                <w:sz w:val="19"/>
                <w:szCs w:val="19"/>
                <w:color w:val="auto"/>
              </w:rPr>
            </w:pPr>
          </w:p>
        </w:tc>
        <w:tc>
          <w:tcPr>
            <w:tcW w:w="760" w:type="dxa"/>
            <w:vAlign w:val="bottom"/>
            <w:tcBorders>
              <w:bottom w:val="single" w:sz="8" w:color="C6093B"/>
            </w:tcBorders>
          </w:tcPr>
          <w:p>
            <w:pPr>
              <w:spacing w:after="0"/>
              <w:rPr>
                <w:sz w:val="19"/>
                <w:szCs w:val="19"/>
                <w:color w:val="auto"/>
              </w:rPr>
            </w:pPr>
          </w:p>
        </w:tc>
        <w:tc>
          <w:tcPr>
            <w:tcW w:w="1580" w:type="dxa"/>
            <w:vAlign w:val="bottom"/>
            <w:tcBorders>
              <w:bottom w:val="single" w:sz="8" w:color="C6093B"/>
            </w:tcBorders>
          </w:tcPr>
          <w:p>
            <w:pPr>
              <w:jc w:val="center"/>
              <w:spacing w:after="0" w:line="214" w:lineRule="exact"/>
              <w:rPr>
                <w:sz w:val="20"/>
                <w:szCs w:val="20"/>
                <w:color w:val="auto"/>
              </w:rPr>
            </w:pPr>
            <w:r>
              <w:rPr>
                <w:rFonts w:ascii="Arial" w:cs="Arial" w:eastAsia="Arial" w:hAnsi="Arial"/>
                <w:sz w:val="16"/>
                <w:szCs w:val="16"/>
                <w:color w:val="auto"/>
                <w:w w:val="92"/>
              </w:rPr>
              <w:t>adjusted</w:t>
            </w:r>
            <w:r>
              <w:rPr>
                <w:rFonts w:ascii="Arial" w:cs="Arial" w:eastAsia="Arial" w:hAnsi="Arial"/>
                <w:sz w:val="24"/>
                <w:szCs w:val="24"/>
                <w:color w:val="auto"/>
                <w:w w:val="92"/>
                <w:vertAlign w:val="superscript"/>
              </w:rPr>
              <w:t>(4)</w:t>
            </w:r>
          </w:p>
        </w:tc>
        <w:tc>
          <w:tcPr>
            <w:tcW w:w="820" w:type="dxa"/>
            <w:vAlign w:val="bottom"/>
            <w:tcBorders>
              <w:bottom w:val="single" w:sz="8" w:color="C6093B"/>
            </w:tcBorders>
          </w:tcPr>
          <w:p>
            <w:pPr>
              <w:spacing w:after="0"/>
              <w:rPr>
                <w:sz w:val="19"/>
                <w:szCs w:val="19"/>
                <w:color w:val="auto"/>
              </w:rPr>
            </w:pPr>
          </w:p>
        </w:tc>
        <w:tc>
          <w:tcPr>
            <w:tcW w:w="1860" w:type="dxa"/>
            <w:vAlign w:val="bottom"/>
            <w:tcBorders>
              <w:bottom w:val="single" w:sz="8" w:color="C6093B"/>
            </w:tcBorders>
            <w:gridSpan w:val="2"/>
          </w:tcPr>
          <w:p>
            <w:pPr>
              <w:jc w:val="center"/>
              <w:ind w:right="80"/>
              <w:spacing w:after="0"/>
              <w:rPr>
                <w:sz w:val="20"/>
                <w:szCs w:val="20"/>
                <w:color w:val="auto"/>
              </w:rPr>
            </w:pPr>
            <w:r>
              <w:rPr>
                <w:rFonts w:ascii="Arial" w:cs="Arial" w:eastAsia="Arial" w:hAnsi="Arial"/>
                <w:sz w:val="16"/>
                <w:szCs w:val="16"/>
                <w:color w:val="auto"/>
                <w:w w:val="99"/>
              </w:rPr>
              <w:t>Executive Officers)</w:t>
            </w:r>
          </w:p>
        </w:tc>
        <w:tc>
          <w:tcPr>
            <w:tcW w:w="780" w:type="dxa"/>
            <w:vAlign w:val="bottom"/>
            <w:tcBorders>
              <w:bottom w:val="single" w:sz="8" w:color="C6093B"/>
            </w:tcBorders>
          </w:tcPr>
          <w:p>
            <w:pPr>
              <w:spacing w:after="0"/>
              <w:rPr>
                <w:sz w:val="19"/>
                <w:szCs w:val="19"/>
                <w:color w:val="auto"/>
              </w:rPr>
            </w:pPr>
          </w:p>
        </w:tc>
        <w:tc>
          <w:tcPr>
            <w:tcW w:w="1620" w:type="dxa"/>
            <w:vAlign w:val="bottom"/>
            <w:tcBorders>
              <w:bottom w:val="single" w:sz="8" w:color="C6093B"/>
            </w:tcBorders>
          </w:tcPr>
          <w:p>
            <w:pPr>
              <w:jc w:val="center"/>
              <w:spacing w:after="0" w:line="214" w:lineRule="exact"/>
              <w:rPr>
                <w:sz w:val="20"/>
                <w:szCs w:val="20"/>
                <w:color w:val="auto"/>
              </w:rPr>
            </w:pPr>
            <w:r>
              <w:rPr>
                <w:rFonts w:ascii="Arial" w:cs="Arial" w:eastAsia="Arial" w:hAnsi="Arial"/>
                <w:sz w:val="16"/>
                <w:szCs w:val="16"/>
                <w:color w:val="auto"/>
                <w:w w:val="96"/>
              </w:rPr>
              <w:t>Executive Officer</w:t>
            </w:r>
            <w:r>
              <w:rPr>
                <w:rFonts w:ascii="Arial" w:cs="Arial" w:eastAsia="Arial" w:hAnsi="Arial"/>
                <w:sz w:val="24"/>
                <w:szCs w:val="24"/>
                <w:color w:val="auto"/>
                <w:w w:val="96"/>
                <w:vertAlign w:val="superscript"/>
              </w:rPr>
              <w:t>(5)</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right="80" w:hanging="213"/>
        <w:spacing w:after="0" w:line="201"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The Compensation Committee selected these financial performance measures in furtherance of our strategy to increase our Organic Revenue growth while maintaining, among other things, our strong, industry-leading operating margins.</w:t>
      </w:r>
    </w:p>
    <w:p>
      <w:pPr>
        <w:spacing w:after="0" w:line="49" w:lineRule="exact"/>
        <w:rPr>
          <w:rFonts w:ascii="Arial" w:cs="Arial" w:eastAsia="Arial" w:hAnsi="Arial"/>
          <w:sz w:val="19"/>
          <w:szCs w:val="19"/>
          <w:color w:val="auto"/>
          <w:vertAlign w:val="superscript"/>
        </w:rPr>
      </w:pPr>
    </w:p>
    <w:p>
      <w:pPr>
        <w:ind w:left="220" w:right="20" w:hanging="213"/>
        <w:spacing w:after="0" w:line="201"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 xml:space="preserve">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Organic Revenue, Organic Revenue growth and Adjusted EBITDAC Margin, which are non-GAAP financial measures, including a reconciliation to the most closely comparable GAAP financial measure.</w:t>
      </w:r>
    </w:p>
    <w:p>
      <w:pPr>
        <w:spacing w:after="0" w:line="49" w:lineRule="exact"/>
        <w:rPr>
          <w:rFonts w:ascii="Arial" w:cs="Arial" w:eastAsia="Arial" w:hAnsi="Arial"/>
          <w:sz w:val="19"/>
          <w:szCs w:val="19"/>
          <w:color w:val="auto"/>
          <w:vertAlign w:val="superscript"/>
        </w:rPr>
      </w:pPr>
    </w:p>
    <w:p>
      <w:pPr>
        <w:ind w:left="220" w:right="260" w:hanging="213"/>
        <w:spacing w:after="0" w:line="209"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 xml:space="preserve">Retail segment Organic Revenue growth was adjusted for 2023 to include the impact of certain offices within the National Programs and Wholesale Brokerage segments for which Mr. Barrett Brown, Executive Vice President and President – Retail segment, had responsibility in 2023. 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Retail segment Organic Revenue growth – adjusted, which is a non-GAAP financial measure, including a reconciliation to the most closely comparable GAAP financial measure.</w:t>
      </w:r>
    </w:p>
    <w:p>
      <w:pPr>
        <w:spacing w:after="0" w:line="50" w:lineRule="exact"/>
        <w:rPr>
          <w:rFonts w:ascii="Arial" w:cs="Arial" w:eastAsia="Arial" w:hAnsi="Arial"/>
          <w:sz w:val="19"/>
          <w:szCs w:val="19"/>
          <w:color w:val="auto"/>
          <w:vertAlign w:val="superscript"/>
        </w:rPr>
      </w:pPr>
    </w:p>
    <w:p>
      <w:pPr>
        <w:ind w:left="220" w:right="440" w:hanging="213"/>
        <w:spacing w:after="0" w:line="188"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National Programs segment Organic Revenue growth was adjusted (i) for 2022, to include the impact of certain offices within the Services segment for which Mr. Walker, Executive Vice President and President – National Programs segment, had responsibility in 2022 and (ii) for 2023, to exclude the impact of certain offices within the National Programs segment for which</w:t>
      </w:r>
    </w:p>
    <w:p>
      <w:pPr>
        <w:jc w:val="both"/>
        <w:ind w:left="220" w:right="60"/>
        <w:spacing w:after="0" w:line="245" w:lineRule="auto"/>
        <w:rPr>
          <w:rFonts w:ascii="Arial" w:cs="Arial" w:eastAsia="Arial" w:hAnsi="Arial"/>
          <w:sz w:val="19"/>
          <w:szCs w:val="19"/>
          <w:color w:val="auto"/>
          <w:vertAlign w:val="superscript"/>
        </w:rPr>
      </w:pPr>
      <w:r>
        <w:rPr>
          <w:rFonts w:ascii="Arial" w:cs="Arial" w:eastAsia="Arial" w:hAnsi="Arial"/>
          <w:sz w:val="12"/>
          <w:szCs w:val="12"/>
          <w:color w:val="auto"/>
        </w:rPr>
        <w:t xml:space="preserve">Mr. Walker did not have responsibility in 2023 and to include the impact of certain offices within the Services segment for which Mr. Walker had responsibility in 2023. 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National Programs segment Organic Revenue growth – adjusted, which is a non-GAAP financial measure, including a reconciliation to the most closely comparable GAAP financial measure.</w:t>
      </w:r>
    </w:p>
    <w:p>
      <w:pPr>
        <w:ind w:left="220" w:hanging="213"/>
        <w:spacing w:after="0" w:line="235" w:lineRule="auto"/>
        <w:tabs>
          <w:tab w:leader="none" w:pos="2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The personal objectives for each of our Named Executive Officers were approved by the Compensation Committee in February 2023.</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target amounts for each financial performance measure were discussed over several months and then reviewed and approved by the Compensation Committee in February 2023. To ensure our performance targets are rigorous and challenging, yet realistic for our executive officers, the target amounts for the Organic Revenue growth for the Company, the Organic Revenue growth of our operating segments, and our Adjusted EBITDAC Margin were based on our 2023 budget. Our 2023 budget was approved by the Board in January 2023 and reflects a multi-month process that includes thorough and thoughtful discussions among management and the leaders of our businesses, and between management and our Board. In determining our 2023 budget, which served as the basis for the targets for each 2023 financial performance measure, consideration was given to, among other things:</w:t>
      </w:r>
    </w:p>
    <w:p>
      <w:pPr>
        <w:spacing w:after="0" w:line="183" w:lineRule="exact"/>
        <w:rPr>
          <w:sz w:val="20"/>
          <w:szCs w:val="20"/>
          <w:color w:val="auto"/>
        </w:rPr>
      </w:pPr>
    </w:p>
    <w:p>
      <w:pPr>
        <w:ind w:left="220" w:right="500" w:hanging="213"/>
        <w:spacing w:after="0" w:line="279"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expectation that the economy would continue to grow, but at a slower pace than 2022, as the economies in which we operate return to more normal growth rates due to higher interest rate benchmarks set by central banks;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34</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expectation that insurance premium rates would either remain relatively stable or increase moderately in 2023;</w:t>
      </w:r>
    </w:p>
    <w:p>
      <w:pPr>
        <w:spacing w:after="0" w:line="83" w:lineRule="exact"/>
        <w:rPr>
          <w:rFonts w:ascii="Arial" w:cs="Arial" w:eastAsia="Arial" w:hAnsi="Arial"/>
          <w:sz w:val="16"/>
          <w:szCs w:val="16"/>
          <w:color w:val="auto"/>
        </w:rPr>
      </w:pPr>
    </w:p>
    <w:p>
      <w:pPr>
        <w:ind w:left="220" w:right="120" w:hanging="213"/>
        <w:spacing w:after="0" w:line="262"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expectation that “insurable exposure units,” which are units that insurance companies use to measure or express insurance exposed to risk (such as property values, sales and payroll levels) to determine what premium to charge the insured, would decrease modestly as GDP growth was expected to be lower in 2023 as compared to 2022;</w:t>
      </w:r>
    </w:p>
    <w:p>
      <w:pPr>
        <w:spacing w:after="0" w:line="39" w:lineRule="exact"/>
        <w:rPr>
          <w:rFonts w:ascii="Arial" w:cs="Arial" w:eastAsia="Arial" w:hAnsi="Arial"/>
          <w:sz w:val="16"/>
          <w:szCs w:val="16"/>
          <w:color w:val="auto"/>
        </w:rPr>
      </w:pPr>
    </w:p>
    <w:p>
      <w:pPr>
        <w:ind w:left="220" w:right="360" w:hanging="213"/>
        <w:spacing w:after="0" w:line="262"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expectation that salary inflation would continue to put downward pressure on our operating margins, as would our continued incremental investments in technology, security and data, which are intended to help improve the customer and teammate experience as well as to protect our information technology systems and data and</w:t>
      </w:r>
    </w:p>
    <w:p>
      <w:pPr>
        <w:spacing w:after="0" w:line="39" w:lineRule="exact"/>
        <w:rPr>
          <w:rFonts w:ascii="Arial" w:cs="Arial" w:eastAsia="Arial" w:hAnsi="Arial"/>
          <w:sz w:val="16"/>
          <w:szCs w:val="16"/>
          <w:color w:val="auto"/>
        </w:rPr>
      </w:pPr>
    </w:p>
    <w:p>
      <w:pPr>
        <w:ind w:left="220" w:right="700" w:hanging="213"/>
        <w:spacing w:after="0" w:line="279"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expectation that certain businesses we acquired in the previous three years, which had lower operating margins versus other comparable businesses we operate, would increase profitably and have a positive impact on our overall 2023 operating margins.</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For each financial performance measure, we make no payout for performance below a certain threshold. As part of our pay-for-performance framework, the Compensation Committee adopted payout curves that are intended to incentivize performance generally within a “target payout corridor” and that provide for incrementally higher and lower payouts for performance outside of the target payout corridor. Payout percentages for each financial performance measure were calculated based on the following tables:</w:t>
      </w:r>
    </w:p>
    <w:p>
      <w:pPr>
        <w:spacing w:after="0" w:line="219" w:lineRule="exact"/>
        <w:rPr>
          <w:sz w:val="20"/>
          <w:szCs w:val="20"/>
          <w:color w:val="auto"/>
        </w:rPr>
      </w:pPr>
    </w:p>
    <w:p>
      <w:pPr>
        <w:ind w:left="900" w:right="900"/>
        <w:spacing w:after="0" w:line="589" w:lineRule="auto"/>
        <w:rPr>
          <w:sz w:val="20"/>
          <w:szCs w:val="20"/>
          <w:color w:val="auto"/>
        </w:rPr>
      </w:pPr>
      <w:r>
        <w:rPr>
          <w:sz w:val="1"/>
          <w:szCs w:val="1"/>
          <w:color w:val="auto"/>
        </w:rPr>
        <w:drawing>
          <wp:inline distT="0" distB="0" distL="0" distR="0">
            <wp:extent cx="2844800" cy="242887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44800" cy="242887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w:t>
      </w:r>
      <w:r>
        <w:rPr>
          <w:sz w:val="1"/>
          <w:szCs w:val="1"/>
          <w:color w:val="auto"/>
        </w:rPr>
        <w:drawing>
          <wp:inline distT="0" distB="0" distL="0" distR="0">
            <wp:extent cx="2844800" cy="242887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44800" cy="2428875"/>
                    </a:xfrm>
                    <a:prstGeom prst="rect">
                      <a:avLst/>
                    </a:prstGeom>
                    <a:noFill/>
                    <a:ln>
                      <a:noFill/>
                    </a:ln>
                  </pic:spPr>
                </pic:pic>
              </a:graphicData>
            </a:graphic>
          </wp:inline>
        </w:drawing>
        <w:drawing>
          <wp:inline distT="0" distB="0" distL="0" distR="0">
            <wp:extent cx="2844800" cy="242887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44800" cy="242887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-2649220</wp:posOffset>
            </wp:positionV>
            <wp:extent cx="2844800" cy="2428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44800" cy="2428875"/>
                    </a:xfrm>
                    <a:prstGeom prst="rect">
                      <a:avLst/>
                    </a:prstGeom>
                    <a:noFill/>
                  </pic:spPr>
                </pic:pic>
              </a:graphicData>
            </a:graphic>
          </wp:anchor>
        </w:drawing>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35</w:t>
      </w:r>
    </w:p>
    <w:p>
      <w:pPr>
        <w:sectPr>
          <w:pgSz w:w="11900" w:h="16838" w:orient="portrait"/>
          <w:cols w:equalWidth="0" w:num="1">
            <w:col w:w="10920"/>
          </w:cols>
          <w:pgMar w:left="480" w:top="304" w:right="49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color w:val="1D4F90"/>
        </w:rPr>
        <w:t xml:space="preserve">Determination of 2023 Annual Cash Incentive Payouts. </w:t>
      </w:r>
      <w:r>
        <w:rPr>
          <w:rFonts w:ascii="Arial" w:cs="Arial" w:eastAsia="Arial" w:hAnsi="Arial"/>
          <w:sz w:val="16"/>
          <w:szCs w:val="16"/>
          <w:color w:val="000000"/>
        </w:rPr>
        <w:t>In the first quarter of 2024, the Compensation Committee reviewed actual 2023 performance</w:t>
      </w:r>
      <w:r>
        <w:rPr>
          <w:rFonts w:ascii="Arial" w:cs="Arial" w:eastAsia="Arial" w:hAnsi="Arial"/>
          <w:sz w:val="16"/>
          <w:szCs w:val="16"/>
          <w:b w:val="1"/>
          <w:bCs w:val="1"/>
          <w:color w:val="1D4F90"/>
        </w:rPr>
        <w:t xml:space="preserve"> </w:t>
      </w:r>
      <w:r>
        <w:rPr>
          <w:rFonts w:ascii="Arial" w:cs="Arial" w:eastAsia="Arial" w:hAnsi="Arial"/>
          <w:sz w:val="16"/>
          <w:szCs w:val="16"/>
          <w:color w:val="000000"/>
        </w:rPr>
        <w:t>of each financial performance measure against the target performance for each such measure as set forth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002856"/>
              </w:rPr>
              <w:t>Percentage</w:t>
            </w:r>
          </w:p>
        </w:tc>
        <w:tc>
          <w:tcPr>
            <w:tcW w:w="1260" w:type="dxa"/>
            <w:vAlign w:val="bottom"/>
          </w:tcPr>
          <w:p>
            <w:pPr>
              <w:spacing w:after="0"/>
              <w:rPr>
                <w:sz w:val="14"/>
                <w:szCs w:val="14"/>
                <w:color w:val="auto"/>
              </w:rPr>
            </w:pPr>
          </w:p>
        </w:tc>
      </w:tr>
      <w:tr>
        <w:trPr>
          <w:trHeight w:val="160"/>
        </w:trPr>
        <w:tc>
          <w:tcPr>
            <w:tcW w:w="5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002856"/>
              </w:rPr>
              <w:t>of Target</w:t>
            </w:r>
          </w:p>
        </w:tc>
        <w:tc>
          <w:tcPr>
            <w:tcW w:w="1260" w:type="dxa"/>
            <w:vAlign w:val="bottom"/>
          </w:tcPr>
          <w:p>
            <w:pPr>
              <w:jc w:val="right"/>
              <w:ind w:right="283"/>
              <w:spacing w:after="0"/>
              <w:rPr>
                <w:sz w:val="20"/>
                <w:szCs w:val="20"/>
                <w:color w:val="auto"/>
              </w:rPr>
            </w:pPr>
            <w:r>
              <w:rPr>
                <w:rFonts w:ascii="Arial" w:cs="Arial" w:eastAsia="Arial" w:hAnsi="Arial"/>
                <w:sz w:val="14"/>
                <w:szCs w:val="14"/>
                <w:b w:val="1"/>
                <w:bCs w:val="1"/>
                <w:color w:val="002856"/>
              </w:rPr>
              <w:t>Payout</w:t>
            </w:r>
          </w:p>
        </w:tc>
      </w:tr>
      <w:tr>
        <w:trPr>
          <w:trHeight w:val="177"/>
        </w:trPr>
        <w:tc>
          <w:tcPr>
            <w:tcW w:w="536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Financial Performance Measure</w:t>
            </w:r>
          </w:p>
        </w:tc>
        <w:tc>
          <w:tcPr>
            <w:tcW w:w="1520" w:type="dxa"/>
            <w:vAlign w:val="bottom"/>
            <w:tcBorders>
              <w:bottom w:val="single" w:sz="8" w:color="C6093B"/>
            </w:tcBorders>
          </w:tcPr>
          <w:p>
            <w:pPr>
              <w:jc w:val="right"/>
              <w:ind w:right="342"/>
              <w:spacing w:after="0"/>
              <w:rPr>
                <w:sz w:val="20"/>
                <w:szCs w:val="20"/>
                <w:color w:val="auto"/>
              </w:rPr>
            </w:pPr>
            <w:r>
              <w:rPr>
                <w:rFonts w:ascii="Arial" w:cs="Arial" w:eastAsia="Arial" w:hAnsi="Arial"/>
                <w:sz w:val="14"/>
                <w:szCs w:val="14"/>
                <w:b w:val="1"/>
                <w:bCs w:val="1"/>
                <w:color w:val="002856"/>
              </w:rPr>
              <w:t>Target</w:t>
            </w:r>
          </w:p>
        </w:tc>
        <w:tc>
          <w:tcPr>
            <w:tcW w:w="1260" w:type="dxa"/>
            <w:vAlign w:val="bottom"/>
            <w:tcBorders>
              <w:bottom w:val="single" w:sz="8" w:color="C6093B"/>
            </w:tcBorders>
          </w:tcPr>
          <w:p>
            <w:pPr>
              <w:jc w:val="right"/>
              <w:ind w:right="462"/>
              <w:spacing w:after="0"/>
              <w:rPr>
                <w:sz w:val="20"/>
                <w:szCs w:val="20"/>
                <w:color w:val="auto"/>
              </w:rPr>
            </w:pPr>
            <w:r>
              <w:rPr>
                <w:rFonts w:ascii="Arial" w:cs="Arial" w:eastAsia="Arial" w:hAnsi="Arial"/>
                <w:sz w:val="14"/>
                <w:szCs w:val="14"/>
                <w:b w:val="1"/>
                <w:bCs w:val="1"/>
                <w:color w:val="002856"/>
              </w:rPr>
              <w:t>Actual</w:t>
            </w:r>
          </w:p>
        </w:tc>
        <w:tc>
          <w:tcPr>
            <w:tcW w:w="1520" w:type="dxa"/>
            <w:vAlign w:val="bottom"/>
            <w:tcBorders>
              <w:bottom w:val="single" w:sz="8" w:color="C6093B"/>
            </w:tcBorders>
          </w:tcPr>
          <w:p>
            <w:pPr>
              <w:jc w:val="center"/>
              <w:ind w:right="104"/>
              <w:spacing w:after="0"/>
              <w:rPr>
                <w:sz w:val="20"/>
                <w:szCs w:val="20"/>
                <w:color w:val="auto"/>
              </w:rPr>
            </w:pPr>
            <w:r>
              <w:rPr>
                <w:rFonts w:ascii="Arial" w:cs="Arial" w:eastAsia="Arial" w:hAnsi="Arial"/>
                <w:sz w:val="14"/>
                <w:szCs w:val="14"/>
                <w:b w:val="1"/>
                <w:bCs w:val="1"/>
                <w:color w:val="002856"/>
              </w:rPr>
              <w:t>Performance</w:t>
            </w:r>
          </w:p>
        </w:tc>
        <w:tc>
          <w:tcPr>
            <w:tcW w:w="1260" w:type="dxa"/>
            <w:vAlign w:val="bottom"/>
            <w:tcBorders>
              <w:bottom w:val="single" w:sz="8" w:color="C6093B"/>
            </w:tcBorders>
          </w:tcPr>
          <w:p>
            <w:pPr>
              <w:jc w:val="right"/>
              <w:ind w:right="123"/>
              <w:spacing w:after="0"/>
              <w:rPr>
                <w:sz w:val="20"/>
                <w:szCs w:val="20"/>
                <w:color w:val="auto"/>
              </w:rPr>
            </w:pPr>
            <w:r>
              <w:rPr>
                <w:rFonts w:ascii="Arial" w:cs="Arial" w:eastAsia="Arial" w:hAnsi="Arial"/>
                <w:sz w:val="14"/>
                <w:szCs w:val="14"/>
                <w:b w:val="1"/>
                <w:bCs w:val="1"/>
                <w:color w:val="002856"/>
              </w:rPr>
              <w:t>Percentage</w:t>
            </w:r>
          </w:p>
        </w:tc>
      </w:tr>
      <w:tr>
        <w:trPr>
          <w:trHeight w:val="241"/>
        </w:trPr>
        <w:tc>
          <w:tcPr>
            <w:tcW w:w="536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Adjusted EBITDAC Margin</w:t>
            </w:r>
          </w:p>
        </w:tc>
        <w:tc>
          <w:tcPr>
            <w:tcW w:w="1520" w:type="dxa"/>
            <w:vAlign w:val="bottom"/>
            <w:tcBorders>
              <w:bottom w:val="single" w:sz="8" w:color="4C4C4C"/>
            </w:tcBorders>
          </w:tcPr>
          <w:p>
            <w:pPr>
              <w:jc w:val="right"/>
              <w:ind w:right="202"/>
              <w:spacing w:after="0"/>
              <w:rPr>
                <w:sz w:val="20"/>
                <w:szCs w:val="20"/>
                <w:color w:val="auto"/>
              </w:rPr>
            </w:pPr>
            <w:r>
              <w:rPr>
                <w:rFonts w:ascii="Arial" w:cs="Arial" w:eastAsia="Arial" w:hAnsi="Arial"/>
                <w:sz w:val="16"/>
                <w:szCs w:val="16"/>
                <w:color w:val="auto"/>
              </w:rPr>
              <w:t>33.1%</w:t>
            </w:r>
          </w:p>
        </w:tc>
        <w:tc>
          <w:tcPr>
            <w:tcW w:w="1260" w:type="dxa"/>
            <w:vAlign w:val="bottom"/>
            <w:tcBorders>
              <w:bottom w:val="single" w:sz="8" w:color="4C4C4C"/>
            </w:tcBorders>
          </w:tcPr>
          <w:p>
            <w:pPr>
              <w:jc w:val="right"/>
              <w:ind w:right="162"/>
              <w:spacing w:after="0" w:line="241" w:lineRule="exact"/>
              <w:rPr>
                <w:sz w:val="20"/>
                <w:szCs w:val="20"/>
                <w:color w:val="auto"/>
              </w:rPr>
            </w:pPr>
            <w:r>
              <w:rPr>
                <w:rFonts w:ascii="Arial" w:cs="Arial" w:eastAsia="Arial" w:hAnsi="Arial"/>
                <w:sz w:val="16"/>
                <w:szCs w:val="16"/>
                <w:color w:val="auto"/>
              </w:rPr>
              <w:t>34.2%</w:t>
            </w:r>
            <w:r>
              <w:rPr>
                <w:rFonts w:ascii="Arial" w:cs="Arial" w:eastAsia="Arial" w:hAnsi="Arial"/>
                <w:sz w:val="24"/>
                <w:szCs w:val="24"/>
                <w:color w:val="auto"/>
                <w:vertAlign w:val="superscript"/>
              </w:rPr>
              <w:t>(1)</w:t>
            </w:r>
          </w:p>
        </w:tc>
        <w:tc>
          <w:tcPr>
            <w:tcW w:w="1520" w:type="dxa"/>
            <w:vAlign w:val="bottom"/>
            <w:tcBorders>
              <w:bottom w:val="single" w:sz="8" w:color="4C4C4C"/>
            </w:tcBorders>
          </w:tcPr>
          <w:p>
            <w:pPr>
              <w:jc w:val="right"/>
              <w:ind w:right="344"/>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158%</w:t>
            </w:r>
          </w:p>
        </w:tc>
      </w:tr>
      <w:tr>
        <w:trPr>
          <w:trHeight w:val="234"/>
        </w:trPr>
        <w:tc>
          <w:tcPr>
            <w:tcW w:w="536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Company Organic Revenue growth</w:t>
            </w:r>
          </w:p>
        </w:tc>
        <w:tc>
          <w:tcPr>
            <w:tcW w:w="1520" w:type="dxa"/>
            <w:vAlign w:val="bottom"/>
            <w:tcBorders>
              <w:bottom w:val="single" w:sz="8" w:color="4C4C4C"/>
            </w:tcBorders>
          </w:tcPr>
          <w:p>
            <w:pPr>
              <w:jc w:val="right"/>
              <w:ind w:right="202"/>
              <w:spacing w:after="0"/>
              <w:rPr>
                <w:sz w:val="20"/>
                <w:szCs w:val="20"/>
                <w:color w:val="auto"/>
              </w:rPr>
            </w:pPr>
            <w:r>
              <w:rPr>
                <w:rFonts w:ascii="Arial" w:cs="Arial" w:eastAsia="Arial" w:hAnsi="Arial"/>
                <w:sz w:val="16"/>
                <w:szCs w:val="16"/>
                <w:color w:val="auto"/>
              </w:rPr>
              <w:t>6.1%</w:t>
            </w:r>
          </w:p>
        </w:tc>
        <w:tc>
          <w:tcPr>
            <w:tcW w:w="1260" w:type="dxa"/>
            <w:vAlign w:val="bottom"/>
            <w:tcBorders>
              <w:bottom w:val="single" w:sz="8" w:color="4C4C4C"/>
            </w:tcBorders>
          </w:tcPr>
          <w:p>
            <w:pPr>
              <w:jc w:val="right"/>
              <w:ind w:right="322"/>
              <w:spacing w:after="0"/>
              <w:rPr>
                <w:sz w:val="20"/>
                <w:szCs w:val="20"/>
                <w:color w:val="auto"/>
              </w:rPr>
            </w:pPr>
            <w:r>
              <w:rPr>
                <w:rFonts w:ascii="Arial" w:cs="Arial" w:eastAsia="Arial" w:hAnsi="Arial"/>
                <w:sz w:val="16"/>
                <w:szCs w:val="16"/>
                <w:color w:val="auto"/>
              </w:rPr>
              <w:t>10.2%</w:t>
            </w:r>
          </w:p>
        </w:tc>
        <w:tc>
          <w:tcPr>
            <w:tcW w:w="15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167%</w:t>
            </w:r>
          </w:p>
        </w:tc>
        <w:tc>
          <w:tcPr>
            <w:tcW w:w="12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200%</w:t>
            </w:r>
          </w:p>
        </w:tc>
      </w:tr>
      <w:tr>
        <w:trPr>
          <w:trHeight w:val="234"/>
        </w:trPr>
        <w:tc>
          <w:tcPr>
            <w:tcW w:w="536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Retail segment Organic Revenue growth – adjusted</w:t>
            </w:r>
          </w:p>
        </w:tc>
        <w:tc>
          <w:tcPr>
            <w:tcW w:w="1520" w:type="dxa"/>
            <w:vAlign w:val="bottom"/>
            <w:tcBorders>
              <w:bottom w:val="single" w:sz="8" w:color="4C4C4C"/>
            </w:tcBorders>
          </w:tcPr>
          <w:p>
            <w:pPr>
              <w:jc w:val="right"/>
              <w:ind w:right="202"/>
              <w:spacing w:after="0"/>
              <w:rPr>
                <w:sz w:val="20"/>
                <w:szCs w:val="20"/>
                <w:color w:val="auto"/>
              </w:rPr>
            </w:pPr>
            <w:r>
              <w:rPr>
                <w:rFonts w:ascii="Arial" w:cs="Arial" w:eastAsia="Arial" w:hAnsi="Arial"/>
                <w:sz w:val="16"/>
                <w:szCs w:val="16"/>
                <w:color w:val="auto"/>
              </w:rPr>
              <w:t>6.2%</w:t>
            </w:r>
          </w:p>
        </w:tc>
        <w:tc>
          <w:tcPr>
            <w:tcW w:w="1260" w:type="dxa"/>
            <w:vAlign w:val="bottom"/>
            <w:tcBorders>
              <w:bottom w:val="single" w:sz="8" w:color="4C4C4C"/>
            </w:tcBorders>
          </w:tcPr>
          <w:p>
            <w:pPr>
              <w:jc w:val="right"/>
              <w:ind w:right="322"/>
              <w:spacing w:after="0"/>
              <w:rPr>
                <w:sz w:val="20"/>
                <w:szCs w:val="20"/>
                <w:color w:val="auto"/>
              </w:rPr>
            </w:pPr>
            <w:r>
              <w:rPr>
                <w:rFonts w:ascii="Arial" w:cs="Arial" w:eastAsia="Arial" w:hAnsi="Arial"/>
                <w:sz w:val="16"/>
                <w:szCs w:val="16"/>
                <w:color w:val="auto"/>
              </w:rPr>
              <w:t>8.0%</w:t>
            </w:r>
          </w:p>
        </w:tc>
        <w:tc>
          <w:tcPr>
            <w:tcW w:w="15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129%</w:t>
            </w:r>
          </w:p>
        </w:tc>
        <w:tc>
          <w:tcPr>
            <w:tcW w:w="12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167%</w:t>
            </w:r>
          </w:p>
        </w:tc>
      </w:tr>
      <w:tr>
        <w:trPr>
          <w:trHeight w:val="241"/>
        </w:trPr>
        <w:tc>
          <w:tcPr>
            <w:tcW w:w="5360" w:type="dxa"/>
            <w:vAlign w:val="bottom"/>
            <w:tcBorders>
              <w:bottom w:val="single" w:sz="8" w:color="C6093B"/>
            </w:tcBorders>
          </w:tcPr>
          <w:p>
            <w:pPr>
              <w:ind w:left="80"/>
              <w:spacing w:after="0"/>
              <w:rPr>
                <w:sz w:val="20"/>
                <w:szCs w:val="20"/>
                <w:color w:val="auto"/>
              </w:rPr>
            </w:pPr>
            <w:r>
              <w:rPr>
                <w:rFonts w:ascii="Arial" w:cs="Arial" w:eastAsia="Arial" w:hAnsi="Arial"/>
                <w:sz w:val="16"/>
                <w:szCs w:val="16"/>
                <w:color w:val="auto"/>
              </w:rPr>
              <w:t>National Programs segment Organic Revenue growth – adjusted</w:t>
            </w:r>
          </w:p>
        </w:tc>
        <w:tc>
          <w:tcPr>
            <w:tcW w:w="1520" w:type="dxa"/>
            <w:vAlign w:val="bottom"/>
            <w:tcBorders>
              <w:bottom w:val="single" w:sz="8" w:color="C6093B"/>
            </w:tcBorders>
          </w:tcPr>
          <w:p>
            <w:pPr>
              <w:jc w:val="right"/>
              <w:ind w:right="202"/>
              <w:spacing w:after="0"/>
              <w:rPr>
                <w:sz w:val="20"/>
                <w:szCs w:val="20"/>
                <w:color w:val="auto"/>
              </w:rPr>
            </w:pPr>
            <w:r>
              <w:rPr>
                <w:rFonts w:ascii="Arial" w:cs="Arial" w:eastAsia="Arial" w:hAnsi="Arial"/>
                <w:sz w:val="16"/>
                <w:szCs w:val="16"/>
                <w:color w:val="auto"/>
              </w:rPr>
              <w:t>5.7%</w:t>
            </w:r>
          </w:p>
        </w:tc>
        <w:tc>
          <w:tcPr>
            <w:tcW w:w="1260" w:type="dxa"/>
            <w:vAlign w:val="bottom"/>
            <w:tcBorders>
              <w:bottom w:val="single" w:sz="8" w:color="C6093B"/>
            </w:tcBorders>
          </w:tcPr>
          <w:p>
            <w:pPr>
              <w:jc w:val="right"/>
              <w:ind w:right="322"/>
              <w:spacing w:after="0"/>
              <w:rPr>
                <w:sz w:val="20"/>
                <w:szCs w:val="20"/>
                <w:color w:val="auto"/>
              </w:rPr>
            </w:pPr>
            <w:r>
              <w:rPr>
                <w:rFonts w:ascii="Arial" w:cs="Arial" w:eastAsia="Arial" w:hAnsi="Arial"/>
                <w:sz w:val="16"/>
                <w:szCs w:val="16"/>
                <w:color w:val="auto"/>
              </w:rPr>
              <w:t>16.1%</w:t>
            </w:r>
          </w:p>
        </w:tc>
        <w:tc>
          <w:tcPr>
            <w:tcW w:w="1520" w:type="dxa"/>
            <w:vAlign w:val="bottom"/>
            <w:tcBorders>
              <w:bottom w:val="single" w:sz="8" w:color="C6093B"/>
            </w:tcBorders>
          </w:tcPr>
          <w:p>
            <w:pPr>
              <w:jc w:val="right"/>
              <w:ind w:right="184"/>
              <w:spacing w:after="0"/>
              <w:rPr>
                <w:sz w:val="20"/>
                <w:szCs w:val="20"/>
                <w:color w:val="auto"/>
              </w:rPr>
            </w:pPr>
            <w:r>
              <w:rPr>
                <w:rFonts w:ascii="Arial" w:cs="Arial" w:eastAsia="Arial" w:hAnsi="Arial"/>
                <w:sz w:val="16"/>
                <w:szCs w:val="16"/>
                <w:color w:val="auto"/>
              </w:rPr>
              <w:t>282%</w:t>
            </w:r>
          </w:p>
        </w:tc>
        <w:tc>
          <w:tcPr>
            <w:tcW w:w="126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200%</w:t>
            </w:r>
          </w:p>
        </w:tc>
      </w:tr>
    </w:tbl>
    <w:p>
      <w:pPr>
        <w:spacing w:after="0" w:line="9" w:lineRule="exact"/>
        <w:rPr>
          <w:sz w:val="20"/>
          <w:szCs w:val="20"/>
          <w:color w:val="auto"/>
        </w:rPr>
      </w:pPr>
    </w:p>
    <w:p>
      <w:pPr>
        <w:ind w:left="220" w:hanging="213"/>
        <w:spacing w:after="0"/>
        <w:tabs>
          <w:tab w:leader="none" w:pos="220" w:val="left"/>
        </w:tabs>
        <w:numPr>
          <w:ilvl w:val="0"/>
          <w:numId w:val="25"/>
        </w:numPr>
        <w:rPr>
          <w:rFonts w:ascii="Arial" w:cs="Arial" w:eastAsia="Arial" w:hAnsi="Arial"/>
          <w:sz w:val="19"/>
          <w:szCs w:val="19"/>
          <w:color w:val="auto"/>
          <w:vertAlign w:val="superscript"/>
        </w:rPr>
      </w:pPr>
      <w:r>
        <w:rPr>
          <w:rFonts w:ascii="Arial" w:cs="Arial" w:eastAsia="Arial" w:hAnsi="Arial"/>
          <w:sz w:val="12"/>
          <w:szCs w:val="12"/>
          <w:color w:val="auto"/>
        </w:rPr>
        <w:t>In calculating the Company’s Adjusted EBITDAC Margin for 2023:</w:t>
      </w:r>
    </w:p>
    <w:p>
      <w:pPr>
        <w:spacing w:after="0" w:line="61" w:lineRule="exact"/>
        <w:rPr>
          <w:rFonts w:ascii="Arial" w:cs="Arial" w:eastAsia="Arial" w:hAnsi="Arial"/>
          <w:sz w:val="19"/>
          <w:szCs w:val="19"/>
          <w:color w:val="auto"/>
          <w:vertAlign w:val="superscript"/>
        </w:rPr>
      </w:pPr>
    </w:p>
    <w:p>
      <w:pPr>
        <w:ind w:left="540" w:right="140" w:hanging="319"/>
        <w:spacing w:after="0" w:line="241" w:lineRule="auto"/>
        <w:tabs>
          <w:tab w:leader="none" w:pos="5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Committee excluded the negative impact of the Company’s non-cash stock-based compensation expense in excess of what was reflected in the Company’s Board-approved 2023 budget. The Committee based its decision upon the fact that the higher-than-budgeted non-cash stock-based compensation expense for 2023 was the result of above-target performance by the Company for those grants of restricted stock made in February 2020 under our 2019 SIP, which resulted in the issuance of additional shares of restricted stock. For additional information about those grants of restricted stock made in February 2020 under our 2019 SIP, see “Equity Incentive Plan Outcomes in 2023.”</w:t>
      </w:r>
    </w:p>
    <w:p>
      <w:pPr>
        <w:spacing w:after="0" w:line="48" w:lineRule="exact"/>
        <w:rPr>
          <w:rFonts w:ascii="Arial" w:cs="Arial" w:eastAsia="Arial" w:hAnsi="Arial"/>
          <w:sz w:val="12"/>
          <w:szCs w:val="12"/>
          <w:color w:val="auto"/>
        </w:rPr>
      </w:pPr>
    </w:p>
    <w:p>
      <w:pPr>
        <w:ind w:left="540" w:right="60" w:hanging="319"/>
        <w:spacing w:after="0" w:line="244" w:lineRule="auto"/>
        <w:tabs>
          <w:tab w:leader="none" w:pos="5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Committee excluded the negative impact of the acquisition and integration costs (e.g., costs associated with regulatory filings, legal/accounting services, due diligence and the costs of integrating information technology systems) arising out of the Company’s acquisitions of GRP, Orchid Underwriters Agency and CrossCover Insurance Services, and BdB Limited companies, which are not expected to occur on an ongoing basis in the future (“Acquisition/Integration Costs”). The Committee based its decision upon the fact that these costs were related to the Company’s acquisition of these businesses, and not the underlying performance of the businesses themselves, and the fact that they were not expected to occur on an ongoing basis in the future.</w:t>
      </w:r>
    </w:p>
    <w:p>
      <w:pPr>
        <w:spacing w:after="0" w:line="187" w:lineRule="exact"/>
        <w:rPr>
          <w:rFonts w:ascii="Arial" w:cs="Arial" w:eastAsia="Arial" w:hAnsi="Arial"/>
          <w:sz w:val="12"/>
          <w:szCs w:val="12"/>
          <w:color w:val="auto"/>
        </w:rPr>
      </w:pPr>
    </w:p>
    <w:p>
      <w:pPr>
        <w:ind w:left="540" w:hanging="319"/>
        <w:spacing w:after="0"/>
        <w:tabs>
          <w:tab w:leader="none" w:pos="5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Committee excluded the positive impact of the net gain on disposal resulting from sales of books of businesses in 2023.</w:t>
      </w:r>
    </w:p>
    <w:p>
      <w:pPr>
        <w:spacing w:after="0" w:line="75" w:lineRule="exact"/>
        <w:rPr>
          <w:rFonts w:ascii="Arial" w:cs="Arial" w:eastAsia="Arial" w:hAnsi="Arial"/>
          <w:sz w:val="12"/>
          <w:szCs w:val="12"/>
          <w:color w:val="auto"/>
        </w:rPr>
      </w:pPr>
    </w:p>
    <w:p>
      <w:pPr>
        <w:ind w:left="540" w:right="60" w:hanging="319"/>
        <w:spacing w:after="0" w:line="256" w:lineRule="auto"/>
        <w:tabs>
          <w:tab w:leader="none" w:pos="5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Committee excluded the period-over-period impact of foreign currency translation (“Foreign Currency Translation”), which is calculated by applying current-year foreign exchange rates to the various functional currencies in our business to our reporting currency of US dollars for the same period in the prior year. The Committee based its decision upon the fact that fluctuations in Foreign Currency Translation are not related to the performance of the Company.</w:t>
      </w:r>
    </w:p>
    <w:p>
      <w:pPr>
        <w:spacing w:after="0" w:line="39" w:lineRule="exact"/>
        <w:rPr>
          <w:rFonts w:ascii="Arial" w:cs="Arial" w:eastAsia="Arial" w:hAnsi="Arial"/>
          <w:sz w:val="12"/>
          <w:szCs w:val="12"/>
          <w:color w:val="auto"/>
        </w:rPr>
      </w:pPr>
    </w:p>
    <w:p>
      <w:pPr>
        <w:jc w:val="both"/>
        <w:ind w:left="540" w:right="340" w:hanging="319"/>
        <w:spacing w:after="0" w:line="256" w:lineRule="auto"/>
        <w:tabs>
          <w:tab w:leader="none" w:pos="5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The Committee excluded approximately $11.0 million expensed and substantially paid in the first quarter of 2023 to resolve a business matter, which was not considered to be normal, recurring or part of the ongoing operations (the “1Q23 Nonrecurring Cost”). The Committee based its decision upon the fact that the business matter was related to the pre-acquisition activities of a business we acquired in 2012 and was not related to the performance of the Company.</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With respect to the achievement of personal objectives by each of the Named Executive Officers, which accounts for 20% of the 2023 cash incentive amount for each Named Executive Officer, the Compensation Committee evaluated the level of achievement for each Named Executive Officer’s personal objectives in the first quarter of 2024. The evaluation for Mr. Powell Brown, our Chief Executive Officer, was made by the Compensation Committee. For the other Named Executive Officers, the Compensation Committee, after discussion, consideration and review, accepted without modification the recommendations as proposed by the Chief Executive Officer. The Compensation Committee evaluated the achievement of each Named Executive Officer’s personal objectives in their totality instead of assigning a weight to each particular personal objective.</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36</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b w:val="1"/>
                <w:bCs w:val="1"/>
                <w:color w:val="002856"/>
              </w:rPr>
              <w:t>COMPENSATION DISCUSSION AND ANALYSIS</w:t>
            </w:r>
          </w:p>
        </w:tc>
        <w:tc>
          <w:tcPr>
            <w:tcW w:w="0" w:type="dxa"/>
            <w:vAlign w:val="bottom"/>
          </w:tcPr>
          <w:p>
            <w:pPr>
              <w:spacing w:after="0"/>
              <w:rPr>
                <w:sz w:val="1"/>
                <w:szCs w:val="1"/>
                <w:color w:val="auto"/>
              </w:rPr>
            </w:pPr>
          </w:p>
        </w:tc>
      </w:tr>
      <w:tr>
        <w:trPr>
          <w:trHeight w:val="292"/>
        </w:trPr>
        <w:tc>
          <w:tcPr>
            <w:tcW w:w="14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180" w:type="dxa"/>
            <w:vAlign w:val="bottom"/>
            <w:tcBorders>
              <w:top w:val="single" w:sz="8" w:color="002856"/>
            </w:tcBorders>
          </w:tcPr>
          <w:p>
            <w:pPr>
              <w:jc w:val="center"/>
              <w:ind w:left="196"/>
              <w:spacing w:after="0"/>
              <w:rPr>
                <w:sz w:val="20"/>
                <w:szCs w:val="20"/>
                <w:color w:val="auto"/>
              </w:rPr>
            </w:pPr>
            <w:r>
              <w:rPr>
                <w:rFonts w:ascii="Arial" w:cs="Arial" w:eastAsia="Arial" w:hAnsi="Arial"/>
                <w:sz w:val="14"/>
                <w:szCs w:val="14"/>
                <w:b w:val="1"/>
                <w:bCs w:val="1"/>
                <w:color w:val="002856"/>
              </w:rPr>
              <w:t>Personal Objective Portion of</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3180" w:type="dxa"/>
            <w:vAlign w:val="bottom"/>
          </w:tcPr>
          <w:p>
            <w:pPr>
              <w:jc w:val="center"/>
              <w:ind w:left="196"/>
              <w:spacing w:after="0"/>
              <w:rPr>
                <w:sz w:val="20"/>
                <w:szCs w:val="20"/>
                <w:color w:val="auto"/>
              </w:rPr>
            </w:pPr>
            <w:r>
              <w:rPr>
                <w:rFonts w:ascii="Arial" w:cs="Arial" w:eastAsia="Arial" w:hAnsi="Arial"/>
                <w:sz w:val="14"/>
                <w:szCs w:val="14"/>
                <w:b w:val="1"/>
                <w:bCs w:val="1"/>
                <w:color w:val="002856"/>
              </w:rPr>
              <w:t>2023 Cash Incentive</w:t>
            </w:r>
          </w:p>
        </w:tc>
        <w:tc>
          <w:tcPr>
            <w:tcW w:w="0" w:type="dxa"/>
            <w:vAlign w:val="bottom"/>
          </w:tcPr>
          <w:p>
            <w:pPr>
              <w:spacing w:after="0"/>
              <w:rPr>
                <w:sz w:val="1"/>
                <w:szCs w:val="1"/>
                <w:color w:val="auto"/>
              </w:rPr>
            </w:pPr>
          </w:p>
        </w:tc>
      </w:tr>
      <w:tr>
        <w:trPr>
          <w:trHeight w:val="177"/>
        </w:trPr>
        <w:tc>
          <w:tcPr>
            <w:tcW w:w="146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6280" w:type="dxa"/>
            <w:vAlign w:val="bottom"/>
            <w:tcBorders>
              <w:bottom w:val="single" w:sz="8" w:color="C6093B"/>
            </w:tcBorders>
          </w:tcPr>
          <w:p>
            <w:pPr>
              <w:ind w:left="240"/>
              <w:spacing w:after="0"/>
              <w:rPr>
                <w:sz w:val="20"/>
                <w:szCs w:val="20"/>
                <w:color w:val="auto"/>
              </w:rPr>
            </w:pPr>
            <w:r>
              <w:rPr>
                <w:rFonts w:ascii="Arial" w:cs="Arial" w:eastAsia="Arial" w:hAnsi="Arial"/>
                <w:sz w:val="14"/>
                <w:szCs w:val="14"/>
                <w:b w:val="1"/>
                <w:bCs w:val="1"/>
                <w:color w:val="002856"/>
              </w:rPr>
              <w:t>Personal Objectives</w:t>
            </w:r>
          </w:p>
        </w:tc>
        <w:tc>
          <w:tcPr>
            <w:tcW w:w="3180" w:type="dxa"/>
            <w:vAlign w:val="bottom"/>
            <w:tcBorders>
              <w:bottom w:val="single" w:sz="8" w:color="C6093B"/>
            </w:tcBorders>
          </w:tcPr>
          <w:p>
            <w:pPr>
              <w:jc w:val="center"/>
              <w:ind w:left="216"/>
              <w:spacing w:after="0"/>
              <w:rPr>
                <w:sz w:val="20"/>
                <w:szCs w:val="20"/>
                <w:color w:val="auto"/>
              </w:rPr>
            </w:pPr>
            <w:r>
              <w:rPr>
                <w:rFonts w:ascii="Arial" w:cs="Arial" w:eastAsia="Arial" w:hAnsi="Arial"/>
                <w:sz w:val="14"/>
                <w:szCs w:val="14"/>
                <w:b w:val="1"/>
                <w:bCs w:val="1"/>
                <w:color w:val="002856"/>
              </w:rPr>
              <w:t>(0-200% of Target)</w:t>
            </w:r>
          </w:p>
        </w:tc>
        <w:tc>
          <w:tcPr>
            <w:tcW w:w="0" w:type="dxa"/>
            <w:vAlign w:val="bottom"/>
          </w:tcPr>
          <w:p>
            <w:pPr>
              <w:spacing w:after="0"/>
              <w:rPr>
                <w:sz w:val="1"/>
                <w:szCs w:val="1"/>
                <w:color w:val="auto"/>
              </w:rPr>
            </w:pPr>
          </w:p>
        </w:tc>
      </w:tr>
      <w:tr>
        <w:trPr>
          <w:trHeight w:val="205"/>
        </w:trPr>
        <w:tc>
          <w:tcPr>
            <w:tcW w:w="1460" w:type="dxa"/>
            <w:vAlign w:val="bottom"/>
          </w:tcPr>
          <w:p>
            <w:pPr>
              <w:ind w:left="80"/>
              <w:spacing w:after="0"/>
              <w:rPr>
                <w:sz w:val="20"/>
                <w:szCs w:val="20"/>
                <w:color w:val="auto"/>
              </w:rPr>
            </w:pPr>
            <w:r>
              <w:rPr>
                <w:rFonts w:ascii="Arial" w:cs="Arial" w:eastAsia="Arial" w:hAnsi="Arial"/>
                <w:sz w:val="14"/>
                <w:szCs w:val="14"/>
                <w:b w:val="1"/>
                <w:bCs w:val="1"/>
                <w:color w:val="1D4F90"/>
              </w:rPr>
              <w:t>J. Powell Brown</w:t>
            </w: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budgeted financial results and acquiring high-</w:t>
            </w:r>
          </w:p>
        </w:tc>
        <w:tc>
          <w:tcPr>
            <w:tcW w:w="3180" w:type="dxa"/>
            <w:vAlign w:val="bottom"/>
            <w:vMerge w:val="restart"/>
            <w:shd w:val="clear" w:color="auto" w:fill="EAEAEA"/>
          </w:tcPr>
          <w:p>
            <w:pPr>
              <w:jc w:val="center"/>
              <w:ind w:left="196"/>
              <w:spacing w:after="0"/>
              <w:rPr>
                <w:sz w:val="20"/>
                <w:szCs w:val="20"/>
                <w:color w:val="auto"/>
              </w:rPr>
            </w:pPr>
            <w:r>
              <w:rPr>
                <w:rFonts w:ascii="Arial" w:cs="Arial" w:eastAsia="Arial" w:hAnsi="Arial"/>
                <w:sz w:val="98"/>
                <w:szCs w:val="98"/>
                <w:b w:val="1"/>
                <w:bCs w:val="1"/>
                <w:color w:val="002856"/>
              </w:rPr>
              <w:t>200%</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quality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attracting, retaining and developing high-quality teammates, including with</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respect to support of the Company’s diversity, inclusion and belonging strategies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creating and delivering innovative solutions using technology, data, and</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analytics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leveraging the Company’s capabilities for the benefit of our customers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balancing the Company’s capital allocation to drive shareholder returns</w:t>
            </w:r>
          </w:p>
        </w:tc>
        <w:tc>
          <w:tcPr>
            <w:tcW w:w="3180" w:type="dxa"/>
            <w:vAlign w:val="bottom"/>
            <w:tcBorders>
              <w:bottom w:val="single" w:sz="8" w:color="EAEAEA"/>
            </w:tcBorders>
            <w:vMerge w:val="continue"/>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460" w:type="dxa"/>
            <w:vAlign w:val="bottom"/>
            <w:tcBorders>
              <w:top w:val="single" w:sz="8" w:color="4C4C4C"/>
            </w:tcBorders>
          </w:tcPr>
          <w:p>
            <w:pPr>
              <w:ind w:left="80"/>
              <w:spacing w:after="0"/>
              <w:rPr>
                <w:sz w:val="20"/>
                <w:szCs w:val="20"/>
                <w:color w:val="auto"/>
              </w:rPr>
            </w:pPr>
            <w:r>
              <w:rPr>
                <w:rFonts w:ascii="Arial" w:cs="Arial" w:eastAsia="Arial" w:hAnsi="Arial"/>
                <w:sz w:val="14"/>
                <w:szCs w:val="14"/>
                <w:b w:val="1"/>
                <w:bCs w:val="1"/>
                <w:color w:val="1D4F90"/>
              </w:rPr>
              <w:t>R. Andrew Watts</w:t>
            </w:r>
          </w:p>
        </w:tc>
        <w:tc>
          <w:tcPr>
            <w:tcW w:w="6280" w:type="dxa"/>
            <w:vAlign w:val="bottom"/>
            <w:tcBorders>
              <w:top w:val="single" w:sz="8" w:color="4C4C4C"/>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budgeted financial results and acquiring high-</w:t>
            </w:r>
          </w:p>
        </w:tc>
        <w:tc>
          <w:tcPr>
            <w:tcW w:w="3180" w:type="dxa"/>
            <w:vAlign w:val="bottom"/>
            <w:tcBorders>
              <w:top w:val="single" w:sz="8" w:color="4C4C4C"/>
            </w:tcBorders>
            <w:vMerge w:val="restart"/>
            <w:shd w:val="clear" w:color="auto" w:fill="EAEAEA"/>
          </w:tcPr>
          <w:p>
            <w:pPr>
              <w:jc w:val="center"/>
              <w:ind w:left="196"/>
              <w:spacing w:after="0"/>
              <w:rPr>
                <w:sz w:val="20"/>
                <w:szCs w:val="20"/>
                <w:color w:val="auto"/>
              </w:rPr>
            </w:pPr>
            <w:r>
              <w:rPr>
                <w:rFonts w:ascii="Arial" w:cs="Arial" w:eastAsia="Arial" w:hAnsi="Arial"/>
                <w:sz w:val="98"/>
                <w:szCs w:val="98"/>
                <w:b w:val="1"/>
                <w:bCs w:val="1"/>
                <w:color w:val="002856"/>
              </w:rPr>
              <w:t>200%</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quality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attracting, retaining and developing high-quality teammates, including with</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respect to support of the Company’s diversity, inclusion and belonging strategies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advancing the Company’s use of technology, data and analytics to provide</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better insight across the Company’s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maintaining the Company’s control environment</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balancing the Company’s capital allocation to drive shareholder returns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finance initiatives to help support scalable growth</w:t>
            </w:r>
          </w:p>
        </w:tc>
        <w:tc>
          <w:tcPr>
            <w:tcW w:w="31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460" w:type="dxa"/>
            <w:vAlign w:val="bottom"/>
            <w:tcBorders>
              <w:bottom w:val="single" w:sz="8" w:color="4C4C4C"/>
            </w:tcBorders>
          </w:tcPr>
          <w:p>
            <w:pPr>
              <w:spacing w:after="0"/>
              <w:rPr>
                <w:sz w:val="5"/>
                <w:szCs w:val="5"/>
                <w:color w:val="auto"/>
              </w:rPr>
            </w:pPr>
          </w:p>
        </w:tc>
        <w:tc>
          <w:tcPr>
            <w:tcW w:w="6280" w:type="dxa"/>
            <w:vAlign w:val="bottom"/>
            <w:tcBorders>
              <w:bottom w:val="single" w:sz="8" w:color="4C4C4C"/>
              <w:right w:val="single" w:sz="8" w:color="EAEAEA"/>
            </w:tcBorders>
          </w:tcPr>
          <w:p>
            <w:pPr>
              <w:spacing w:after="0"/>
              <w:rPr>
                <w:sz w:val="5"/>
                <w:szCs w:val="5"/>
                <w:color w:val="auto"/>
              </w:rPr>
            </w:pPr>
          </w:p>
        </w:tc>
        <w:tc>
          <w:tcPr>
            <w:tcW w:w="3180" w:type="dxa"/>
            <w:vAlign w:val="bottom"/>
            <w:tcBorders>
              <w:bottom w:val="single" w:sz="8" w:color="4C4C4C"/>
            </w:tcBorders>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80"/>
              <w:spacing w:after="0"/>
              <w:rPr>
                <w:sz w:val="20"/>
                <w:szCs w:val="20"/>
                <w:color w:val="auto"/>
              </w:rPr>
            </w:pPr>
            <w:r>
              <w:rPr>
                <w:rFonts w:ascii="Arial" w:cs="Arial" w:eastAsia="Arial" w:hAnsi="Arial"/>
                <w:sz w:val="14"/>
                <w:szCs w:val="14"/>
                <w:b w:val="1"/>
                <w:bCs w:val="1"/>
                <w:color w:val="1D4F90"/>
              </w:rPr>
              <w:t>P. Barrett Brown</w:t>
            </w: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budgeted financial results and acquiring high-</w:t>
            </w:r>
          </w:p>
        </w:tc>
        <w:tc>
          <w:tcPr>
            <w:tcW w:w="3180" w:type="dxa"/>
            <w:vAlign w:val="bottom"/>
            <w:vMerge w:val="restart"/>
            <w:shd w:val="clear" w:color="auto" w:fill="EAEAEA"/>
          </w:tcPr>
          <w:p>
            <w:pPr>
              <w:jc w:val="center"/>
              <w:ind w:left="196"/>
              <w:spacing w:after="0"/>
              <w:rPr>
                <w:sz w:val="20"/>
                <w:szCs w:val="20"/>
                <w:color w:val="auto"/>
              </w:rPr>
            </w:pPr>
            <w:r>
              <w:rPr>
                <w:rFonts w:ascii="Arial" w:cs="Arial" w:eastAsia="Arial" w:hAnsi="Arial"/>
                <w:sz w:val="98"/>
                <w:szCs w:val="98"/>
                <w:b w:val="1"/>
                <w:bCs w:val="1"/>
                <w:color w:val="002856"/>
              </w:rPr>
              <w:t>100%</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quality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attracting, retaining and developing high-quality teammates, including with</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respect to support of the Company’s diversity, inclusion and belonging strategies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creating and delivering innovative solutions using technology, data and</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analytics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460" w:type="dxa"/>
            <w:vAlign w:val="bottom"/>
            <w:tcBorders>
              <w:bottom w:val="single" w:sz="8" w:color="4C4C4C"/>
            </w:tcBorders>
          </w:tcPr>
          <w:p>
            <w:pPr>
              <w:spacing w:after="0"/>
              <w:rPr>
                <w:sz w:val="21"/>
                <w:szCs w:val="21"/>
                <w:color w:val="auto"/>
              </w:rPr>
            </w:pPr>
          </w:p>
        </w:tc>
        <w:tc>
          <w:tcPr>
            <w:tcW w:w="6280" w:type="dxa"/>
            <w:vAlign w:val="bottom"/>
            <w:tcBorders>
              <w:bottom w:val="single" w:sz="8" w:color="4C4C4C"/>
              <w:right w:val="single" w:sz="8" w:color="EAEAEA"/>
            </w:tcBorders>
          </w:tcPr>
          <w:p>
            <w:pPr>
              <w:ind w:left="240"/>
              <w:spacing w:after="0"/>
              <w:rPr>
                <w:sz w:val="20"/>
                <w:szCs w:val="20"/>
                <w:color w:val="auto"/>
              </w:rPr>
            </w:pPr>
            <w:r>
              <w:rPr>
                <w:rFonts w:ascii="Arial" w:cs="Arial" w:eastAsia="Arial" w:hAnsi="Arial"/>
                <w:sz w:val="14"/>
                <w:szCs w:val="14"/>
                <w:color w:val="auto"/>
              </w:rPr>
              <w:t>•   contribution to leveraging the Company’s capabilities for the benefit of our customers</w:t>
            </w:r>
          </w:p>
        </w:tc>
        <w:tc>
          <w:tcPr>
            <w:tcW w:w="3180" w:type="dxa"/>
            <w:vAlign w:val="bottom"/>
            <w:tcBorders>
              <w:bottom w:val="single" w:sz="8" w:color="4C4C4C"/>
            </w:tcBorders>
            <w:vMerge w:val="continue"/>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80"/>
              <w:spacing w:after="0"/>
              <w:rPr>
                <w:sz w:val="20"/>
                <w:szCs w:val="20"/>
                <w:color w:val="auto"/>
              </w:rPr>
            </w:pPr>
            <w:r>
              <w:rPr>
                <w:rFonts w:ascii="Arial" w:cs="Arial" w:eastAsia="Arial" w:hAnsi="Arial"/>
                <w:sz w:val="14"/>
                <w:szCs w:val="14"/>
                <w:b w:val="1"/>
                <w:bCs w:val="1"/>
                <w:color w:val="1D4F90"/>
              </w:rPr>
              <w:t>J. Scott Penny</w:t>
            </w: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budgeted financial results and acquiring high-</w:t>
            </w:r>
          </w:p>
        </w:tc>
        <w:tc>
          <w:tcPr>
            <w:tcW w:w="3180" w:type="dxa"/>
            <w:vAlign w:val="bottom"/>
            <w:vMerge w:val="restart"/>
            <w:shd w:val="clear" w:color="auto" w:fill="EAEAEA"/>
          </w:tcPr>
          <w:p>
            <w:pPr>
              <w:jc w:val="center"/>
              <w:ind w:left="196"/>
              <w:spacing w:after="0"/>
              <w:rPr>
                <w:sz w:val="20"/>
                <w:szCs w:val="20"/>
                <w:color w:val="auto"/>
              </w:rPr>
            </w:pPr>
            <w:r>
              <w:rPr>
                <w:rFonts w:ascii="Arial" w:cs="Arial" w:eastAsia="Arial" w:hAnsi="Arial"/>
                <w:sz w:val="98"/>
                <w:szCs w:val="98"/>
                <w:b w:val="1"/>
                <w:bCs w:val="1"/>
                <w:color w:val="002856"/>
              </w:rPr>
              <w:t>200%</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quality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attracting, retaining and developing high-quality teammates, including with</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respect to support of the Company’s diversity, inclusion and belonging strategies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ensuring the Company’s disciplined acquisitions process to drive strong</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shareholder value</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6280" w:type="dxa"/>
            <w:vAlign w:val="bottom"/>
            <w:tcBorders>
              <w:right w:val="single" w:sz="8" w:color="EAEAEA"/>
            </w:tcBorders>
          </w:tcPr>
          <w:p>
            <w:pPr>
              <w:ind w:left="360"/>
              <w:spacing w:after="0" w:line="143" w:lineRule="exact"/>
              <w:rPr>
                <w:sz w:val="20"/>
                <w:szCs w:val="20"/>
                <w:color w:val="auto"/>
              </w:rPr>
            </w:pPr>
            <w:r>
              <w:rPr>
                <w:rFonts w:ascii="Arial" w:cs="Arial" w:eastAsia="Arial" w:hAnsi="Arial"/>
                <w:sz w:val="14"/>
                <w:szCs w:val="14"/>
                <w:color w:val="auto"/>
              </w:rPr>
              <w:t> contribution to ensuring completed acquisitions have robust integration plans and that such</w:t>
            </w:r>
          </w:p>
        </w:tc>
        <w:tc>
          <w:tcPr>
            <w:tcW w:w="3180" w:type="dxa"/>
            <w:vAlign w:val="bottom"/>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460" w:type="dxa"/>
            <w:vAlign w:val="bottom"/>
            <w:tcBorders>
              <w:bottom w:val="single" w:sz="8" w:color="4C4C4C"/>
            </w:tcBorders>
          </w:tcPr>
          <w:p>
            <w:pPr>
              <w:spacing w:after="0"/>
              <w:rPr>
                <w:sz w:val="23"/>
                <w:szCs w:val="23"/>
                <w:color w:val="auto"/>
              </w:rPr>
            </w:pPr>
          </w:p>
        </w:tc>
        <w:tc>
          <w:tcPr>
            <w:tcW w:w="6280" w:type="dxa"/>
            <w:vAlign w:val="bottom"/>
            <w:tcBorders>
              <w:bottom w:val="single" w:sz="8" w:color="4C4C4C"/>
              <w:right w:val="single" w:sz="8" w:color="EAEAEA"/>
            </w:tcBorders>
          </w:tcPr>
          <w:p>
            <w:pPr>
              <w:ind w:left="240"/>
              <w:spacing w:after="0" w:line="26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plans are effectively executed</w:t>
            </w:r>
          </w:p>
        </w:tc>
        <w:tc>
          <w:tcPr>
            <w:tcW w:w="3180" w:type="dxa"/>
            <w:vAlign w:val="bottom"/>
            <w:tcBorders>
              <w:bottom w:val="single" w:sz="8" w:color="4C4C4C"/>
            </w:tcBorders>
            <w:vMerge w:val="continue"/>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80"/>
              <w:spacing w:after="0"/>
              <w:rPr>
                <w:sz w:val="20"/>
                <w:szCs w:val="20"/>
                <w:color w:val="auto"/>
              </w:rPr>
            </w:pPr>
            <w:r>
              <w:rPr>
                <w:rFonts w:ascii="Arial" w:cs="Arial" w:eastAsia="Arial" w:hAnsi="Arial"/>
                <w:sz w:val="14"/>
                <w:szCs w:val="14"/>
                <w:b w:val="1"/>
                <w:bCs w:val="1"/>
                <w:color w:val="1D4F90"/>
              </w:rPr>
              <w:t>Chris L. Walker</w:t>
            </w: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delivering the Company’s budgeted financial results and acquiring high-</w:t>
            </w:r>
          </w:p>
        </w:tc>
        <w:tc>
          <w:tcPr>
            <w:tcW w:w="3180" w:type="dxa"/>
            <w:vAlign w:val="bottom"/>
            <w:vMerge w:val="restart"/>
            <w:shd w:val="clear" w:color="auto" w:fill="EAEAEA"/>
          </w:tcPr>
          <w:p>
            <w:pPr>
              <w:jc w:val="center"/>
              <w:ind w:left="196"/>
              <w:spacing w:after="0"/>
              <w:rPr>
                <w:sz w:val="20"/>
                <w:szCs w:val="20"/>
                <w:color w:val="auto"/>
              </w:rPr>
            </w:pPr>
            <w:r>
              <w:rPr>
                <w:rFonts w:ascii="Arial" w:cs="Arial" w:eastAsia="Arial" w:hAnsi="Arial"/>
                <w:sz w:val="98"/>
                <w:szCs w:val="98"/>
                <w:b w:val="1"/>
                <w:bCs w:val="1"/>
                <w:color w:val="002856"/>
              </w:rPr>
              <w:t>200%</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quality businesses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attracting, retaining and developing high-quality teammates, including with</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respect to support of the Company’s diversity, inclusion and belonging strategies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240"/>
              <w:spacing w:after="0"/>
              <w:rPr>
                <w:sz w:val="20"/>
                <w:szCs w:val="20"/>
                <w:color w:val="auto"/>
              </w:rPr>
            </w:pPr>
            <w:r>
              <w:rPr>
                <w:rFonts w:ascii="Arial" w:cs="Arial" w:eastAsia="Arial" w:hAnsi="Arial"/>
                <w:sz w:val="14"/>
                <w:szCs w:val="14"/>
                <w:color w:val="auto"/>
              </w:rPr>
              <w:t>•   contribution to creating and delivering innovative solutions using technology, data and</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6280" w:type="dxa"/>
            <w:vAlign w:val="bottom"/>
            <w:tcBorders>
              <w:right w:val="single" w:sz="8" w:color="EAEAEA"/>
            </w:tcBorders>
          </w:tcPr>
          <w:p>
            <w:pPr>
              <w:ind w:left="380"/>
              <w:spacing w:after="0"/>
              <w:rPr>
                <w:sz w:val="20"/>
                <w:szCs w:val="20"/>
                <w:color w:val="auto"/>
              </w:rPr>
            </w:pPr>
            <w:r>
              <w:rPr>
                <w:rFonts w:ascii="Arial" w:cs="Arial" w:eastAsia="Arial" w:hAnsi="Arial"/>
                <w:sz w:val="14"/>
                <w:szCs w:val="14"/>
                <w:color w:val="auto"/>
              </w:rPr>
              <w:t>analytics</w:t>
            </w:r>
          </w:p>
        </w:tc>
        <w:tc>
          <w:tcPr>
            <w:tcW w:w="3180" w:type="dxa"/>
            <w:vAlign w:val="bottom"/>
            <w:vMerge w:val="continue"/>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60" w:type="dxa"/>
            <w:vAlign w:val="bottom"/>
          </w:tcPr>
          <w:p>
            <w:pPr>
              <w:spacing w:after="0"/>
              <w:rPr>
                <w:sz w:val="12"/>
                <w:szCs w:val="12"/>
                <w:color w:val="auto"/>
              </w:rPr>
            </w:pPr>
          </w:p>
        </w:tc>
        <w:tc>
          <w:tcPr>
            <w:tcW w:w="6280" w:type="dxa"/>
            <w:vAlign w:val="bottom"/>
            <w:tcBorders>
              <w:right w:val="single" w:sz="8" w:color="EAEAEA"/>
            </w:tcBorders>
          </w:tcPr>
          <w:p>
            <w:pPr>
              <w:ind w:left="360"/>
              <w:spacing w:after="0" w:line="143" w:lineRule="exact"/>
              <w:rPr>
                <w:sz w:val="20"/>
                <w:szCs w:val="20"/>
                <w:color w:val="auto"/>
              </w:rPr>
            </w:pPr>
            <w:r>
              <w:rPr>
                <w:rFonts w:ascii="Arial" w:cs="Arial" w:eastAsia="Arial" w:hAnsi="Arial"/>
                <w:sz w:val="14"/>
                <w:szCs w:val="14"/>
                <w:color w:val="auto"/>
              </w:rPr>
              <w:t> contribution to fostering deep and trusted insurance carrier relationships that help expand</w:t>
            </w:r>
          </w:p>
        </w:tc>
        <w:tc>
          <w:tcPr>
            <w:tcW w:w="3180" w:type="dxa"/>
            <w:vAlign w:val="bottom"/>
            <w:vMerge w:val="continue"/>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460" w:type="dxa"/>
            <w:vAlign w:val="bottom"/>
            <w:tcBorders>
              <w:bottom w:val="single" w:sz="8" w:color="C6093B"/>
            </w:tcBorders>
          </w:tcPr>
          <w:p>
            <w:pPr>
              <w:spacing w:after="0"/>
              <w:rPr>
                <w:sz w:val="24"/>
                <w:szCs w:val="24"/>
                <w:color w:val="auto"/>
              </w:rPr>
            </w:pPr>
          </w:p>
        </w:tc>
        <w:tc>
          <w:tcPr>
            <w:tcW w:w="6280" w:type="dxa"/>
            <w:vAlign w:val="bottom"/>
            <w:tcBorders>
              <w:bottom w:val="single" w:sz="8" w:color="C6093B"/>
              <w:right w:val="single" w:sz="8" w:color="EAEAEA"/>
            </w:tcBorders>
          </w:tcPr>
          <w:p>
            <w:pPr>
              <w:ind w:left="240"/>
              <w:spacing w:after="0" w:line="308"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Company’s capacity to write new business</w:t>
            </w:r>
          </w:p>
        </w:tc>
        <w:tc>
          <w:tcPr>
            <w:tcW w:w="3180" w:type="dxa"/>
            <w:vAlign w:val="bottom"/>
            <w:tcBorders>
              <w:bottom w:val="single" w:sz="8" w:color="C6093B"/>
            </w:tcBorders>
            <w:vMerge w:val="continue"/>
            <w:shd w:val="clear" w:color="auto" w:fill="EAEAEA"/>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37</w:t>
      </w:r>
    </w:p>
    <w:p>
      <w:pPr>
        <w:sectPr>
          <w:pgSz w:w="11900" w:h="16838" w:orient="portrait"/>
          <w:cols w:equalWidth="0" w:num="1">
            <w:col w:w="10920"/>
          </w:cols>
          <w:pgMar w:left="480" w:top="300" w:right="49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As illustrated in the table below, the final 2023 cash incentive amounts were calculated by combining the payout amounts for each of the components discussed above and then rounding the resulting number up to the nearest thousand dollars: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jc w:val="center"/>
              <w:ind w:right="263"/>
              <w:spacing w:after="0"/>
              <w:rPr>
                <w:sz w:val="20"/>
                <w:szCs w:val="20"/>
                <w:color w:val="auto"/>
              </w:rPr>
            </w:pPr>
            <w:r>
              <w:rPr>
                <w:rFonts w:ascii="Arial" w:cs="Arial" w:eastAsia="Arial" w:hAnsi="Arial"/>
                <w:sz w:val="14"/>
                <w:szCs w:val="14"/>
                <w:b w:val="1"/>
                <w:bCs w:val="1"/>
                <w:color w:val="002856"/>
              </w:rPr>
              <w:t>2023</w:t>
            </w:r>
          </w:p>
        </w:tc>
        <w:tc>
          <w:tcPr>
            <w:tcW w:w="320" w:type="dxa"/>
            <w:vAlign w:val="bottom"/>
          </w:tcPr>
          <w:p>
            <w:pPr>
              <w:spacing w:after="0"/>
              <w:rPr>
                <w:sz w:val="14"/>
                <w:szCs w:val="14"/>
                <w:color w:val="auto"/>
              </w:rPr>
            </w:pPr>
          </w:p>
        </w:tc>
        <w:tc>
          <w:tcPr>
            <w:tcW w:w="940" w:type="dxa"/>
            <w:vAlign w:val="bottom"/>
          </w:tcPr>
          <w:p>
            <w:pPr>
              <w:jc w:val="center"/>
              <w:ind w:right="244"/>
              <w:spacing w:after="0"/>
              <w:rPr>
                <w:sz w:val="20"/>
                <w:szCs w:val="20"/>
                <w:color w:val="auto"/>
              </w:rPr>
            </w:pPr>
            <w:r>
              <w:rPr>
                <w:rFonts w:ascii="Arial" w:cs="Arial" w:eastAsia="Arial" w:hAnsi="Arial"/>
                <w:sz w:val="14"/>
                <w:szCs w:val="14"/>
                <w:b w:val="1"/>
                <w:bCs w:val="1"/>
                <w:color w:val="002856"/>
              </w:rPr>
              <w:t>Organic</w:t>
            </w:r>
          </w:p>
        </w:tc>
        <w:tc>
          <w:tcPr>
            <w:tcW w:w="30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002856"/>
              </w:rPr>
              <w:t>Adjusted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w w:val="99"/>
              </w:rPr>
              <w:t>Total 2023</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Payout vs.</w:t>
            </w:r>
          </w:p>
        </w:tc>
      </w:tr>
      <w:tr>
        <w:trPr>
          <w:trHeight w:val="160"/>
        </w:trPr>
        <w:tc>
          <w:tcPr>
            <w:tcW w:w="2520" w:type="dxa"/>
            <w:vAlign w:val="bottom"/>
          </w:tcPr>
          <w:p>
            <w:pPr>
              <w:spacing w:after="0"/>
              <w:rPr>
                <w:sz w:val="13"/>
                <w:szCs w:val="13"/>
                <w:color w:val="auto"/>
              </w:rPr>
            </w:pPr>
          </w:p>
        </w:tc>
        <w:tc>
          <w:tcPr>
            <w:tcW w:w="2220" w:type="dxa"/>
            <w:vAlign w:val="bottom"/>
            <w:gridSpan w:val="2"/>
          </w:tcPr>
          <w:p>
            <w:pPr>
              <w:jc w:val="center"/>
              <w:ind w:left="882"/>
              <w:spacing w:after="0"/>
              <w:rPr>
                <w:sz w:val="20"/>
                <w:szCs w:val="20"/>
                <w:color w:val="auto"/>
              </w:rPr>
            </w:pPr>
            <w:r>
              <w:rPr>
                <w:rFonts w:ascii="Arial" w:cs="Arial" w:eastAsia="Arial" w:hAnsi="Arial"/>
                <w:sz w:val="14"/>
                <w:szCs w:val="14"/>
                <w:b w:val="1"/>
                <w:bCs w:val="1"/>
                <w:color w:val="002856"/>
              </w:rPr>
              <w:t>Aggregate</w:t>
            </w:r>
          </w:p>
        </w:tc>
        <w:tc>
          <w:tcPr>
            <w:tcW w:w="320" w:type="dxa"/>
            <w:vAlign w:val="bottom"/>
          </w:tcPr>
          <w:p>
            <w:pPr>
              <w:spacing w:after="0"/>
              <w:rPr>
                <w:sz w:val="13"/>
                <w:szCs w:val="13"/>
                <w:color w:val="auto"/>
              </w:rPr>
            </w:pPr>
          </w:p>
        </w:tc>
        <w:tc>
          <w:tcPr>
            <w:tcW w:w="940" w:type="dxa"/>
            <w:vAlign w:val="bottom"/>
          </w:tcPr>
          <w:p>
            <w:pPr>
              <w:jc w:val="center"/>
              <w:ind w:right="264"/>
              <w:spacing w:after="0"/>
              <w:rPr>
                <w:sz w:val="20"/>
                <w:szCs w:val="20"/>
                <w:color w:val="auto"/>
              </w:rPr>
            </w:pPr>
            <w:r>
              <w:rPr>
                <w:rFonts w:ascii="Arial" w:cs="Arial" w:eastAsia="Arial" w:hAnsi="Arial"/>
                <w:sz w:val="14"/>
                <w:szCs w:val="14"/>
                <w:b w:val="1"/>
                <w:bCs w:val="1"/>
                <w:color w:val="002856"/>
              </w:rPr>
              <w:t>Revenue</w:t>
            </w:r>
          </w:p>
        </w:tc>
        <w:tc>
          <w:tcPr>
            <w:tcW w:w="300" w:type="dxa"/>
            <w:vAlign w:val="bottom"/>
          </w:tcPr>
          <w:p>
            <w:pPr>
              <w:spacing w:after="0"/>
              <w:rPr>
                <w:sz w:val="13"/>
                <w:szCs w:val="13"/>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002856"/>
              </w:rPr>
              <w:t>EBITDAC</w:t>
            </w:r>
          </w:p>
        </w:tc>
        <w:tc>
          <w:tcPr>
            <w:tcW w:w="320" w:type="dxa"/>
            <w:vAlign w:val="bottom"/>
          </w:tcPr>
          <w:p>
            <w:pPr>
              <w:spacing w:after="0"/>
              <w:rPr>
                <w:sz w:val="13"/>
                <w:szCs w:val="13"/>
                <w:color w:val="auto"/>
              </w:rPr>
            </w:pPr>
          </w:p>
        </w:tc>
        <w:tc>
          <w:tcPr>
            <w:tcW w:w="940" w:type="dxa"/>
            <w:vAlign w:val="bottom"/>
          </w:tcPr>
          <w:p>
            <w:pPr>
              <w:jc w:val="center"/>
              <w:ind w:right="223"/>
              <w:spacing w:after="0"/>
              <w:rPr>
                <w:sz w:val="20"/>
                <w:szCs w:val="20"/>
                <w:color w:val="auto"/>
              </w:rPr>
            </w:pPr>
            <w:r>
              <w:rPr>
                <w:rFonts w:ascii="Arial" w:cs="Arial" w:eastAsia="Arial" w:hAnsi="Arial"/>
                <w:sz w:val="14"/>
                <w:szCs w:val="14"/>
                <w:b w:val="1"/>
                <w:bCs w:val="1"/>
                <w:color w:val="002856"/>
              </w:rPr>
              <w:t>Personal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w w:val="99"/>
              </w:rPr>
              <w:t>Cash</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Target</w:t>
            </w:r>
          </w:p>
        </w:tc>
      </w:tr>
      <w:tr>
        <w:trPr>
          <w:trHeight w:val="160"/>
        </w:trPr>
        <w:tc>
          <w:tcPr>
            <w:tcW w:w="2520" w:type="dxa"/>
            <w:vAlign w:val="bottom"/>
          </w:tcPr>
          <w:p>
            <w:pPr>
              <w:spacing w:after="0"/>
              <w:rPr>
                <w:sz w:val="13"/>
                <w:szCs w:val="13"/>
                <w:color w:val="auto"/>
              </w:rPr>
            </w:pPr>
          </w:p>
        </w:tc>
        <w:tc>
          <w:tcPr>
            <w:tcW w:w="2220" w:type="dxa"/>
            <w:vAlign w:val="bottom"/>
            <w:gridSpan w:val="2"/>
          </w:tcPr>
          <w:p>
            <w:pPr>
              <w:ind w:left="1180"/>
              <w:spacing w:after="0"/>
              <w:rPr>
                <w:sz w:val="20"/>
                <w:szCs w:val="20"/>
                <w:color w:val="auto"/>
              </w:rPr>
            </w:pPr>
            <w:r>
              <w:rPr>
                <w:rFonts w:ascii="Arial" w:cs="Arial" w:eastAsia="Arial" w:hAnsi="Arial"/>
                <w:sz w:val="14"/>
                <w:szCs w:val="14"/>
                <w:b w:val="1"/>
                <w:bCs w:val="1"/>
                <w:color w:val="002856"/>
              </w:rPr>
              <w:t>Target Cash</w:t>
            </w:r>
          </w:p>
        </w:tc>
        <w:tc>
          <w:tcPr>
            <w:tcW w:w="320" w:type="dxa"/>
            <w:vAlign w:val="bottom"/>
          </w:tcPr>
          <w:p>
            <w:pPr>
              <w:spacing w:after="0"/>
              <w:rPr>
                <w:sz w:val="13"/>
                <w:szCs w:val="13"/>
                <w:color w:val="auto"/>
              </w:rPr>
            </w:pPr>
          </w:p>
        </w:tc>
        <w:tc>
          <w:tcPr>
            <w:tcW w:w="940" w:type="dxa"/>
            <w:vAlign w:val="bottom"/>
          </w:tcPr>
          <w:p>
            <w:pPr>
              <w:jc w:val="center"/>
              <w:ind w:right="244"/>
              <w:spacing w:after="0"/>
              <w:rPr>
                <w:sz w:val="20"/>
                <w:szCs w:val="20"/>
                <w:color w:val="auto"/>
              </w:rPr>
            </w:pPr>
            <w:r>
              <w:rPr>
                <w:rFonts w:ascii="Arial" w:cs="Arial" w:eastAsia="Arial" w:hAnsi="Arial"/>
                <w:sz w:val="14"/>
                <w:szCs w:val="14"/>
                <w:b w:val="1"/>
                <w:bCs w:val="1"/>
                <w:color w:val="002856"/>
              </w:rPr>
              <w:t>Growth</w:t>
            </w:r>
          </w:p>
        </w:tc>
        <w:tc>
          <w:tcPr>
            <w:tcW w:w="300" w:type="dxa"/>
            <w:vAlign w:val="bottom"/>
          </w:tcPr>
          <w:p>
            <w:pPr>
              <w:spacing w:after="0"/>
              <w:rPr>
                <w:sz w:val="13"/>
                <w:szCs w:val="13"/>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002856"/>
              </w:rPr>
              <w:t>Margin</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002856"/>
              </w:rPr>
              <w:t>Objective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Incentive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Cash</w:t>
            </w:r>
          </w:p>
        </w:tc>
      </w:tr>
      <w:tr>
        <w:trPr>
          <w:trHeight w:val="157"/>
        </w:trPr>
        <w:tc>
          <w:tcPr>
            <w:tcW w:w="2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jc w:val="center"/>
              <w:ind w:right="243"/>
              <w:spacing w:after="0" w:line="157" w:lineRule="exact"/>
              <w:rPr>
                <w:sz w:val="20"/>
                <w:szCs w:val="20"/>
                <w:color w:val="auto"/>
              </w:rPr>
            </w:pPr>
            <w:r>
              <w:rPr>
                <w:rFonts w:ascii="Arial" w:cs="Arial" w:eastAsia="Arial" w:hAnsi="Arial"/>
                <w:sz w:val="14"/>
                <w:szCs w:val="14"/>
                <w:b w:val="1"/>
                <w:bCs w:val="1"/>
                <w:color w:val="002856"/>
              </w:rPr>
              <w:t>Incentive</w:t>
            </w:r>
          </w:p>
        </w:tc>
        <w:tc>
          <w:tcPr>
            <w:tcW w:w="320" w:type="dxa"/>
            <w:vAlign w:val="bottom"/>
          </w:tcPr>
          <w:p>
            <w:pPr>
              <w:spacing w:after="0"/>
              <w:rPr>
                <w:sz w:val="13"/>
                <w:szCs w:val="13"/>
                <w:color w:val="auto"/>
              </w:rPr>
            </w:pPr>
          </w:p>
        </w:tc>
        <w:tc>
          <w:tcPr>
            <w:tcW w:w="940" w:type="dxa"/>
            <w:vAlign w:val="bottom"/>
          </w:tcPr>
          <w:p>
            <w:pPr>
              <w:jc w:val="center"/>
              <w:ind w:right="264"/>
              <w:spacing w:after="0" w:line="157" w:lineRule="exact"/>
              <w:rPr>
                <w:sz w:val="20"/>
                <w:szCs w:val="20"/>
                <w:color w:val="auto"/>
              </w:rPr>
            </w:pPr>
            <w:r>
              <w:rPr>
                <w:rFonts w:ascii="Arial" w:cs="Arial" w:eastAsia="Arial" w:hAnsi="Arial"/>
                <w:sz w:val="14"/>
                <w:szCs w:val="14"/>
                <w:b w:val="1"/>
                <w:bCs w:val="1"/>
                <w:color w:val="002856"/>
              </w:rPr>
              <w:t>Payout</w:t>
            </w:r>
          </w:p>
        </w:tc>
        <w:tc>
          <w:tcPr>
            <w:tcW w:w="300" w:type="dxa"/>
            <w:vAlign w:val="bottom"/>
          </w:tcPr>
          <w:p>
            <w:pPr>
              <w:spacing w:after="0"/>
              <w:rPr>
                <w:sz w:val="13"/>
                <w:szCs w:val="13"/>
                <w:color w:val="auto"/>
              </w:rPr>
            </w:pPr>
          </w:p>
        </w:tc>
        <w:tc>
          <w:tcPr>
            <w:tcW w:w="940" w:type="dxa"/>
            <w:vAlign w:val="bottom"/>
          </w:tcPr>
          <w:p>
            <w:pPr>
              <w:jc w:val="center"/>
              <w:ind w:right="224"/>
              <w:spacing w:after="0" w:line="157" w:lineRule="exact"/>
              <w:rPr>
                <w:sz w:val="20"/>
                <w:szCs w:val="20"/>
                <w:color w:val="auto"/>
              </w:rPr>
            </w:pPr>
            <w:r>
              <w:rPr>
                <w:rFonts w:ascii="Arial" w:cs="Arial" w:eastAsia="Arial" w:hAnsi="Arial"/>
                <w:sz w:val="14"/>
                <w:szCs w:val="14"/>
                <w:b w:val="1"/>
                <w:bCs w:val="1"/>
                <w:color w:val="002856"/>
              </w:rPr>
              <w:t>Payout</w:t>
            </w:r>
          </w:p>
        </w:tc>
        <w:tc>
          <w:tcPr>
            <w:tcW w:w="320" w:type="dxa"/>
            <w:vAlign w:val="bottom"/>
          </w:tcPr>
          <w:p>
            <w:pPr>
              <w:spacing w:after="0"/>
              <w:rPr>
                <w:sz w:val="13"/>
                <w:szCs w:val="13"/>
                <w:color w:val="auto"/>
              </w:rPr>
            </w:pPr>
          </w:p>
        </w:tc>
        <w:tc>
          <w:tcPr>
            <w:tcW w:w="940" w:type="dxa"/>
            <w:vAlign w:val="bottom"/>
          </w:tcPr>
          <w:p>
            <w:pPr>
              <w:jc w:val="center"/>
              <w:ind w:right="223"/>
              <w:spacing w:after="0" w:line="157" w:lineRule="exact"/>
              <w:rPr>
                <w:sz w:val="20"/>
                <w:szCs w:val="20"/>
                <w:color w:val="auto"/>
              </w:rPr>
            </w:pPr>
            <w:r>
              <w:rPr>
                <w:rFonts w:ascii="Arial" w:cs="Arial" w:eastAsia="Arial" w:hAnsi="Arial"/>
                <w:sz w:val="14"/>
                <w:szCs w:val="14"/>
                <w:b w:val="1"/>
                <w:bCs w:val="1"/>
                <w:color w:val="002856"/>
              </w:rPr>
              <w:t>Payout</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Payout</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w w:val="98"/>
              </w:rPr>
              <w:t>Incentive</w:t>
            </w:r>
          </w:p>
        </w:tc>
      </w:tr>
      <w:tr>
        <w:trPr>
          <w:trHeight w:val="180"/>
        </w:trPr>
        <w:tc>
          <w:tcPr>
            <w:tcW w:w="252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1280" w:type="dxa"/>
            <w:vAlign w:val="bottom"/>
            <w:tcBorders>
              <w:bottom w:val="single" w:sz="8" w:color="C6093B"/>
            </w:tcBorders>
          </w:tcPr>
          <w:p>
            <w:pPr>
              <w:spacing w:after="0"/>
              <w:rPr>
                <w:sz w:val="15"/>
                <w:szCs w:val="15"/>
                <w:color w:val="auto"/>
              </w:rPr>
            </w:pPr>
          </w:p>
        </w:tc>
        <w:tc>
          <w:tcPr>
            <w:tcW w:w="940" w:type="dxa"/>
            <w:vAlign w:val="bottom"/>
            <w:tcBorders>
              <w:bottom w:val="single" w:sz="8" w:color="C6093B"/>
            </w:tcBorders>
          </w:tcPr>
          <w:p>
            <w:pPr>
              <w:jc w:val="center"/>
              <w:ind w:right="243"/>
              <w:spacing w:after="0"/>
              <w:rPr>
                <w:sz w:val="20"/>
                <w:szCs w:val="20"/>
                <w:color w:val="auto"/>
              </w:rPr>
            </w:pPr>
            <w:r>
              <w:rPr>
                <w:rFonts w:ascii="Arial" w:cs="Arial" w:eastAsia="Arial" w:hAnsi="Arial"/>
                <w:sz w:val="14"/>
                <w:szCs w:val="14"/>
                <w:b w:val="1"/>
                <w:bCs w:val="1"/>
                <w:color w:val="002856"/>
              </w:rPr>
              <w:t>Amount</w:t>
            </w:r>
          </w:p>
        </w:tc>
        <w:tc>
          <w:tcPr>
            <w:tcW w:w="320" w:type="dxa"/>
            <w:vAlign w:val="bottom"/>
            <w:tcBorders>
              <w:bottom w:val="single" w:sz="8" w:color="C6093B"/>
            </w:tcBorders>
          </w:tcPr>
          <w:p>
            <w:pPr>
              <w:spacing w:after="0"/>
              <w:rPr>
                <w:sz w:val="15"/>
                <w:szCs w:val="15"/>
                <w:color w:val="auto"/>
              </w:rPr>
            </w:pPr>
          </w:p>
        </w:tc>
        <w:tc>
          <w:tcPr>
            <w:tcW w:w="940" w:type="dxa"/>
            <w:vAlign w:val="bottom"/>
            <w:tcBorders>
              <w:bottom w:val="single" w:sz="8" w:color="C6093B"/>
            </w:tcBorders>
          </w:tcPr>
          <w:p>
            <w:pPr>
              <w:jc w:val="center"/>
              <w:ind w:right="244"/>
              <w:spacing w:after="0"/>
              <w:rPr>
                <w:sz w:val="20"/>
                <w:szCs w:val="20"/>
                <w:color w:val="auto"/>
              </w:rPr>
            </w:pPr>
            <w:r>
              <w:rPr>
                <w:rFonts w:ascii="Arial" w:cs="Arial" w:eastAsia="Arial" w:hAnsi="Arial"/>
                <w:sz w:val="14"/>
                <w:szCs w:val="14"/>
                <w:b w:val="1"/>
                <w:bCs w:val="1"/>
                <w:color w:val="002856"/>
              </w:rPr>
              <w:t>Amount</w:t>
            </w:r>
          </w:p>
        </w:tc>
        <w:tc>
          <w:tcPr>
            <w:tcW w:w="300" w:type="dxa"/>
            <w:vAlign w:val="bottom"/>
            <w:tcBorders>
              <w:bottom w:val="single" w:sz="8" w:color="C6093B"/>
            </w:tcBorders>
          </w:tcPr>
          <w:p>
            <w:pPr>
              <w:spacing w:after="0"/>
              <w:rPr>
                <w:sz w:val="15"/>
                <w:szCs w:val="15"/>
                <w:color w:val="auto"/>
              </w:rPr>
            </w:pPr>
          </w:p>
        </w:tc>
        <w:tc>
          <w:tcPr>
            <w:tcW w:w="940" w:type="dxa"/>
            <w:vAlign w:val="bottom"/>
            <w:tcBorders>
              <w:bottom w:val="single" w:sz="8" w:color="C6093B"/>
            </w:tcBorders>
          </w:tcPr>
          <w:p>
            <w:pPr>
              <w:jc w:val="center"/>
              <w:ind w:right="204"/>
              <w:spacing w:after="0"/>
              <w:rPr>
                <w:sz w:val="20"/>
                <w:szCs w:val="20"/>
                <w:color w:val="auto"/>
              </w:rPr>
            </w:pPr>
            <w:r>
              <w:rPr>
                <w:rFonts w:ascii="Arial" w:cs="Arial" w:eastAsia="Arial" w:hAnsi="Arial"/>
                <w:sz w:val="14"/>
                <w:szCs w:val="14"/>
                <w:b w:val="1"/>
                <w:bCs w:val="1"/>
                <w:color w:val="002856"/>
              </w:rPr>
              <w:t>Amount</w:t>
            </w:r>
          </w:p>
        </w:tc>
        <w:tc>
          <w:tcPr>
            <w:tcW w:w="320" w:type="dxa"/>
            <w:vAlign w:val="bottom"/>
            <w:tcBorders>
              <w:bottom w:val="single" w:sz="8" w:color="C6093B"/>
            </w:tcBorders>
          </w:tcPr>
          <w:p>
            <w:pPr>
              <w:spacing w:after="0"/>
              <w:rPr>
                <w:sz w:val="15"/>
                <w:szCs w:val="15"/>
                <w:color w:val="auto"/>
              </w:rPr>
            </w:pPr>
          </w:p>
        </w:tc>
        <w:tc>
          <w:tcPr>
            <w:tcW w:w="940" w:type="dxa"/>
            <w:vAlign w:val="bottom"/>
            <w:tcBorders>
              <w:bottom w:val="single" w:sz="8" w:color="C6093B"/>
            </w:tcBorders>
          </w:tcPr>
          <w:p>
            <w:pPr>
              <w:jc w:val="center"/>
              <w:ind w:right="243"/>
              <w:spacing w:after="0"/>
              <w:rPr>
                <w:sz w:val="20"/>
                <w:szCs w:val="20"/>
                <w:color w:val="auto"/>
              </w:rPr>
            </w:pPr>
            <w:r>
              <w:rPr>
                <w:rFonts w:ascii="Arial" w:cs="Arial" w:eastAsia="Arial" w:hAnsi="Arial"/>
                <w:sz w:val="14"/>
                <w:szCs w:val="14"/>
                <w:b w:val="1"/>
                <w:bCs w:val="1"/>
                <w:color w:val="002856"/>
              </w:rPr>
              <w:t>Amount</w:t>
            </w:r>
          </w:p>
        </w:tc>
        <w:tc>
          <w:tcPr>
            <w:tcW w:w="1280" w:type="dxa"/>
            <w:vAlign w:val="bottom"/>
            <w:tcBorders>
              <w:bottom w:val="single" w:sz="8" w:color="C6093B"/>
            </w:tcBorders>
          </w:tcPr>
          <w:p>
            <w:pPr>
              <w:jc w:val="center"/>
              <w:spacing w:after="0" w:line="174" w:lineRule="exact"/>
              <w:rPr>
                <w:sz w:val="20"/>
                <w:szCs w:val="20"/>
                <w:color w:val="auto"/>
              </w:rPr>
            </w:pPr>
            <w:r>
              <w:rPr>
                <w:rFonts w:ascii="Arial" w:cs="Arial" w:eastAsia="Arial" w:hAnsi="Arial"/>
                <w:sz w:val="14"/>
                <w:szCs w:val="14"/>
                <w:b w:val="1"/>
                <w:bCs w:val="1"/>
                <w:color w:val="002856"/>
                <w:w w:val="95"/>
              </w:rPr>
              <w:t>Amount</w:t>
            </w:r>
            <w:r>
              <w:rPr>
                <w:rFonts w:ascii="Arial" w:cs="Arial" w:eastAsia="Arial" w:hAnsi="Arial"/>
                <w:sz w:val="20"/>
                <w:szCs w:val="20"/>
                <w:b w:val="1"/>
                <w:bCs w:val="1"/>
                <w:color w:val="002856"/>
                <w:w w:val="95"/>
                <w:vertAlign w:val="superscript"/>
              </w:rPr>
              <w:t>(1)</w:t>
            </w:r>
          </w:p>
        </w:tc>
        <w:tc>
          <w:tcPr>
            <w:tcW w:w="11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Amount</w:t>
            </w:r>
          </w:p>
        </w:tc>
      </w:tr>
      <w:tr>
        <w:trPr>
          <w:trHeight w:val="241"/>
        </w:trPr>
        <w:tc>
          <w:tcPr>
            <w:tcW w:w="25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1280" w:type="dxa"/>
            <w:vAlign w:val="bottom"/>
            <w:tcBorders>
              <w:bottom w:val="single" w:sz="8" w:color="4C4C4C"/>
            </w:tcBorders>
          </w:tcPr>
          <w:p>
            <w:pPr>
              <w:ind w:left="11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w w:val="98"/>
              </w:rPr>
              <w:t>3,000,000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w w:val="98"/>
              </w:rPr>
              <w:t>2,400,064</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w w:val="98"/>
              </w:rPr>
              <w:t>1,900,000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w w:val="98"/>
              </w:rPr>
              <w:t>1,199,000</w:t>
            </w:r>
          </w:p>
        </w:tc>
        <w:tc>
          <w:tcPr>
            <w:tcW w:w="128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rPr>
              <w:t>$5,500,000</w:t>
            </w:r>
          </w:p>
        </w:tc>
        <w:tc>
          <w:tcPr>
            <w:tcW w:w="11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183%</w:t>
            </w:r>
          </w:p>
        </w:tc>
      </w:tr>
      <w:tr>
        <w:trPr>
          <w:trHeight w:val="234"/>
        </w:trPr>
        <w:tc>
          <w:tcPr>
            <w:tcW w:w="25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1280" w:type="dxa"/>
            <w:vAlign w:val="bottom"/>
            <w:tcBorders>
              <w:bottom w:val="single" w:sz="8" w:color="4C4C4C"/>
            </w:tcBorders>
          </w:tcPr>
          <w:p>
            <w:pPr>
              <w:ind w:left="11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rPr>
              <w:t>850,000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680,151</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538,333</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rPr>
              <w:t>340,000</w:t>
            </w:r>
          </w:p>
        </w:tc>
        <w:tc>
          <w:tcPr>
            <w:tcW w:w="128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rPr>
              <w:t>$1,559,000</w:t>
            </w:r>
          </w:p>
        </w:tc>
        <w:tc>
          <w:tcPr>
            <w:tcW w:w="11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183%</w:t>
            </w:r>
          </w:p>
        </w:tc>
      </w:tr>
      <w:tr>
        <w:trPr>
          <w:trHeight w:val="234"/>
        </w:trPr>
        <w:tc>
          <w:tcPr>
            <w:tcW w:w="25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1280" w:type="dxa"/>
            <w:vAlign w:val="bottom"/>
            <w:tcBorders>
              <w:bottom w:val="single" w:sz="8" w:color="4C4C4C"/>
            </w:tcBorders>
          </w:tcPr>
          <w:p>
            <w:pPr>
              <w:ind w:left="11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w w:val="98"/>
              </w:rPr>
              <w:t>1,400,000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932,631</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886,667</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rPr>
              <w:t>280,000</w:t>
            </w:r>
          </w:p>
        </w:tc>
        <w:tc>
          <w:tcPr>
            <w:tcW w:w="128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rPr>
              <w:t>$2,100,000</w:t>
            </w:r>
          </w:p>
        </w:tc>
        <w:tc>
          <w:tcPr>
            <w:tcW w:w="11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150%</w:t>
            </w:r>
          </w:p>
        </w:tc>
      </w:tr>
      <w:tr>
        <w:trPr>
          <w:trHeight w:val="234"/>
        </w:trPr>
        <w:tc>
          <w:tcPr>
            <w:tcW w:w="252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1280" w:type="dxa"/>
            <w:vAlign w:val="bottom"/>
            <w:tcBorders>
              <w:bottom w:val="single" w:sz="8" w:color="4C4C4C"/>
            </w:tcBorders>
          </w:tcPr>
          <w:p>
            <w:pPr>
              <w:ind w:left="11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rPr>
              <w:t>900,000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720,219</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auto"/>
              </w:rPr>
              <w:t>570,000</w:t>
            </w:r>
          </w:p>
        </w:tc>
        <w:tc>
          <w:tcPr>
            <w:tcW w:w="3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C4C4C"/>
            </w:tcBorders>
          </w:tcPr>
          <w:p>
            <w:pPr>
              <w:jc w:val="right"/>
              <w:ind w:right="143"/>
              <w:spacing w:after="0"/>
              <w:rPr>
                <w:sz w:val="20"/>
                <w:szCs w:val="20"/>
                <w:color w:val="auto"/>
              </w:rPr>
            </w:pPr>
            <w:r>
              <w:rPr>
                <w:rFonts w:ascii="Arial" w:cs="Arial" w:eastAsia="Arial" w:hAnsi="Arial"/>
                <w:sz w:val="16"/>
                <w:szCs w:val="16"/>
                <w:color w:val="auto"/>
              </w:rPr>
              <w:t>360,000</w:t>
            </w:r>
          </w:p>
        </w:tc>
        <w:tc>
          <w:tcPr>
            <w:tcW w:w="128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rPr>
              <w:t>$1,651,000</w:t>
            </w:r>
          </w:p>
        </w:tc>
        <w:tc>
          <w:tcPr>
            <w:tcW w:w="11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183%</w:t>
            </w:r>
          </w:p>
        </w:tc>
      </w:tr>
      <w:tr>
        <w:trPr>
          <w:trHeight w:val="241"/>
        </w:trPr>
        <w:tc>
          <w:tcPr>
            <w:tcW w:w="252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1280" w:type="dxa"/>
            <w:vAlign w:val="bottom"/>
            <w:tcBorders>
              <w:bottom w:val="single" w:sz="8" w:color="C6093B"/>
            </w:tcBorders>
          </w:tcPr>
          <w:p>
            <w:pPr>
              <w:ind w:left="11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6093B"/>
            </w:tcBorders>
          </w:tcPr>
          <w:p>
            <w:pPr>
              <w:jc w:val="right"/>
              <w:ind w:right="143"/>
              <w:spacing w:after="0"/>
              <w:rPr>
                <w:sz w:val="20"/>
                <w:szCs w:val="20"/>
                <w:color w:val="auto"/>
              </w:rPr>
            </w:pPr>
            <w:r>
              <w:rPr>
                <w:rFonts w:ascii="Arial" w:cs="Arial" w:eastAsia="Arial" w:hAnsi="Arial"/>
                <w:sz w:val="16"/>
                <w:szCs w:val="16"/>
                <w:color w:val="auto"/>
                <w:w w:val="98"/>
              </w:rPr>
              <w:t>1,000,000</w:t>
            </w:r>
          </w:p>
        </w:tc>
        <w:tc>
          <w:tcPr>
            <w:tcW w:w="3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6093B"/>
            </w:tcBorders>
          </w:tcPr>
          <w:p>
            <w:pPr>
              <w:jc w:val="right"/>
              <w:ind w:right="144"/>
              <w:spacing w:after="0"/>
              <w:rPr>
                <w:sz w:val="20"/>
                <w:szCs w:val="20"/>
                <w:color w:val="auto"/>
              </w:rPr>
            </w:pPr>
            <w:r>
              <w:rPr>
                <w:rFonts w:ascii="Arial" w:cs="Arial" w:eastAsia="Arial" w:hAnsi="Arial"/>
                <w:sz w:val="16"/>
                <w:szCs w:val="16"/>
                <w:color w:val="auto"/>
              </w:rPr>
              <w:t>800,355</w:t>
            </w:r>
          </w:p>
        </w:tc>
        <w:tc>
          <w:tcPr>
            <w:tcW w:w="30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6093B"/>
            </w:tcBorders>
          </w:tcPr>
          <w:p>
            <w:pPr>
              <w:jc w:val="right"/>
              <w:ind w:right="144"/>
              <w:spacing w:after="0"/>
              <w:rPr>
                <w:sz w:val="20"/>
                <w:szCs w:val="20"/>
                <w:color w:val="auto"/>
              </w:rPr>
            </w:pPr>
            <w:r>
              <w:rPr>
                <w:rFonts w:ascii="Arial" w:cs="Arial" w:eastAsia="Arial" w:hAnsi="Arial"/>
                <w:sz w:val="16"/>
                <w:szCs w:val="16"/>
                <w:color w:val="auto"/>
              </w:rPr>
              <w:t>633,333</w:t>
            </w:r>
          </w:p>
        </w:tc>
        <w:tc>
          <w:tcPr>
            <w:tcW w:w="3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6093B"/>
            </w:tcBorders>
          </w:tcPr>
          <w:p>
            <w:pPr>
              <w:jc w:val="right"/>
              <w:ind w:right="143"/>
              <w:spacing w:after="0"/>
              <w:rPr>
                <w:sz w:val="20"/>
                <w:szCs w:val="20"/>
                <w:color w:val="auto"/>
              </w:rPr>
            </w:pPr>
            <w:r>
              <w:rPr>
                <w:rFonts w:ascii="Arial" w:cs="Arial" w:eastAsia="Arial" w:hAnsi="Arial"/>
                <w:sz w:val="16"/>
                <w:szCs w:val="16"/>
                <w:color w:val="auto"/>
              </w:rPr>
              <w:t>400,000</w:t>
            </w:r>
          </w:p>
        </w:tc>
        <w:tc>
          <w:tcPr>
            <w:tcW w:w="1280" w:type="dxa"/>
            <w:vAlign w:val="bottom"/>
            <w:tcBorders>
              <w:bottom w:val="single" w:sz="8" w:color="C6093B"/>
            </w:tcBorders>
          </w:tcPr>
          <w:p>
            <w:pPr>
              <w:jc w:val="center"/>
              <w:spacing w:after="0"/>
              <w:rPr>
                <w:sz w:val="20"/>
                <w:szCs w:val="20"/>
                <w:color w:val="auto"/>
              </w:rPr>
            </w:pPr>
            <w:r>
              <w:rPr>
                <w:rFonts w:ascii="Arial" w:cs="Arial" w:eastAsia="Arial" w:hAnsi="Arial"/>
                <w:sz w:val="16"/>
                <w:szCs w:val="16"/>
                <w:color w:val="auto"/>
              </w:rPr>
              <w:t>$1,834,000</w:t>
            </w:r>
          </w:p>
        </w:tc>
        <w:tc>
          <w:tcPr>
            <w:tcW w:w="114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183%</w:t>
            </w:r>
          </w:p>
        </w:tc>
      </w:tr>
    </w:tbl>
    <w:p>
      <w:pPr>
        <w:spacing w:after="0" w:line="9" w:lineRule="exact"/>
        <w:rPr>
          <w:sz w:val="20"/>
          <w:szCs w:val="20"/>
          <w:color w:val="auto"/>
        </w:rPr>
      </w:pPr>
    </w:p>
    <w:p>
      <w:pPr>
        <w:ind w:left="220" w:hanging="213"/>
        <w:spacing w:after="0"/>
        <w:tabs>
          <w:tab w:leader="none" w:pos="22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The 2023 cash incentive payouts are also shown in the Summary Compensation Table under the “Non-Equity Incentive Plan Compensation” column.</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While not exercised in 2023, the Compensation Committee expressly reserves the right, in its sole discretion, to reduce the annual cash incentive for any Named Executive Officer, or to pay no annual cash incentive at all, if the Company’s performance is unexpectedly poor or if the intended recipient commits acts of malfeasance.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2023 Discretionary Bonuses</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Each of the Named Executive Officers is eligible to receive an additional discretionary bonus upon such terms and conditions as might be determined by the Chief Executive Officer, subject to the approval of the Compensation Committee, or, in the case of the Chief Executive Officer, as might be determined by the Compensation Committee. In February 2024, the Compensation Committee approved a discretionary bonus of $300,000 for Chris L. Walker based upon the recommendation by Mr. Powell Brown and Mr. Walker’s outstanding individual performance during 2023 and the outstanding performance during 2023 of the offices for which Mr. Walker had responsibility. The 2023 discretionary bonus amount paid to Mr. Walker is also shown in the Summary Compensation Table under the “Bonus” column.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38</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2023 Equity Incentive Grants</w:t>
      </w:r>
    </w:p>
    <w:p>
      <w:pPr>
        <w:spacing w:after="0" w:line="105" w:lineRule="exact"/>
        <w:rPr>
          <w:sz w:val="20"/>
          <w:szCs w:val="20"/>
          <w:color w:val="auto"/>
        </w:rPr>
      </w:pPr>
    </w:p>
    <w:p>
      <w:pPr>
        <w:ind w:right="600"/>
        <w:spacing w:after="0" w:line="279" w:lineRule="auto"/>
        <w:rPr>
          <w:sz w:val="20"/>
          <w:szCs w:val="20"/>
          <w:color w:val="auto"/>
        </w:rPr>
      </w:pPr>
      <w:r>
        <w:rPr>
          <w:rFonts w:ascii="Arial" w:cs="Arial" w:eastAsia="Arial" w:hAnsi="Arial"/>
          <w:sz w:val="16"/>
          <w:szCs w:val="16"/>
          <w:color w:val="auto"/>
        </w:rPr>
        <w:t>We endeavor to make our long-term equity incentive arrangements, which are generally granted on an annual basis, competitive and aligned with shareholder interests, as reflected in the following structure:</w:t>
      </w:r>
    </w:p>
    <w:p>
      <w:pPr>
        <w:spacing w:after="0" w:line="192" w:lineRule="exact"/>
        <w:rPr>
          <w:sz w:val="20"/>
          <w:szCs w:val="20"/>
          <w:color w:val="auto"/>
        </w:rPr>
      </w:pPr>
    </w:p>
    <w:p>
      <w:pPr>
        <w:ind w:left="80"/>
        <w:spacing w:after="0"/>
        <w:tabs>
          <w:tab w:leader="none" w:pos="5680" w:val="left"/>
        </w:tabs>
        <w:rPr>
          <w:sz w:val="20"/>
          <w:szCs w:val="20"/>
          <w:color w:val="auto"/>
        </w:rPr>
      </w:pPr>
      <w:r>
        <w:rPr>
          <w:rFonts w:ascii="Arial" w:cs="Arial" w:eastAsia="Arial" w:hAnsi="Arial"/>
          <w:sz w:val="14"/>
          <w:szCs w:val="14"/>
          <w:b w:val="1"/>
          <w:bCs w:val="1"/>
          <w:color w:val="002856"/>
        </w:rPr>
        <w:t>Terms</w:t>
      </w:r>
      <w:r>
        <w:rPr>
          <w:sz w:val="20"/>
          <w:szCs w:val="20"/>
          <w:color w:val="auto"/>
        </w:rPr>
        <w:tab/>
      </w:r>
      <w:r>
        <w:rPr>
          <w:rFonts w:ascii="Arial" w:cs="Arial" w:eastAsia="Arial" w:hAnsi="Arial"/>
          <w:sz w:val="14"/>
          <w:szCs w:val="14"/>
          <w:b w:val="1"/>
          <w:bCs w:val="1"/>
          <w:color w:val="002856"/>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9297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75" w:lineRule="exact"/>
        <w:rPr>
          <w:sz w:val="20"/>
          <w:szCs w:val="20"/>
          <w:color w:val="auto"/>
        </w:rPr>
      </w:pPr>
    </w:p>
    <w:p>
      <w:pPr>
        <w:ind w:left="100"/>
        <w:spacing w:after="0" w:line="251" w:lineRule="auto"/>
        <w:rPr>
          <w:sz w:val="20"/>
          <w:szCs w:val="20"/>
          <w:color w:val="auto"/>
        </w:rPr>
      </w:pPr>
      <w:r>
        <w:rPr>
          <w:rFonts w:ascii="Arial" w:cs="Arial" w:eastAsia="Arial" w:hAnsi="Arial"/>
          <w:sz w:val="16"/>
          <w:szCs w:val="16"/>
          <w:color w:val="auto"/>
        </w:rPr>
        <w:t>In general, 75% of shares granted to each executive officer as a Performance Stock Award (“PSA”) that vest based on performance (over a three-year period) and time (over a five-year period from the date of grant); 25% of shares granted to each executive officer as a Restricted Stock Award (“RSA”) that vest on time only (over a five-year period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Tying a majority of our equity awards to pre-established corporate financial objectives which drive long-term shareholder returns should more closely align the long-term interests of our executive officers and our shareholders</w:t>
      </w:r>
    </w:p>
    <w:p>
      <w:pPr>
        <w:spacing w:after="0" w:line="472" w:lineRule="exact"/>
        <w:rPr>
          <w:sz w:val="20"/>
          <w:szCs w:val="20"/>
          <w:color w:val="auto"/>
        </w:rPr>
      </w:pPr>
    </w:p>
    <w:p>
      <w:pPr>
        <w:sectPr>
          <w:pgSz w:w="11900" w:h="16838" w:orient="portrait"/>
          <w:cols w:equalWidth="0" w:num="2">
            <w:col w:w="5400" w:space="300"/>
            <w:col w:w="5220"/>
          </w:cols>
          <w:pgMar w:left="480" w:top="304" w:right="499" w:bottom="1440" w:gutter="0" w:footer="0" w:header="0"/>
          <w:type w:val="continuous"/>
        </w:sectPr>
      </w:pPr>
    </w:p>
    <w:p>
      <w:pPr>
        <w:ind w:left="100"/>
        <w:spacing w:after="0" w:line="251" w:lineRule="auto"/>
        <w:rPr>
          <w:sz w:val="20"/>
          <w:szCs w:val="20"/>
          <w:color w:val="auto"/>
        </w:rPr>
      </w:pPr>
      <w:r>
        <w:rPr>
          <w:rFonts w:ascii="Arial" w:cs="Arial" w:eastAsia="Arial" w:hAnsi="Arial"/>
          <w:sz w:val="16"/>
          <w:szCs w:val="16"/>
          <w:color w:val="auto"/>
        </w:rPr>
        <w:t>Vesting of PSA shares tied to increases in the Company’s Organic Revenue growth (as further defined in the applicable award agreement) and compound annual growth rate of the Company’s cumulative diluted earnings per share, excluding any impact for changes in acquisition earn-out liabilities, in each case measured over a three-year period beginning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929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60"/>
        <w:spacing w:after="0" w:line="262" w:lineRule="auto"/>
        <w:rPr>
          <w:sz w:val="20"/>
          <w:szCs w:val="20"/>
          <w:color w:val="auto"/>
        </w:rPr>
      </w:pPr>
      <w:r>
        <w:rPr>
          <w:rFonts w:ascii="Arial" w:cs="Arial" w:eastAsia="Arial" w:hAnsi="Arial"/>
          <w:sz w:val="16"/>
          <w:szCs w:val="16"/>
          <w:color w:val="auto"/>
        </w:rPr>
        <w:t>Organic Revenue growth and cumulative diluted earnings per share are easily understandable, directly influenced by our executive officers and are intended to drive our long-term shareholder value</w:t>
      </w:r>
    </w:p>
    <w:p>
      <w:pPr>
        <w:spacing w:after="0" w:line="654" w:lineRule="exact"/>
        <w:rPr>
          <w:sz w:val="20"/>
          <w:szCs w:val="20"/>
          <w:color w:val="auto"/>
        </w:rPr>
      </w:pPr>
    </w:p>
    <w:p>
      <w:pPr>
        <w:sectPr>
          <w:pgSz w:w="11900" w:h="16838" w:orient="portrait"/>
          <w:cols w:equalWidth="0" w:num="2">
            <w:col w:w="5500" w:space="200"/>
            <w:col w:w="5220"/>
          </w:cols>
          <w:pgMar w:left="480" w:top="304" w:right="499" w:bottom="1440" w:gutter="0" w:footer="0" w:header="0"/>
          <w:type w:val="continuous"/>
        </w:sectPr>
      </w:pPr>
    </w:p>
    <w:p>
      <w:pPr>
        <w:ind w:left="100"/>
        <w:spacing w:after="0" w:line="262" w:lineRule="auto"/>
        <w:rPr>
          <w:sz w:val="20"/>
          <w:szCs w:val="20"/>
          <w:color w:val="auto"/>
        </w:rPr>
      </w:pPr>
      <w:r>
        <w:rPr>
          <w:rFonts w:ascii="Arial" w:cs="Arial" w:eastAsia="Arial" w:hAnsi="Arial"/>
          <w:sz w:val="16"/>
          <w:szCs w:val="16"/>
          <w:color w:val="auto"/>
        </w:rPr>
        <w:t>PSAs granted to our executive officers contemplate a minimum payout of 0% and a maximum payout of 200% based upon the level of performance of each performance condition during the three-year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69297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Arial" w:cs="Arial" w:eastAsia="Arial" w:hAnsi="Arial"/>
          <w:sz w:val="16"/>
          <w:szCs w:val="16"/>
          <w:color w:val="auto"/>
        </w:rPr>
        <w:t>Payouts for above-target performance motivate our executive officers to overperform; recognition of performance that may be less than target</w:t>
      </w:r>
    </w:p>
    <w:p>
      <w:pPr>
        <w:spacing w:after="0" w:line="267" w:lineRule="exact"/>
        <w:rPr>
          <w:sz w:val="20"/>
          <w:szCs w:val="20"/>
          <w:color w:val="auto"/>
        </w:rPr>
      </w:pPr>
    </w:p>
    <w:p>
      <w:pPr>
        <w:sectPr>
          <w:pgSz w:w="11900" w:h="16838" w:orient="portrait"/>
          <w:cols w:equalWidth="0" w:num="2">
            <w:col w:w="5500" w:space="200"/>
            <w:col w:w="5220"/>
          </w:cols>
          <w:pgMar w:left="480" w:top="304" w:right="49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PSAs are subject to both performance-based and time-based vesting</w:t>
            </w:r>
          </w:p>
        </w:tc>
        <w:tc>
          <w:tcPr>
            <w:tcW w:w="5340" w:type="dxa"/>
            <w:vAlign w:val="bottom"/>
          </w:tcPr>
          <w:p>
            <w:pPr>
              <w:ind w:left="120"/>
              <w:spacing w:after="0"/>
              <w:rPr>
                <w:sz w:val="20"/>
                <w:szCs w:val="20"/>
                <w:color w:val="auto"/>
              </w:rPr>
            </w:pPr>
            <w:r>
              <w:rPr>
                <w:rFonts w:ascii="Arial" w:cs="Arial" w:eastAsia="Arial" w:hAnsi="Arial"/>
                <w:sz w:val="16"/>
                <w:szCs w:val="16"/>
                <w:color w:val="auto"/>
              </w:rPr>
              <w:t>A combination of performance- and time-based vesting conditions is</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conditions. In addition to the performance conditions described above,</w:t>
            </w:r>
          </w:p>
        </w:tc>
        <w:tc>
          <w:tcPr>
            <w:tcW w:w="5340" w:type="dxa"/>
            <w:vAlign w:val="bottom"/>
          </w:tcPr>
          <w:p>
            <w:pPr>
              <w:ind w:left="120"/>
              <w:spacing w:after="0"/>
              <w:rPr>
                <w:sz w:val="20"/>
                <w:szCs w:val="20"/>
                <w:color w:val="auto"/>
              </w:rPr>
            </w:pPr>
            <w:r>
              <w:rPr>
                <w:rFonts w:ascii="Arial" w:cs="Arial" w:eastAsia="Arial" w:hAnsi="Arial"/>
                <w:sz w:val="16"/>
                <w:szCs w:val="16"/>
                <w:color w:val="auto"/>
              </w:rPr>
              <w:t>intended to achieve a strong alignment between pay and performance</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PSAs granted in February 2023 are subject to an additional time-based, cliff</w:t>
            </w:r>
          </w:p>
        </w:tc>
        <w:tc>
          <w:tcPr>
            <w:tcW w:w="5340" w:type="dxa"/>
            <w:vAlign w:val="bottom"/>
          </w:tcPr>
          <w:p>
            <w:pPr>
              <w:ind w:left="120"/>
              <w:spacing w:after="0"/>
              <w:rPr>
                <w:sz w:val="20"/>
                <w:szCs w:val="20"/>
                <w:color w:val="auto"/>
              </w:rPr>
            </w:pPr>
            <w:r>
              <w:rPr>
                <w:rFonts w:ascii="Arial" w:cs="Arial" w:eastAsia="Arial" w:hAnsi="Arial"/>
                <w:sz w:val="16"/>
                <w:szCs w:val="16"/>
                <w:color w:val="auto"/>
              </w:rPr>
              <w:t>and incentivize the long-term retention of our executive officers and key</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vesting condition requiring five years of continuous employment from the</w:t>
            </w:r>
          </w:p>
        </w:tc>
        <w:tc>
          <w:tcPr>
            <w:tcW w:w="5340" w:type="dxa"/>
            <w:vAlign w:val="bottom"/>
          </w:tcPr>
          <w:p>
            <w:pPr>
              <w:ind w:left="120"/>
              <w:spacing w:after="0"/>
              <w:rPr>
                <w:sz w:val="20"/>
                <w:szCs w:val="20"/>
                <w:color w:val="auto"/>
              </w:rPr>
            </w:pPr>
            <w:r>
              <w:rPr>
                <w:rFonts w:ascii="Arial" w:cs="Arial" w:eastAsia="Arial" w:hAnsi="Arial"/>
                <w:sz w:val="16"/>
                <w:szCs w:val="16"/>
                <w:color w:val="auto"/>
              </w:rPr>
              <w:t>employees</w:t>
            </w:r>
          </w:p>
        </w:tc>
      </w:tr>
      <w:tr>
        <w:trPr>
          <w:trHeight w:val="211"/>
        </w:trPr>
        <w:tc>
          <w:tcPr>
            <w:tcW w:w="5580" w:type="dxa"/>
            <w:vAlign w:val="bottom"/>
          </w:tcPr>
          <w:p>
            <w:pPr>
              <w:ind w:left="100"/>
              <w:spacing w:after="0"/>
              <w:rPr>
                <w:sz w:val="20"/>
                <w:szCs w:val="20"/>
                <w:color w:val="auto"/>
              </w:rPr>
            </w:pPr>
            <w:r>
              <w:rPr>
                <w:rFonts w:ascii="Arial" w:cs="Arial" w:eastAsia="Arial" w:hAnsi="Arial"/>
                <w:sz w:val="16"/>
                <w:szCs w:val="16"/>
                <w:color w:val="auto"/>
              </w:rPr>
              <w:t>date of grant</w:t>
            </w:r>
          </w:p>
        </w:tc>
        <w:tc>
          <w:tcPr>
            <w:tcW w:w="5340" w:type="dxa"/>
            <w:vAlign w:val="bottom"/>
          </w:tcPr>
          <w:p>
            <w:pPr>
              <w:spacing w:after="0"/>
              <w:rPr>
                <w:sz w:val="18"/>
                <w:szCs w:val="18"/>
                <w:color w:val="auto"/>
              </w:rPr>
            </w:pPr>
          </w:p>
        </w:tc>
      </w:tr>
      <w:tr>
        <w:trPr>
          <w:trHeight w:val="97"/>
        </w:trPr>
        <w:tc>
          <w:tcPr>
            <w:tcW w:w="5580" w:type="dxa"/>
            <w:vAlign w:val="bottom"/>
            <w:tcBorders>
              <w:bottom w:val="single" w:sz="8" w:color="4C4C4C"/>
            </w:tcBorders>
          </w:tcPr>
          <w:p>
            <w:pPr>
              <w:spacing w:after="0"/>
              <w:rPr>
                <w:sz w:val="8"/>
                <w:szCs w:val="8"/>
                <w:color w:val="auto"/>
              </w:rPr>
            </w:pPr>
          </w:p>
        </w:tc>
        <w:tc>
          <w:tcPr>
            <w:tcW w:w="5340" w:type="dxa"/>
            <w:vAlign w:val="bottom"/>
            <w:tcBorders>
              <w:bottom w:val="single" w:sz="8" w:color="4C4C4C"/>
            </w:tcBorders>
          </w:tcPr>
          <w:p>
            <w:pPr>
              <w:spacing w:after="0"/>
              <w:rPr>
                <w:sz w:val="8"/>
                <w:szCs w:val="8"/>
                <w:color w:val="auto"/>
              </w:rPr>
            </w:pPr>
          </w:p>
        </w:tc>
      </w:tr>
      <w:tr>
        <w:trPr>
          <w:trHeight w:val="220"/>
        </w:trPr>
        <w:tc>
          <w:tcPr>
            <w:tcW w:w="5580" w:type="dxa"/>
            <w:vAlign w:val="bottom"/>
          </w:tcPr>
          <w:p>
            <w:pPr>
              <w:ind w:left="100"/>
              <w:spacing w:after="0"/>
              <w:rPr>
                <w:sz w:val="20"/>
                <w:szCs w:val="20"/>
                <w:color w:val="auto"/>
              </w:rPr>
            </w:pPr>
            <w:r>
              <w:rPr>
                <w:rFonts w:ascii="Arial" w:cs="Arial" w:eastAsia="Arial" w:hAnsi="Arial"/>
                <w:sz w:val="16"/>
                <w:szCs w:val="16"/>
                <w:color w:val="auto"/>
              </w:rPr>
              <w:t>RSAs are subject to a cliff vesting condition requiring five years of</w:t>
            </w:r>
          </w:p>
        </w:tc>
        <w:tc>
          <w:tcPr>
            <w:tcW w:w="5340" w:type="dxa"/>
            <w:vAlign w:val="bottom"/>
          </w:tcPr>
          <w:p>
            <w:pPr>
              <w:ind w:left="120"/>
              <w:spacing w:after="0"/>
              <w:rPr>
                <w:sz w:val="20"/>
                <w:szCs w:val="20"/>
                <w:color w:val="auto"/>
              </w:rPr>
            </w:pPr>
            <w:r>
              <w:rPr>
                <w:rFonts w:ascii="Arial" w:cs="Arial" w:eastAsia="Arial" w:hAnsi="Arial"/>
                <w:sz w:val="16"/>
                <w:szCs w:val="16"/>
                <w:color w:val="auto"/>
              </w:rPr>
              <w:t>Equity awards with time-based vesting conditions continue to operate as</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continuous employment from the date of grant; RSA recipients acquired</w:t>
            </w:r>
          </w:p>
        </w:tc>
        <w:tc>
          <w:tcPr>
            <w:tcW w:w="5340" w:type="dxa"/>
            <w:vAlign w:val="bottom"/>
          </w:tcPr>
          <w:p>
            <w:pPr>
              <w:ind w:left="120"/>
              <w:spacing w:after="0"/>
              <w:rPr>
                <w:sz w:val="20"/>
                <w:szCs w:val="20"/>
                <w:color w:val="auto"/>
              </w:rPr>
            </w:pPr>
            <w:r>
              <w:rPr>
                <w:rFonts w:ascii="Arial" w:cs="Arial" w:eastAsia="Arial" w:hAnsi="Arial"/>
                <w:sz w:val="16"/>
                <w:szCs w:val="16"/>
                <w:color w:val="auto"/>
              </w:rPr>
              <w:t>a complement to our traditional equity awards characterized by both</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voting and dividend rights at the time of grant but cannot dispose of the</w:t>
            </w:r>
          </w:p>
        </w:tc>
        <w:tc>
          <w:tcPr>
            <w:tcW w:w="5340" w:type="dxa"/>
            <w:vAlign w:val="bottom"/>
          </w:tcPr>
          <w:p>
            <w:pPr>
              <w:ind w:left="120"/>
              <w:spacing w:after="0"/>
              <w:rPr>
                <w:sz w:val="20"/>
                <w:szCs w:val="20"/>
                <w:color w:val="auto"/>
              </w:rPr>
            </w:pPr>
            <w:r>
              <w:rPr>
                <w:rFonts w:ascii="Arial" w:cs="Arial" w:eastAsia="Arial" w:hAnsi="Arial"/>
                <w:sz w:val="16"/>
                <w:szCs w:val="16"/>
                <w:color w:val="auto"/>
              </w:rPr>
              <w:t>performance-based and time-based vesting conditions to further</w:t>
            </w:r>
          </w:p>
        </w:tc>
      </w:tr>
      <w:tr>
        <w:trPr>
          <w:trHeight w:val="187"/>
        </w:trPr>
        <w:tc>
          <w:tcPr>
            <w:tcW w:w="5580" w:type="dxa"/>
            <w:vAlign w:val="bottom"/>
          </w:tcPr>
          <w:p>
            <w:pPr>
              <w:ind w:left="100"/>
              <w:spacing w:after="0"/>
              <w:rPr>
                <w:sz w:val="20"/>
                <w:szCs w:val="20"/>
                <w:color w:val="auto"/>
              </w:rPr>
            </w:pPr>
            <w:r>
              <w:rPr>
                <w:rFonts w:ascii="Arial" w:cs="Arial" w:eastAsia="Arial" w:hAnsi="Arial"/>
                <w:sz w:val="16"/>
                <w:szCs w:val="16"/>
                <w:color w:val="auto"/>
              </w:rPr>
              <w:t>shares</w:t>
            </w:r>
          </w:p>
        </w:tc>
        <w:tc>
          <w:tcPr>
            <w:tcW w:w="5340" w:type="dxa"/>
            <w:vAlign w:val="bottom"/>
          </w:tcPr>
          <w:p>
            <w:pPr>
              <w:ind w:left="120"/>
              <w:spacing w:after="0"/>
              <w:rPr>
                <w:sz w:val="20"/>
                <w:szCs w:val="20"/>
                <w:color w:val="auto"/>
              </w:rPr>
            </w:pPr>
            <w:r>
              <w:rPr>
                <w:rFonts w:ascii="Arial" w:cs="Arial" w:eastAsia="Arial" w:hAnsi="Arial"/>
                <w:sz w:val="16"/>
                <w:szCs w:val="16"/>
                <w:color w:val="auto"/>
              </w:rPr>
              <w:t>incentivize and reward key personnel; continued inclusion of a longer-</w:t>
            </w:r>
          </w:p>
        </w:tc>
      </w:tr>
      <w:tr>
        <w:trPr>
          <w:trHeight w:val="187"/>
        </w:trPr>
        <w:tc>
          <w:tcPr>
            <w:tcW w:w="5580" w:type="dxa"/>
            <w:vAlign w:val="bottom"/>
          </w:tcPr>
          <w:p>
            <w:pPr>
              <w:spacing w:after="0"/>
              <w:rPr>
                <w:sz w:val="16"/>
                <w:szCs w:val="16"/>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term equity award (e.g., five years) helps attract, motivate and retain</w:t>
            </w:r>
          </w:p>
        </w:tc>
      </w:tr>
      <w:tr>
        <w:trPr>
          <w:trHeight w:val="211"/>
        </w:trPr>
        <w:tc>
          <w:tcPr>
            <w:tcW w:w="558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individuals whose performance drives our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69297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type w:val="continuous"/>
        </w:sectPr>
      </w:pPr>
    </w:p>
    <w:p>
      <w:pPr>
        <w:spacing w:after="0" w:line="110" w:lineRule="exact"/>
        <w:rPr>
          <w:sz w:val="20"/>
          <w:szCs w:val="20"/>
          <w:color w:val="auto"/>
        </w:rPr>
      </w:pPr>
    </w:p>
    <w:p>
      <w:pPr>
        <w:ind w:left="100"/>
        <w:spacing w:after="0" w:line="256" w:lineRule="auto"/>
        <w:rPr>
          <w:sz w:val="20"/>
          <w:szCs w:val="20"/>
          <w:color w:val="auto"/>
        </w:rPr>
      </w:pPr>
      <w:r>
        <w:rPr>
          <w:rFonts w:ascii="Arial" w:cs="Arial" w:eastAsia="Arial" w:hAnsi="Arial"/>
          <w:sz w:val="16"/>
          <w:szCs w:val="16"/>
          <w:color w:val="auto"/>
        </w:rPr>
        <w:t>For certain executive officers aged 60 and older, equity awards are structured as performance stock units (“PSUs”) and restricted stock units (“RSUs”), rather than as PSAs and RSAs, to allow for the payment of awards following an executive officer’s qualified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69297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color w:val="auto"/>
        </w:rPr>
        <w:t>Allowing for the payment of awards following an executive officer’s qualified retirement more effectively rewards and incentivizes executive officers who are approaching an age at which retirement is more likely</w:t>
      </w:r>
    </w:p>
    <w:p>
      <w:pPr>
        <w:spacing w:after="0" w:line="366" w:lineRule="exact"/>
        <w:rPr>
          <w:sz w:val="20"/>
          <w:szCs w:val="20"/>
          <w:color w:val="auto"/>
        </w:rPr>
      </w:pPr>
    </w:p>
    <w:p>
      <w:pPr>
        <w:sectPr>
          <w:pgSz w:w="11900" w:h="16838" w:orient="portrait"/>
          <w:cols w:equalWidth="0" w:num="2">
            <w:col w:w="5260" w:space="440"/>
            <w:col w:w="5220"/>
          </w:cols>
          <w:pgMar w:left="480" w:top="304" w:right="499" w:bottom="1440" w:gutter="0" w:footer="0" w:header="0"/>
          <w:type w:val="continuous"/>
        </w:sectPr>
      </w:pPr>
    </w:p>
    <w:p>
      <w:pPr>
        <w:spacing w:after="0" w:line="5"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We do not grant equity awards in anticipation of the release of material non-public information, and we do not time the release of material non-public information based on equity award grant dates.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39</w:t>
      </w:r>
    </w:p>
    <w:p>
      <w:pPr>
        <w:sectPr>
          <w:pgSz w:w="11900" w:h="16838" w:orient="portrait"/>
          <w:cols w:equalWidth="0" w:num="1">
            <w:col w:w="10920"/>
          </w:cols>
          <w:pgMar w:left="480" w:top="304" w:right="4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February 2023 Equity Incentive Grants</w:t>
      </w:r>
    </w:p>
    <w:p>
      <w:pPr>
        <w:spacing w:after="0" w:line="105"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Based upon the recommendation of our Chief Executive Officer and, with respect to our Chief Executive Officer, based upon the Compensation Committee’s annual evaluation of our Chief Executive Officer’s performance, as well as input from FW Cook, the following long-term equity incentive awards for our Named Executive Officers were approved by our Compensation Committee in February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center"/>
              <w:ind w:right="344"/>
              <w:spacing w:after="0"/>
              <w:rPr>
                <w:sz w:val="20"/>
                <w:szCs w:val="20"/>
                <w:color w:val="auto"/>
              </w:rPr>
            </w:pPr>
            <w:r>
              <w:rPr>
                <w:rFonts w:ascii="Arial" w:cs="Arial" w:eastAsia="Arial" w:hAnsi="Arial"/>
                <w:sz w:val="14"/>
                <w:szCs w:val="14"/>
                <w:b w:val="1"/>
                <w:bCs w:val="1"/>
                <w:color w:val="002856"/>
                <w:w w:val="99"/>
              </w:rPr>
              <w:t>Total 2023</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2023</w:t>
            </w:r>
          </w:p>
        </w:tc>
        <w:tc>
          <w:tcPr>
            <w:tcW w:w="420" w:type="dxa"/>
            <w:vAlign w:val="bottom"/>
          </w:tcPr>
          <w:p>
            <w:pPr>
              <w:spacing w:after="0"/>
              <w:rPr>
                <w:sz w:val="13"/>
                <w:szCs w:val="13"/>
                <w:color w:val="auto"/>
              </w:rPr>
            </w:pPr>
          </w:p>
        </w:tc>
        <w:tc>
          <w:tcPr>
            <w:tcW w:w="1220" w:type="dxa"/>
            <w:vAlign w:val="bottom"/>
          </w:tcPr>
          <w:p>
            <w:pPr>
              <w:jc w:val="center"/>
              <w:ind w:right="344"/>
              <w:spacing w:after="0"/>
              <w:rPr>
                <w:sz w:val="20"/>
                <w:szCs w:val="20"/>
                <w:color w:val="auto"/>
              </w:rPr>
            </w:pPr>
            <w:r>
              <w:rPr>
                <w:rFonts w:ascii="Arial" w:cs="Arial" w:eastAsia="Arial" w:hAnsi="Arial"/>
                <w:sz w:val="14"/>
                <w:szCs w:val="14"/>
                <w:b w:val="1"/>
                <w:bCs w:val="1"/>
                <w:color w:val="002856"/>
                <w:w w:val="98"/>
              </w:rPr>
              <w:t>Long-Term</w:t>
            </w:r>
          </w:p>
        </w:tc>
        <w:tc>
          <w:tcPr>
            <w:tcW w:w="400" w:type="dxa"/>
            <w:vAlign w:val="bottom"/>
          </w:tcPr>
          <w:p>
            <w:pPr>
              <w:spacing w:after="0"/>
              <w:rPr>
                <w:sz w:val="13"/>
                <w:szCs w:val="13"/>
                <w:color w:val="auto"/>
              </w:rPr>
            </w:pPr>
          </w:p>
        </w:tc>
        <w:tc>
          <w:tcPr>
            <w:tcW w:w="1240" w:type="dxa"/>
            <w:vAlign w:val="bottom"/>
          </w:tcPr>
          <w:p>
            <w:pPr>
              <w:jc w:val="center"/>
              <w:ind w:right="323"/>
              <w:spacing w:after="0"/>
              <w:rPr>
                <w:sz w:val="20"/>
                <w:szCs w:val="20"/>
                <w:color w:val="auto"/>
              </w:rPr>
            </w:pPr>
            <w:r>
              <w:rPr>
                <w:rFonts w:ascii="Arial" w:cs="Arial" w:eastAsia="Arial" w:hAnsi="Arial"/>
                <w:sz w:val="14"/>
                <w:szCs w:val="14"/>
                <w:b w:val="1"/>
                <w:bCs w:val="1"/>
                <w:color w:val="002856"/>
                <w:w w:val="99"/>
              </w:rPr>
              <w:t>Total 2022</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002856"/>
              </w:rPr>
              <w:t>2023</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Restricted</w:t>
            </w: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002856"/>
              </w:rPr>
              <w:t>Equity Incentive</w:t>
            </w:r>
          </w:p>
        </w:tc>
        <w:tc>
          <w:tcPr>
            <w:tcW w:w="400" w:type="dxa"/>
            <w:vAlign w:val="bottom"/>
          </w:tcPr>
          <w:p>
            <w:pPr>
              <w:spacing w:after="0"/>
              <w:rPr>
                <w:sz w:val="13"/>
                <w:szCs w:val="13"/>
                <w:color w:val="auto"/>
              </w:rPr>
            </w:pPr>
          </w:p>
        </w:tc>
        <w:tc>
          <w:tcPr>
            <w:tcW w:w="1240" w:type="dxa"/>
            <w:vAlign w:val="bottom"/>
          </w:tcPr>
          <w:p>
            <w:pPr>
              <w:jc w:val="center"/>
              <w:ind w:right="343"/>
              <w:spacing w:after="0"/>
              <w:rPr>
                <w:sz w:val="20"/>
                <w:szCs w:val="20"/>
                <w:color w:val="auto"/>
              </w:rPr>
            </w:pPr>
            <w:r>
              <w:rPr>
                <w:rFonts w:ascii="Arial" w:cs="Arial" w:eastAsia="Arial" w:hAnsi="Arial"/>
                <w:sz w:val="14"/>
                <w:szCs w:val="14"/>
                <w:b w:val="1"/>
                <w:bCs w:val="1"/>
                <w:color w:val="002856"/>
              </w:rPr>
              <w:t>Long-Term</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2460" w:type="dxa"/>
            <w:vAlign w:val="bottom"/>
            <w:gridSpan w:val="2"/>
          </w:tcPr>
          <w:p>
            <w:pPr>
              <w:ind w:left="1320"/>
              <w:spacing w:after="0"/>
              <w:rPr>
                <w:sz w:val="20"/>
                <w:szCs w:val="20"/>
                <w:color w:val="auto"/>
              </w:rPr>
            </w:pPr>
            <w:r>
              <w:rPr>
                <w:rFonts w:ascii="Arial" w:cs="Arial" w:eastAsia="Arial" w:hAnsi="Arial"/>
                <w:sz w:val="14"/>
                <w:szCs w:val="14"/>
                <w:b w:val="1"/>
                <w:bCs w:val="1"/>
                <w:color w:val="002856"/>
              </w:rPr>
              <w:t>Performance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Award</w:t>
            </w:r>
          </w:p>
        </w:tc>
        <w:tc>
          <w:tcPr>
            <w:tcW w:w="420" w:type="dxa"/>
            <w:vAlign w:val="bottom"/>
          </w:tcPr>
          <w:p>
            <w:pPr>
              <w:spacing w:after="0"/>
              <w:rPr>
                <w:sz w:val="13"/>
                <w:szCs w:val="13"/>
                <w:color w:val="auto"/>
              </w:rPr>
            </w:pPr>
          </w:p>
        </w:tc>
        <w:tc>
          <w:tcPr>
            <w:tcW w:w="1220" w:type="dxa"/>
            <w:vAlign w:val="bottom"/>
          </w:tcPr>
          <w:p>
            <w:pPr>
              <w:jc w:val="center"/>
              <w:ind w:right="344"/>
              <w:spacing w:after="0"/>
              <w:rPr>
                <w:sz w:val="20"/>
                <w:szCs w:val="20"/>
                <w:color w:val="auto"/>
              </w:rPr>
            </w:pPr>
            <w:r>
              <w:rPr>
                <w:rFonts w:ascii="Arial" w:cs="Arial" w:eastAsia="Arial" w:hAnsi="Arial"/>
                <w:sz w:val="14"/>
                <w:szCs w:val="14"/>
                <w:b w:val="1"/>
                <w:bCs w:val="1"/>
                <w:color w:val="002856"/>
              </w:rPr>
              <w:t>Awards</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002856"/>
              </w:rPr>
              <w:t>Equity Incentive</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0"/>
        </w:trPr>
        <w:tc>
          <w:tcPr>
            <w:tcW w:w="28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2460" w:type="dxa"/>
            <w:vAlign w:val="bottom"/>
            <w:tcBorders>
              <w:bottom w:val="single" w:sz="8" w:color="C6093B"/>
            </w:tcBorders>
            <w:gridSpan w:val="2"/>
          </w:tcPr>
          <w:p>
            <w:pPr>
              <w:ind w:left="1320"/>
              <w:spacing w:after="0"/>
              <w:rPr>
                <w:sz w:val="20"/>
                <w:szCs w:val="20"/>
                <w:color w:val="auto"/>
              </w:rPr>
            </w:pPr>
            <w:r>
              <w:rPr>
                <w:rFonts w:ascii="Arial" w:cs="Arial" w:eastAsia="Arial" w:hAnsi="Arial"/>
                <w:sz w:val="14"/>
                <w:szCs w:val="14"/>
                <w:b w:val="1"/>
                <w:bCs w:val="1"/>
                <w:color w:val="002856"/>
              </w:rPr>
              <w:t>Award (75%)</w:t>
            </w:r>
          </w:p>
        </w:tc>
        <w:tc>
          <w:tcPr>
            <w:tcW w:w="12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(25%)</w:t>
            </w:r>
          </w:p>
        </w:tc>
        <w:tc>
          <w:tcPr>
            <w:tcW w:w="420" w:type="dxa"/>
            <w:vAlign w:val="bottom"/>
            <w:tcBorders>
              <w:bottom w:val="single" w:sz="8" w:color="C6093B"/>
            </w:tcBorders>
          </w:tcPr>
          <w:p>
            <w:pPr>
              <w:spacing w:after="0"/>
              <w:rPr>
                <w:sz w:val="16"/>
                <w:szCs w:val="16"/>
                <w:color w:val="auto"/>
              </w:rPr>
            </w:pPr>
          </w:p>
        </w:tc>
        <w:tc>
          <w:tcPr>
            <w:tcW w:w="1220" w:type="dxa"/>
            <w:vAlign w:val="bottom"/>
            <w:tcBorders>
              <w:bottom w:val="single" w:sz="8" w:color="C6093B"/>
            </w:tcBorders>
          </w:tcPr>
          <w:p>
            <w:pPr>
              <w:jc w:val="center"/>
              <w:ind w:right="324"/>
              <w:spacing w:after="0"/>
              <w:rPr>
                <w:sz w:val="20"/>
                <w:szCs w:val="20"/>
                <w:color w:val="auto"/>
              </w:rPr>
            </w:pPr>
            <w:r>
              <w:rPr>
                <w:rFonts w:ascii="Arial" w:cs="Arial" w:eastAsia="Arial" w:hAnsi="Arial"/>
                <w:sz w:val="14"/>
                <w:szCs w:val="14"/>
                <w:b w:val="1"/>
                <w:bCs w:val="1"/>
                <w:color w:val="002856"/>
              </w:rPr>
              <w:t>(100%)</w:t>
            </w:r>
          </w:p>
        </w:tc>
        <w:tc>
          <w:tcPr>
            <w:tcW w:w="400" w:type="dxa"/>
            <w:vAlign w:val="bottom"/>
            <w:tcBorders>
              <w:bottom w:val="single" w:sz="8" w:color="C6093B"/>
            </w:tcBorders>
          </w:tcPr>
          <w:p>
            <w:pPr>
              <w:spacing w:after="0"/>
              <w:rPr>
                <w:sz w:val="16"/>
                <w:szCs w:val="16"/>
                <w:color w:val="auto"/>
              </w:rPr>
            </w:pPr>
          </w:p>
        </w:tc>
        <w:tc>
          <w:tcPr>
            <w:tcW w:w="1240" w:type="dxa"/>
            <w:vAlign w:val="bottom"/>
            <w:tcBorders>
              <w:bottom w:val="single" w:sz="8" w:color="C6093B"/>
            </w:tcBorders>
          </w:tcPr>
          <w:p>
            <w:pPr>
              <w:jc w:val="center"/>
              <w:ind w:right="323"/>
              <w:spacing w:after="0" w:line="184" w:lineRule="exact"/>
              <w:rPr>
                <w:sz w:val="20"/>
                <w:szCs w:val="20"/>
                <w:color w:val="auto"/>
              </w:rPr>
            </w:pPr>
            <w:r>
              <w:rPr>
                <w:rFonts w:ascii="Arial" w:cs="Arial" w:eastAsia="Arial" w:hAnsi="Arial"/>
                <w:sz w:val="14"/>
                <w:szCs w:val="14"/>
                <w:b w:val="1"/>
                <w:bCs w:val="1"/>
                <w:color w:val="002856"/>
                <w:w w:val="94"/>
              </w:rPr>
              <w:t>Awards</w:t>
            </w:r>
            <w:r>
              <w:rPr>
                <w:rFonts w:ascii="Arial" w:cs="Arial" w:eastAsia="Arial" w:hAnsi="Arial"/>
                <w:sz w:val="21"/>
                <w:szCs w:val="21"/>
                <w:b w:val="1"/>
                <w:bCs w:val="1"/>
                <w:color w:val="002856"/>
                <w:w w:val="94"/>
                <w:vertAlign w:val="superscript"/>
              </w:rPr>
              <w:t>(1)</w:t>
            </w:r>
          </w:p>
        </w:tc>
        <w:tc>
          <w:tcPr>
            <w:tcW w:w="1140" w:type="dxa"/>
            <w:vAlign w:val="bottom"/>
            <w:tcBorders>
              <w:bottom w:val="single" w:sz="8" w:color="C6093B"/>
            </w:tcBorders>
            <w:gridSpan w:val="2"/>
          </w:tcPr>
          <w:p>
            <w:pPr>
              <w:jc w:val="right"/>
              <w:ind w:right="200"/>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2800" w:type="dxa"/>
            <w:vAlign w:val="bottom"/>
            <w:tcBorders>
              <w:bottom w:val="single" w:sz="8" w:color="4C4C4C"/>
            </w:tcBorders>
          </w:tcPr>
          <w:p>
            <w:pPr>
              <w:ind w:left="80"/>
              <w:spacing w:after="0" w:line="241" w:lineRule="exact"/>
              <w:rPr>
                <w:sz w:val="20"/>
                <w:szCs w:val="20"/>
                <w:color w:val="auto"/>
              </w:rPr>
            </w:pPr>
            <w:r>
              <w:rPr>
                <w:rFonts w:ascii="Arial" w:cs="Arial" w:eastAsia="Arial" w:hAnsi="Arial"/>
                <w:sz w:val="16"/>
                <w:szCs w:val="16"/>
                <w:b w:val="1"/>
                <w:bCs w:val="1"/>
                <w:color w:val="1D4F90"/>
              </w:rPr>
              <w:t>J. Powell Brown</w:t>
            </w:r>
            <w:r>
              <w:rPr>
                <w:rFonts w:ascii="Arial" w:cs="Arial" w:eastAsia="Arial" w:hAnsi="Arial"/>
                <w:sz w:val="24"/>
                <w:szCs w:val="24"/>
                <w:b w:val="1"/>
                <w:bCs w:val="1"/>
                <w:color w:val="1D4F90"/>
                <w:vertAlign w:val="superscript"/>
              </w:rPr>
              <w:t>(2)</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2,250,000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$ 750,000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3,000,000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3,000,000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R. Andrew Watts</w:t>
            </w:r>
            <w:r>
              <w:rPr>
                <w:rFonts w:ascii="Arial" w:cs="Arial" w:eastAsia="Arial" w:hAnsi="Arial"/>
                <w:sz w:val="24"/>
                <w:szCs w:val="24"/>
                <w:b w:val="1"/>
                <w:bCs w:val="1"/>
                <w:color w:val="1D4F90"/>
                <w:vertAlign w:val="superscript"/>
              </w:rPr>
              <w:t>(2)</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750,000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$ 250,000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1,000,000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700,000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w w:val="90"/>
              </w:rPr>
              <w:t>300,000</w:t>
            </w:r>
            <w:r>
              <w:rPr>
                <w:rFonts w:ascii="Arial" w:cs="Arial" w:eastAsia="Arial" w:hAnsi="Arial"/>
                <w:sz w:val="24"/>
                <w:szCs w:val="24"/>
                <w:color w:val="auto"/>
                <w:w w:val="90"/>
                <w:vertAlign w:val="superscript"/>
              </w:rPr>
              <w:t>(3)</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P. Barrett Brown</w:t>
            </w:r>
            <w:r>
              <w:rPr>
                <w:rFonts w:ascii="Arial" w:cs="Arial" w:eastAsia="Arial" w:hAnsi="Arial"/>
                <w:sz w:val="24"/>
                <w:szCs w:val="24"/>
                <w:b w:val="1"/>
                <w:bCs w:val="1"/>
                <w:color w:val="1D4F90"/>
                <w:vertAlign w:val="superscript"/>
              </w:rPr>
              <w:t>(2)</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375,000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$ 125,000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J. Scott Penny</w:t>
            </w:r>
            <w:r>
              <w:rPr>
                <w:rFonts w:ascii="Arial" w:cs="Arial" w:eastAsia="Arial" w:hAnsi="Arial"/>
                <w:sz w:val="24"/>
                <w:szCs w:val="24"/>
                <w:b w:val="1"/>
                <w:bCs w:val="1"/>
                <w:color w:val="1D4F90"/>
                <w:vertAlign w:val="superscript"/>
              </w:rPr>
              <w:t>(2)</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375,000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$ 125,000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4"/>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41"/>
        </w:trPr>
        <w:tc>
          <w:tcPr>
            <w:tcW w:w="2800" w:type="dxa"/>
            <w:vAlign w:val="bottom"/>
            <w:tcBorders>
              <w:bottom w:val="single" w:sz="8" w:color="C6093B"/>
            </w:tcBorders>
          </w:tcPr>
          <w:p>
            <w:pPr>
              <w:ind w:left="80"/>
              <w:spacing w:after="0" w:line="234" w:lineRule="exact"/>
              <w:rPr>
                <w:sz w:val="20"/>
                <w:szCs w:val="20"/>
                <w:color w:val="auto"/>
              </w:rPr>
            </w:pPr>
            <w:r>
              <w:rPr>
                <w:rFonts w:ascii="Arial" w:cs="Arial" w:eastAsia="Arial" w:hAnsi="Arial"/>
                <w:sz w:val="16"/>
                <w:szCs w:val="16"/>
                <w:b w:val="1"/>
                <w:bCs w:val="1"/>
                <w:color w:val="1D4F90"/>
              </w:rPr>
              <w:t>Chris L. Walker</w:t>
            </w:r>
            <w:r>
              <w:rPr>
                <w:rFonts w:ascii="Arial" w:cs="Arial" w:eastAsia="Arial" w:hAnsi="Arial"/>
                <w:sz w:val="24"/>
                <w:szCs w:val="24"/>
                <w:b w:val="1"/>
                <w:bCs w:val="1"/>
                <w:color w:val="1D4F90"/>
                <w:vertAlign w:val="superscript"/>
              </w:rPr>
              <w:t>(4)</w:t>
            </w:r>
          </w:p>
        </w:tc>
        <w:tc>
          <w:tcPr>
            <w:tcW w:w="1440" w:type="dxa"/>
            <w:vAlign w:val="bottom"/>
            <w:tcBorders>
              <w:bottom w:val="single" w:sz="8" w:color="C6093B"/>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6093B"/>
            </w:tcBorders>
          </w:tcPr>
          <w:p>
            <w:pPr>
              <w:jc w:val="right"/>
              <w:ind w:right="181"/>
              <w:spacing w:after="0"/>
              <w:rPr>
                <w:sz w:val="20"/>
                <w:szCs w:val="20"/>
                <w:color w:val="auto"/>
              </w:rPr>
            </w:pPr>
            <w:r>
              <w:rPr>
                <w:rFonts w:ascii="Arial" w:cs="Arial" w:eastAsia="Arial" w:hAnsi="Arial"/>
                <w:sz w:val="16"/>
                <w:szCs w:val="16"/>
                <w:color w:val="auto"/>
              </w:rPr>
              <w:t>375,000</w:t>
            </w:r>
          </w:p>
        </w:tc>
        <w:tc>
          <w:tcPr>
            <w:tcW w:w="1240" w:type="dxa"/>
            <w:vAlign w:val="bottom"/>
            <w:tcBorders>
              <w:bottom w:val="single" w:sz="8" w:color="C6093B"/>
            </w:tcBorders>
          </w:tcPr>
          <w:p>
            <w:pPr>
              <w:jc w:val="center"/>
              <w:spacing w:after="0"/>
              <w:rPr>
                <w:sz w:val="20"/>
                <w:szCs w:val="20"/>
                <w:color w:val="auto"/>
              </w:rPr>
            </w:pPr>
            <w:r>
              <w:rPr>
                <w:rFonts w:ascii="Arial" w:cs="Arial" w:eastAsia="Arial" w:hAnsi="Arial"/>
                <w:sz w:val="16"/>
                <w:szCs w:val="16"/>
                <w:color w:val="auto"/>
                <w:w w:val="98"/>
              </w:rPr>
              <w:t>$ 125,000</w:t>
            </w:r>
          </w:p>
        </w:tc>
        <w:tc>
          <w:tcPr>
            <w:tcW w:w="420" w:type="dxa"/>
            <w:vAlign w:val="bottom"/>
            <w:tcBorders>
              <w:bottom w:val="single" w:sz="8" w:color="C6093B"/>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093B"/>
            </w:tcBorders>
          </w:tcPr>
          <w:p>
            <w:pPr>
              <w:jc w:val="right"/>
              <w:ind w:right="184"/>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6093B"/>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6093B"/>
            </w:tcBorders>
          </w:tcPr>
          <w:p>
            <w:pPr>
              <w:jc w:val="right"/>
              <w:ind w:right="120"/>
              <w:spacing w:after="0"/>
              <w:rPr>
                <w:sz w:val="20"/>
                <w:szCs w:val="20"/>
                <w:color w:val="auto"/>
              </w:rPr>
            </w:pPr>
            <w:r>
              <w:rPr>
                <w:rFonts w:ascii="Arial" w:cs="Arial" w:eastAsia="Arial" w:hAnsi="Arial"/>
                <w:sz w:val="16"/>
                <w:szCs w:val="16"/>
                <w:color w:val="auto"/>
              </w:rPr>
              <w:t>—</w:t>
            </w:r>
          </w:p>
        </w:tc>
      </w:tr>
    </w:tbl>
    <w:p>
      <w:pPr>
        <w:spacing w:after="0" w:line="62" w:lineRule="exact"/>
        <w:rPr>
          <w:sz w:val="20"/>
          <w:szCs w:val="20"/>
          <w:color w:val="auto"/>
        </w:rPr>
      </w:pPr>
    </w:p>
    <w:p>
      <w:pPr>
        <w:ind w:left="220" w:right="260" w:hanging="213"/>
        <w:spacing w:after="0" w:line="209" w:lineRule="auto"/>
        <w:tabs>
          <w:tab w:leader="none" w:pos="22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The amounts reported in this column do not include the off-cycle, long-term equity incentive awards, effective January 1, 2022, valued at $2,000,000 and granted to each of Messrs. Watts, Barrett Brown, Penny and Walker, which were granted in recognition of the exceptional performance during 2021 of each such Named Executive Officer, the Company and/or the offices over which each such Named Executive Officers had oversight responsibility during 2021, as well as the Company’s strong total shareholder returns during the preceding several years.</w:t>
      </w:r>
    </w:p>
    <w:p>
      <w:pPr>
        <w:spacing w:after="0" w:line="50" w:lineRule="exact"/>
        <w:rPr>
          <w:rFonts w:ascii="Arial" w:cs="Arial" w:eastAsia="Arial" w:hAnsi="Arial"/>
          <w:sz w:val="19"/>
          <w:szCs w:val="19"/>
          <w:color w:val="auto"/>
          <w:vertAlign w:val="superscript"/>
        </w:rPr>
      </w:pPr>
    </w:p>
    <w:p>
      <w:pPr>
        <w:ind w:left="220" w:right="520" w:hanging="213"/>
        <w:spacing w:after="0" w:line="201" w:lineRule="auto"/>
        <w:tabs>
          <w:tab w:leader="none" w:pos="22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The long-term equity incentive awards for Messrs. Powell Brown, Watts, Barrett Brown and Penny are structured as PSAs and RSAs, for which vesting is conditioned upon the grantee’s continuous employment for five years following the date of grant.</w:t>
      </w:r>
    </w:p>
    <w:p>
      <w:pPr>
        <w:spacing w:after="0" w:line="49" w:lineRule="exact"/>
        <w:rPr>
          <w:rFonts w:ascii="Arial" w:cs="Arial" w:eastAsia="Arial" w:hAnsi="Arial"/>
          <w:sz w:val="19"/>
          <w:szCs w:val="19"/>
          <w:color w:val="auto"/>
          <w:vertAlign w:val="superscript"/>
        </w:rPr>
      </w:pPr>
    </w:p>
    <w:p>
      <w:pPr>
        <w:ind w:left="220" w:right="240" w:hanging="213"/>
        <w:spacing w:after="0" w:line="201" w:lineRule="auto"/>
        <w:tabs>
          <w:tab w:leader="none" w:pos="22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2023 long-term equity incentive award from $700,000 to $1,000,000 was based upon the October 2022 Comparative Market Assessment and the fact that 2022 target total pay for Mr. Watts was below the market median.</w:t>
      </w:r>
    </w:p>
    <w:p>
      <w:pPr>
        <w:spacing w:after="0" w:line="49" w:lineRule="exact"/>
        <w:rPr>
          <w:rFonts w:ascii="Arial" w:cs="Arial" w:eastAsia="Arial" w:hAnsi="Arial"/>
          <w:sz w:val="19"/>
          <w:szCs w:val="19"/>
          <w:color w:val="auto"/>
          <w:vertAlign w:val="superscript"/>
        </w:rPr>
      </w:pPr>
    </w:p>
    <w:p>
      <w:pPr>
        <w:ind w:left="220" w:right="20" w:hanging="213"/>
        <w:spacing w:after="0" w:line="218" w:lineRule="auto"/>
        <w:tabs>
          <w:tab w:leader="none" w:pos="220" w:val="left"/>
        </w:tabs>
        <w:numPr>
          <w:ilvl w:val="0"/>
          <w:numId w:val="27"/>
        </w:numPr>
        <w:rPr>
          <w:rFonts w:ascii="Arial" w:cs="Arial" w:eastAsia="Arial" w:hAnsi="Arial"/>
          <w:sz w:val="19"/>
          <w:szCs w:val="19"/>
          <w:color w:val="auto"/>
          <w:vertAlign w:val="superscript"/>
        </w:rPr>
      </w:pPr>
      <w:r>
        <w:rPr>
          <w:rFonts w:ascii="Arial" w:cs="Arial" w:eastAsia="Arial" w:hAnsi="Arial"/>
          <w:sz w:val="12"/>
          <w:szCs w:val="12"/>
          <w:color w:val="auto"/>
        </w:rPr>
        <w:t>The Compensation Committee determined that to better reward and retain Mr. Walker, who is 66 years old, it was desirable to grant him PSUs and RSUs, which allow for the payment following his qualified retirement of PSUs that become awarded PSUs and the RSUs. If Mr. Walker’s retirement occurs before the third anniversary of the date of grant, the PSUs that become awarded PSUs and the RSUs will be paid to Mr. Walker on the second anniversary of his retirement, subject to Mr. Walker being in good standing with the Company as of the date of such payment; if Mr. Walker’s retirement occurs after the third anniversary of the date of grant, the PSUs that become awarded PSUs and the RSUs will be paid to Mr. Walker on the fifth anniversary of the date of grant, subject to Mr. Walker being in good standing with the Company as of the date of such payment.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Equity Incentive Plan Outcomes in 2023</w:t>
      </w:r>
    </w:p>
    <w:p>
      <w:pPr>
        <w:spacing w:after="0" w:line="10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February 2020, certain of our Named Executive Officers received grants of restricted stock under our 2010 SIP, which included performance conditions of vesting based upon the following, in each case excluding items (for example, extraordinary, nonrecurring items) the Compensation Committee determines to be appropriately disregarded for all grants subject to this vesting condition: (i) the Company’s average Organic Revenue growth (“Average Organic Revenue Growth”) and (ii) the compounded annual growth rate (“CAGR”) of our earnings per share, excluding the impact of the change in estimated acquisition earn-out payables and any other items (for example, extraordinary, nonrecurring items) that the Compensation Committee determines to be appropriately disregarded for all grants subject to this vesting condition (“Adjusted EPS”). Under the applicable award agreements, the performance condition is satisfied (i) for one-half of the shares granted based our Average Organic Revenue Growth during the three-year performance period ending December 31, 2022,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100" w:type="dxa"/>
            <w:vAlign w:val="bottom"/>
          </w:tcPr>
          <w:p>
            <w:pPr>
              <w:jc w:val="right"/>
              <w:ind w:right="822"/>
              <w:spacing w:after="0"/>
              <w:rPr>
                <w:sz w:val="20"/>
                <w:szCs w:val="20"/>
                <w:color w:val="auto"/>
              </w:rPr>
            </w:pPr>
            <w:r>
              <w:rPr>
                <w:rFonts w:ascii="Arial" w:cs="Arial" w:eastAsia="Arial" w:hAnsi="Arial"/>
                <w:sz w:val="14"/>
                <w:szCs w:val="14"/>
                <w:b w:val="1"/>
                <w:bCs w:val="1"/>
                <w:color w:val="002856"/>
              </w:rPr>
              <w:t>Awarded Percentage of</w:t>
            </w:r>
          </w:p>
        </w:tc>
      </w:tr>
      <w:tr>
        <w:trPr>
          <w:trHeight w:val="190"/>
        </w:trPr>
        <w:tc>
          <w:tcPr>
            <w:tcW w:w="294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Performance Level</w:t>
            </w:r>
          </w:p>
        </w:tc>
        <w:tc>
          <w:tcPr>
            <w:tcW w:w="4880" w:type="dxa"/>
            <w:vAlign w:val="bottom"/>
            <w:tcBorders>
              <w:bottom w:val="single" w:sz="8" w:color="C6093B"/>
            </w:tcBorders>
          </w:tcPr>
          <w:p>
            <w:pPr>
              <w:jc w:val="right"/>
              <w:ind w:right="881"/>
              <w:spacing w:after="0"/>
              <w:rPr>
                <w:sz w:val="20"/>
                <w:szCs w:val="20"/>
                <w:color w:val="auto"/>
              </w:rPr>
            </w:pPr>
            <w:r>
              <w:rPr>
                <w:rFonts w:ascii="Arial" w:cs="Arial" w:eastAsia="Arial" w:hAnsi="Arial"/>
                <w:sz w:val="14"/>
                <w:szCs w:val="14"/>
                <w:b w:val="1"/>
                <w:bCs w:val="1"/>
                <w:color w:val="002856"/>
              </w:rPr>
              <w:t>Average Organic Revenue Growth</w:t>
            </w:r>
          </w:p>
        </w:tc>
        <w:tc>
          <w:tcPr>
            <w:tcW w:w="3100" w:type="dxa"/>
            <w:vAlign w:val="bottom"/>
            <w:tcBorders>
              <w:bottom w:val="single" w:sz="8" w:color="C6093B"/>
            </w:tcBorders>
          </w:tcPr>
          <w:p>
            <w:pPr>
              <w:jc w:val="right"/>
              <w:ind w:right="562"/>
              <w:spacing w:after="0"/>
              <w:rPr>
                <w:sz w:val="20"/>
                <w:szCs w:val="20"/>
                <w:color w:val="auto"/>
              </w:rPr>
            </w:pPr>
            <w:r>
              <w:rPr>
                <w:rFonts w:ascii="Arial" w:cs="Arial" w:eastAsia="Arial" w:hAnsi="Arial"/>
                <w:sz w:val="14"/>
                <w:szCs w:val="14"/>
                <w:b w:val="1"/>
                <w:bCs w:val="1"/>
                <w:color w:val="002856"/>
              </w:rPr>
              <w:t>Tranche 1 Performance Shares</w:t>
            </w:r>
          </w:p>
        </w:tc>
      </w:tr>
      <w:tr>
        <w:trPr>
          <w:trHeight w:val="241"/>
        </w:trPr>
        <w:tc>
          <w:tcPr>
            <w:tcW w:w="294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Maximum</w:t>
            </w:r>
          </w:p>
        </w:tc>
        <w:tc>
          <w:tcPr>
            <w:tcW w:w="4880" w:type="dxa"/>
            <w:vAlign w:val="bottom"/>
            <w:tcBorders>
              <w:bottom w:val="single" w:sz="8" w:color="4C4C4C"/>
            </w:tcBorders>
          </w:tcPr>
          <w:p>
            <w:pPr>
              <w:jc w:val="right"/>
              <w:ind w:right="301"/>
              <w:spacing w:after="0"/>
              <w:rPr>
                <w:sz w:val="20"/>
                <w:szCs w:val="20"/>
                <w:color w:val="auto"/>
              </w:rPr>
            </w:pPr>
            <w:r>
              <w:rPr>
                <w:rFonts w:ascii="Arial" w:cs="Arial" w:eastAsia="Arial" w:hAnsi="Arial"/>
                <w:sz w:val="16"/>
                <w:szCs w:val="16"/>
                <w:color w:val="auto"/>
              </w:rPr>
              <w:t>Equal to or greater than 5.5%</w:t>
            </w:r>
          </w:p>
        </w:tc>
        <w:tc>
          <w:tcPr>
            <w:tcW w:w="3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200%</w:t>
            </w:r>
          </w:p>
        </w:tc>
      </w:tr>
      <w:tr>
        <w:trPr>
          <w:trHeight w:val="234"/>
        </w:trPr>
        <w:tc>
          <w:tcPr>
            <w:tcW w:w="294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High Target</w:t>
            </w:r>
          </w:p>
        </w:tc>
        <w:tc>
          <w:tcPr>
            <w:tcW w:w="4880" w:type="dxa"/>
            <w:vAlign w:val="bottom"/>
            <w:tcBorders>
              <w:bottom w:val="single" w:sz="8" w:color="4C4C4C"/>
            </w:tcBorders>
          </w:tcPr>
          <w:p>
            <w:pPr>
              <w:jc w:val="right"/>
              <w:ind w:right="301"/>
              <w:spacing w:after="0"/>
              <w:rPr>
                <w:sz w:val="20"/>
                <w:szCs w:val="20"/>
                <w:color w:val="auto"/>
              </w:rPr>
            </w:pPr>
            <w:r>
              <w:rPr>
                <w:rFonts w:ascii="Arial" w:cs="Arial" w:eastAsia="Arial" w:hAnsi="Arial"/>
                <w:sz w:val="16"/>
                <w:szCs w:val="16"/>
                <w:color w:val="auto"/>
              </w:rPr>
              <w:t>4.5%</w:t>
            </w:r>
          </w:p>
        </w:tc>
        <w:tc>
          <w:tcPr>
            <w:tcW w:w="3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120%</w:t>
            </w:r>
          </w:p>
        </w:tc>
      </w:tr>
      <w:tr>
        <w:trPr>
          <w:trHeight w:val="234"/>
        </w:trPr>
        <w:tc>
          <w:tcPr>
            <w:tcW w:w="294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Target</w:t>
            </w:r>
          </w:p>
        </w:tc>
        <w:tc>
          <w:tcPr>
            <w:tcW w:w="4880" w:type="dxa"/>
            <w:vAlign w:val="bottom"/>
            <w:tcBorders>
              <w:bottom w:val="single" w:sz="8" w:color="4C4C4C"/>
            </w:tcBorders>
          </w:tcPr>
          <w:p>
            <w:pPr>
              <w:jc w:val="right"/>
              <w:ind w:right="301"/>
              <w:spacing w:after="0"/>
              <w:rPr>
                <w:sz w:val="20"/>
                <w:szCs w:val="20"/>
                <w:color w:val="auto"/>
              </w:rPr>
            </w:pPr>
            <w:r>
              <w:rPr>
                <w:rFonts w:ascii="Arial" w:cs="Arial" w:eastAsia="Arial" w:hAnsi="Arial"/>
                <w:sz w:val="16"/>
                <w:szCs w:val="16"/>
                <w:color w:val="auto"/>
              </w:rPr>
              <w:t>4.0%</w:t>
            </w:r>
          </w:p>
        </w:tc>
        <w:tc>
          <w:tcPr>
            <w:tcW w:w="3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294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Low Target</w:t>
            </w:r>
          </w:p>
        </w:tc>
        <w:tc>
          <w:tcPr>
            <w:tcW w:w="4880" w:type="dxa"/>
            <w:vAlign w:val="bottom"/>
            <w:tcBorders>
              <w:bottom w:val="single" w:sz="8" w:color="4C4C4C"/>
            </w:tcBorders>
          </w:tcPr>
          <w:p>
            <w:pPr>
              <w:jc w:val="right"/>
              <w:ind w:right="301"/>
              <w:spacing w:after="0"/>
              <w:rPr>
                <w:sz w:val="20"/>
                <w:szCs w:val="20"/>
                <w:color w:val="auto"/>
              </w:rPr>
            </w:pPr>
            <w:r>
              <w:rPr>
                <w:rFonts w:ascii="Arial" w:cs="Arial" w:eastAsia="Arial" w:hAnsi="Arial"/>
                <w:sz w:val="16"/>
                <w:szCs w:val="16"/>
                <w:color w:val="auto"/>
              </w:rPr>
              <w:t>3.5%</w:t>
            </w:r>
          </w:p>
        </w:tc>
        <w:tc>
          <w:tcPr>
            <w:tcW w:w="3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80%</w:t>
            </w:r>
          </w:p>
        </w:tc>
      </w:tr>
      <w:tr>
        <w:trPr>
          <w:trHeight w:val="234"/>
        </w:trPr>
        <w:tc>
          <w:tcPr>
            <w:tcW w:w="294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Threshold</w:t>
            </w:r>
          </w:p>
        </w:tc>
        <w:tc>
          <w:tcPr>
            <w:tcW w:w="4880" w:type="dxa"/>
            <w:vAlign w:val="bottom"/>
            <w:tcBorders>
              <w:bottom w:val="single" w:sz="8" w:color="4C4C4C"/>
            </w:tcBorders>
          </w:tcPr>
          <w:p>
            <w:pPr>
              <w:jc w:val="right"/>
              <w:ind w:right="301"/>
              <w:spacing w:after="0"/>
              <w:rPr>
                <w:sz w:val="20"/>
                <w:szCs w:val="20"/>
                <w:color w:val="auto"/>
              </w:rPr>
            </w:pPr>
            <w:r>
              <w:rPr>
                <w:rFonts w:ascii="Arial" w:cs="Arial" w:eastAsia="Arial" w:hAnsi="Arial"/>
                <w:sz w:val="16"/>
                <w:szCs w:val="16"/>
                <w:color w:val="auto"/>
              </w:rPr>
              <w:t>2.5%</w:t>
            </w:r>
          </w:p>
        </w:tc>
        <w:tc>
          <w:tcPr>
            <w:tcW w:w="3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50%</w:t>
            </w:r>
          </w:p>
        </w:tc>
      </w:tr>
      <w:tr>
        <w:trPr>
          <w:trHeight w:val="241"/>
        </w:trPr>
        <w:tc>
          <w:tcPr>
            <w:tcW w:w="2940" w:type="dxa"/>
            <w:vAlign w:val="bottom"/>
            <w:tcBorders>
              <w:bottom w:val="single" w:sz="8" w:color="C6093B"/>
            </w:tcBorders>
          </w:tcPr>
          <w:p>
            <w:pPr>
              <w:ind w:left="80"/>
              <w:spacing w:after="0"/>
              <w:rPr>
                <w:sz w:val="20"/>
                <w:szCs w:val="20"/>
                <w:color w:val="auto"/>
              </w:rPr>
            </w:pPr>
            <w:r>
              <w:rPr>
                <w:rFonts w:ascii="Arial" w:cs="Arial" w:eastAsia="Arial" w:hAnsi="Arial"/>
                <w:sz w:val="16"/>
                <w:szCs w:val="16"/>
                <w:color w:val="auto"/>
              </w:rPr>
              <w:t>No Payout</w:t>
            </w:r>
          </w:p>
        </w:tc>
        <w:tc>
          <w:tcPr>
            <w:tcW w:w="4880" w:type="dxa"/>
            <w:vAlign w:val="bottom"/>
            <w:tcBorders>
              <w:bottom w:val="single" w:sz="8" w:color="C6093B"/>
            </w:tcBorders>
          </w:tcPr>
          <w:p>
            <w:pPr>
              <w:jc w:val="right"/>
              <w:ind w:right="301"/>
              <w:spacing w:after="0"/>
              <w:rPr>
                <w:sz w:val="20"/>
                <w:szCs w:val="20"/>
                <w:color w:val="auto"/>
              </w:rPr>
            </w:pPr>
            <w:r>
              <w:rPr>
                <w:rFonts w:ascii="Arial" w:cs="Arial" w:eastAsia="Arial" w:hAnsi="Arial"/>
                <w:sz w:val="16"/>
                <w:szCs w:val="16"/>
                <w:color w:val="auto"/>
              </w:rPr>
              <w:t>Less than 2.5%</w:t>
            </w:r>
          </w:p>
        </w:tc>
        <w:tc>
          <w:tcPr>
            <w:tcW w:w="310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40</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45" w:name="page46"/>
    <w:bookmarkEnd w:id="45"/>
    <w:p>
      <w:pPr>
        <w:ind w:left="77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and (ii) for one-half of the shares granted based on the CAGR of our Adjusted EPS during the three-year performance period ending December 31, 2022,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60" w:type="dxa"/>
            <w:vAlign w:val="bottom"/>
          </w:tcPr>
          <w:p>
            <w:pPr>
              <w:jc w:val="right"/>
              <w:ind w:right="382"/>
              <w:spacing w:after="0"/>
              <w:rPr>
                <w:sz w:val="20"/>
                <w:szCs w:val="20"/>
                <w:color w:val="auto"/>
              </w:rPr>
            </w:pPr>
            <w:r>
              <w:rPr>
                <w:rFonts w:ascii="Arial" w:cs="Arial" w:eastAsia="Arial" w:hAnsi="Arial"/>
                <w:sz w:val="14"/>
                <w:szCs w:val="14"/>
                <w:b w:val="1"/>
                <w:bCs w:val="1"/>
                <w:color w:val="002856"/>
              </w:rPr>
              <w:t>Awarded Percentage of</w:t>
            </w:r>
          </w:p>
        </w:tc>
      </w:tr>
      <w:tr>
        <w:trPr>
          <w:trHeight w:val="190"/>
        </w:trPr>
        <w:tc>
          <w:tcPr>
            <w:tcW w:w="24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Performance Level</w:t>
            </w:r>
          </w:p>
        </w:tc>
        <w:tc>
          <w:tcPr>
            <w:tcW w:w="3460" w:type="dxa"/>
            <w:vAlign w:val="bottom"/>
            <w:tcBorders>
              <w:bottom w:val="single" w:sz="8" w:color="C6093B"/>
            </w:tcBorders>
          </w:tcPr>
          <w:p>
            <w:pPr>
              <w:jc w:val="right"/>
              <w:ind w:right="1021"/>
              <w:spacing w:after="0"/>
              <w:rPr>
                <w:sz w:val="20"/>
                <w:szCs w:val="20"/>
                <w:color w:val="auto"/>
              </w:rPr>
            </w:pPr>
            <w:r>
              <w:rPr>
                <w:rFonts w:ascii="Arial" w:cs="Arial" w:eastAsia="Arial" w:hAnsi="Arial"/>
                <w:sz w:val="14"/>
                <w:szCs w:val="14"/>
                <w:b w:val="1"/>
                <w:bCs w:val="1"/>
                <w:color w:val="002856"/>
              </w:rPr>
              <w:t>Adjusted EPS</w:t>
            </w:r>
          </w:p>
        </w:tc>
        <w:tc>
          <w:tcPr>
            <w:tcW w:w="2600" w:type="dxa"/>
            <w:vAlign w:val="bottom"/>
            <w:tcBorders>
              <w:bottom w:val="single" w:sz="8" w:color="C6093B"/>
            </w:tcBorders>
          </w:tcPr>
          <w:p>
            <w:pPr>
              <w:jc w:val="right"/>
              <w:ind w:right="1161"/>
              <w:spacing w:after="0"/>
              <w:rPr>
                <w:sz w:val="20"/>
                <w:szCs w:val="20"/>
                <w:color w:val="auto"/>
              </w:rPr>
            </w:pPr>
            <w:r>
              <w:rPr>
                <w:rFonts w:ascii="Arial" w:cs="Arial" w:eastAsia="Arial" w:hAnsi="Arial"/>
                <w:sz w:val="14"/>
                <w:szCs w:val="14"/>
                <w:b w:val="1"/>
                <w:bCs w:val="1"/>
                <w:color w:val="002856"/>
              </w:rPr>
              <w:t>CAGR</w:t>
            </w:r>
          </w:p>
        </w:tc>
        <w:tc>
          <w:tcPr>
            <w:tcW w:w="2460" w:type="dxa"/>
            <w:vAlign w:val="bottom"/>
            <w:tcBorders>
              <w:bottom w:val="single" w:sz="8" w:color="C6093B"/>
            </w:tcBorders>
          </w:tcPr>
          <w:p>
            <w:pPr>
              <w:jc w:val="right"/>
              <w:ind w:right="122"/>
              <w:spacing w:after="0"/>
              <w:rPr>
                <w:sz w:val="20"/>
                <w:szCs w:val="20"/>
                <w:color w:val="auto"/>
              </w:rPr>
            </w:pPr>
            <w:r>
              <w:rPr>
                <w:rFonts w:ascii="Arial" w:cs="Arial" w:eastAsia="Arial" w:hAnsi="Arial"/>
                <w:sz w:val="14"/>
                <w:szCs w:val="14"/>
                <w:b w:val="1"/>
                <w:bCs w:val="1"/>
                <w:color w:val="002856"/>
              </w:rPr>
              <w:t>Tranche 2 Performance Shares</w:t>
            </w:r>
          </w:p>
        </w:tc>
      </w:tr>
      <w:tr>
        <w:trPr>
          <w:trHeight w:val="241"/>
        </w:trPr>
        <w:tc>
          <w:tcPr>
            <w:tcW w:w="240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Maximum</w:t>
            </w:r>
          </w:p>
        </w:tc>
        <w:tc>
          <w:tcPr>
            <w:tcW w:w="346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Equal to or greater than $5.33</w:t>
            </w:r>
          </w:p>
        </w:tc>
        <w:tc>
          <w:tcPr>
            <w:tcW w:w="260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Equal to or greater than 12.0%</w:t>
            </w:r>
          </w:p>
        </w:tc>
        <w:tc>
          <w:tcPr>
            <w:tcW w:w="24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200%</w:t>
            </w:r>
          </w:p>
        </w:tc>
      </w:tr>
      <w:tr>
        <w:trPr>
          <w:trHeight w:val="234"/>
        </w:trPr>
        <w:tc>
          <w:tcPr>
            <w:tcW w:w="240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High Target</w:t>
            </w:r>
          </w:p>
        </w:tc>
        <w:tc>
          <w:tcPr>
            <w:tcW w:w="346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$5.13</w:t>
            </w:r>
          </w:p>
        </w:tc>
        <w:tc>
          <w:tcPr>
            <w:tcW w:w="260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10.0%</w:t>
            </w:r>
          </w:p>
        </w:tc>
        <w:tc>
          <w:tcPr>
            <w:tcW w:w="24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120%</w:t>
            </w:r>
          </w:p>
        </w:tc>
      </w:tr>
      <w:tr>
        <w:trPr>
          <w:trHeight w:val="234"/>
        </w:trPr>
        <w:tc>
          <w:tcPr>
            <w:tcW w:w="240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Target</w:t>
            </w:r>
          </w:p>
        </w:tc>
        <w:tc>
          <w:tcPr>
            <w:tcW w:w="346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$4.99</w:t>
            </w:r>
          </w:p>
        </w:tc>
        <w:tc>
          <w:tcPr>
            <w:tcW w:w="260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8.5%</w:t>
            </w:r>
          </w:p>
        </w:tc>
        <w:tc>
          <w:tcPr>
            <w:tcW w:w="24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240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Low Target</w:t>
            </w:r>
          </w:p>
        </w:tc>
        <w:tc>
          <w:tcPr>
            <w:tcW w:w="346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$4.85</w:t>
            </w:r>
          </w:p>
        </w:tc>
        <w:tc>
          <w:tcPr>
            <w:tcW w:w="260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7.0%</w:t>
            </w:r>
          </w:p>
        </w:tc>
        <w:tc>
          <w:tcPr>
            <w:tcW w:w="24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80%</w:t>
            </w:r>
          </w:p>
        </w:tc>
      </w:tr>
      <w:tr>
        <w:trPr>
          <w:trHeight w:val="234"/>
        </w:trPr>
        <w:tc>
          <w:tcPr>
            <w:tcW w:w="240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Threshold</w:t>
            </w:r>
          </w:p>
        </w:tc>
        <w:tc>
          <w:tcPr>
            <w:tcW w:w="346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$4.76</w:t>
            </w:r>
          </w:p>
        </w:tc>
        <w:tc>
          <w:tcPr>
            <w:tcW w:w="260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6.0%</w:t>
            </w:r>
          </w:p>
        </w:tc>
        <w:tc>
          <w:tcPr>
            <w:tcW w:w="24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50%</w:t>
            </w:r>
          </w:p>
        </w:tc>
      </w:tr>
      <w:tr>
        <w:trPr>
          <w:trHeight w:val="241"/>
        </w:trPr>
        <w:tc>
          <w:tcPr>
            <w:tcW w:w="2400" w:type="dxa"/>
            <w:vAlign w:val="bottom"/>
            <w:tcBorders>
              <w:bottom w:val="single" w:sz="8" w:color="C6093B"/>
            </w:tcBorders>
          </w:tcPr>
          <w:p>
            <w:pPr>
              <w:ind w:left="80"/>
              <w:spacing w:after="0"/>
              <w:rPr>
                <w:sz w:val="20"/>
                <w:szCs w:val="20"/>
                <w:color w:val="auto"/>
              </w:rPr>
            </w:pPr>
            <w:r>
              <w:rPr>
                <w:rFonts w:ascii="Arial" w:cs="Arial" w:eastAsia="Arial" w:hAnsi="Arial"/>
                <w:sz w:val="16"/>
                <w:szCs w:val="16"/>
                <w:color w:val="auto"/>
              </w:rPr>
              <w:t>No Payout</w:t>
            </w:r>
          </w:p>
        </w:tc>
        <w:tc>
          <w:tcPr>
            <w:tcW w:w="3460" w:type="dxa"/>
            <w:vAlign w:val="bottom"/>
            <w:tcBorders>
              <w:bottom w:val="single" w:sz="8" w:color="C6093B"/>
            </w:tcBorders>
          </w:tcPr>
          <w:p>
            <w:pPr>
              <w:jc w:val="right"/>
              <w:ind w:right="181"/>
              <w:spacing w:after="0"/>
              <w:rPr>
                <w:sz w:val="20"/>
                <w:szCs w:val="20"/>
                <w:color w:val="auto"/>
              </w:rPr>
            </w:pPr>
            <w:r>
              <w:rPr>
                <w:rFonts w:ascii="Arial" w:cs="Arial" w:eastAsia="Arial" w:hAnsi="Arial"/>
                <w:sz w:val="16"/>
                <w:szCs w:val="16"/>
                <w:color w:val="auto"/>
              </w:rPr>
              <w:t>Less than $4.76</w:t>
            </w:r>
          </w:p>
        </w:tc>
        <w:tc>
          <w:tcPr>
            <w:tcW w:w="2600" w:type="dxa"/>
            <w:vAlign w:val="bottom"/>
            <w:tcBorders>
              <w:bottom w:val="single" w:sz="8" w:color="C6093B"/>
            </w:tcBorders>
          </w:tcPr>
          <w:p>
            <w:pPr>
              <w:jc w:val="right"/>
              <w:ind w:right="61"/>
              <w:spacing w:after="0"/>
              <w:rPr>
                <w:sz w:val="20"/>
                <w:szCs w:val="20"/>
                <w:color w:val="auto"/>
              </w:rPr>
            </w:pPr>
            <w:r>
              <w:rPr>
                <w:rFonts w:ascii="Arial" w:cs="Arial" w:eastAsia="Arial" w:hAnsi="Arial"/>
                <w:sz w:val="16"/>
                <w:szCs w:val="16"/>
                <w:color w:val="auto"/>
              </w:rPr>
              <w:t>Less than 6.0%</w:t>
            </w:r>
          </w:p>
        </w:tc>
        <w:tc>
          <w:tcPr>
            <w:tcW w:w="246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0%</w:t>
            </w:r>
          </w:p>
        </w:tc>
      </w:tr>
    </w:tbl>
    <w:p>
      <w:pPr>
        <w:spacing w:after="0" w:line="16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the actual performance level for each performance condition falls in between any of the performance levels, the percentage of shares that are awarded is determined based on straight-line interpolation.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2023, the Compensation Committee determined that:</w:t>
      </w:r>
    </w:p>
    <w:p>
      <w:pPr>
        <w:spacing w:after="0" w:line="217" w:lineRule="exact"/>
        <w:rPr>
          <w:sz w:val="20"/>
          <w:szCs w:val="20"/>
          <w:color w:val="auto"/>
        </w:rPr>
      </w:pPr>
    </w:p>
    <w:p>
      <w:pPr>
        <w:ind w:left="220" w:right="40" w:hanging="213"/>
        <w:spacing w:after="0" w:line="256"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cumulative Average Organic Revenue Growth, which in 2021 and 2022, excluded Foreign Currency Translation, and which in 2022, included guaranteed supplemental commissions (“GSCs”) as part of core commissions and fees, and, therefore, as a component of Average Organic Sales Growth, during the performance period was 7.4% and, therefore, fell above the maximum performance level, resulting in a payout percentage of 200% of the target and</w:t>
      </w:r>
    </w:p>
    <w:p>
      <w:pPr>
        <w:spacing w:after="0" w:line="44" w:lineRule="exact"/>
        <w:rPr>
          <w:rFonts w:ascii="Arial" w:cs="Arial" w:eastAsia="Arial" w:hAnsi="Arial"/>
          <w:sz w:val="16"/>
          <w:szCs w:val="16"/>
          <w:color w:val="auto"/>
        </w:rPr>
      </w:pPr>
    </w:p>
    <w:p>
      <w:pPr>
        <w:jc w:val="both"/>
        <w:ind w:left="220" w:right="80" w:hanging="213"/>
        <w:spacing w:after="0" w:line="256"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Adjusted EPS, which in 2020 excluded a legal judgment entered into against the Company in 2020 for approximately $6.6 million (the “2020 Legal Matter”), and which in 2022 excluded the positive impact of the decrease in expense we recognized related to the 2020 Legal Matter and the negative impact of Acquisition/Integration Costs, during the performance period was $6.16 and, therefore, fell above the maximum performance level, resulting in a payout percentage of 200% of the target.</w:t>
      </w:r>
    </w:p>
    <w:p>
      <w:pPr>
        <w:spacing w:after="0" w:line="13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The Compensation Committee concluded that it was desirable to make certain adjustments in the calculations of the Company’s actual performance, as follows:</w:t>
      </w:r>
    </w:p>
    <w:p>
      <w:pPr>
        <w:spacing w:after="0" w:line="161" w:lineRule="exact"/>
        <w:rPr>
          <w:sz w:val="20"/>
          <w:szCs w:val="20"/>
          <w:color w:val="auto"/>
        </w:rPr>
      </w:pPr>
    </w:p>
    <w:p>
      <w:pPr>
        <w:ind w:left="220" w:right="120" w:hanging="213"/>
        <w:spacing w:after="0" w:line="279" w:lineRule="auto"/>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Average Organic Revenue Growth excluded Foreign Currency Translation because fluctuations in Foreign Currency Translation are not related to the performance of the Company and</w:t>
      </w:r>
    </w:p>
    <w:p>
      <w:pPr>
        <w:spacing w:after="0" w:line="26" w:lineRule="exact"/>
        <w:rPr>
          <w:rFonts w:ascii="Arial" w:cs="Arial" w:eastAsia="Arial" w:hAnsi="Arial"/>
          <w:sz w:val="16"/>
          <w:szCs w:val="16"/>
          <w:color w:val="auto"/>
        </w:rPr>
      </w:pPr>
    </w:p>
    <w:p>
      <w:pPr>
        <w:jc w:val="both"/>
        <w:ind w:left="220" w:right="200" w:hanging="213"/>
        <w:spacing w:after="0" w:line="262" w:lineRule="auto"/>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Average Organic Revenue Growth included GSCs as part of core commissions and fees, and, therefore, as a component of Average Organic Sales Growth to align the treatment of GSCs with incentives received for the placement of employee benefits coverage, as how the Company earns GSCs and other incentives is substantially identical.</w:t>
      </w:r>
    </w:p>
    <w:p>
      <w:pPr>
        <w:spacing w:after="0" w:line="39" w:lineRule="exact"/>
        <w:rPr>
          <w:rFonts w:ascii="Arial" w:cs="Arial" w:eastAsia="Arial" w:hAnsi="Arial"/>
          <w:sz w:val="16"/>
          <w:szCs w:val="16"/>
          <w:color w:val="auto"/>
        </w:rPr>
      </w:pPr>
    </w:p>
    <w:p>
      <w:pPr>
        <w:ind w:left="220" w:right="140" w:hanging="213"/>
        <w:spacing w:after="0" w:line="262" w:lineRule="auto"/>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EPS excluded the negative after-tax impact of the 2020 Legal Matter in 2020 and the positive impact of the decrease in expense we recognized related to the 2020 Legal Matter in 2022 because the underlying legal matter was related to the pre-acquisition activities of a business we acquired in 2012 and was not related to the performance of the Company and</w:t>
      </w:r>
    </w:p>
    <w:p>
      <w:pPr>
        <w:spacing w:after="0" w:line="39" w:lineRule="exact"/>
        <w:rPr>
          <w:rFonts w:ascii="Arial" w:cs="Arial" w:eastAsia="Arial" w:hAnsi="Arial"/>
          <w:sz w:val="16"/>
          <w:szCs w:val="16"/>
          <w:color w:val="auto"/>
        </w:rPr>
      </w:pPr>
    </w:p>
    <w:p>
      <w:pPr>
        <w:ind w:left="220" w:right="40" w:hanging="213"/>
        <w:spacing w:after="0" w:line="262" w:lineRule="auto"/>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EPS excluded the negative impact of Acquisition/Integration Costs in 2022 because these costs were related to the Company’s acquisition of these business, and not the underlying performance of the businesses themselves, and the fact that they were not expected to occur on an ongoing basis in the future.</w:t>
      </w:r>
    </w:p>
    <w:p>
      <w:pPr>
        <w:spacing w:after="0" w:line="133"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Upon the Compensation Committee’s certification of these performance conditions, the following Named Executive Officers gained dividend rights and voting entitlement with respect to the indicated number of shares: Mr. Powell Brown – 92,764; Mr. Watts – 21,644; Mr. Barrett Brown – 15,460; Mr. Penny</w:t>
      </w:r>
    </w:p>
    <w:p>
      <w:pPr>
        <w:spacing w:after="0" w:line="1"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 15,460 and Mr. Walker – 15,460. Except in limited circumstances, these shares will become fully vested on February 21, 2025, provided, the grantee remains continuously employed by us until such date.</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b w:val="1"/>
          <w:bCs w:val="1"/>
          <w:color w:val="1D4F90"/>
        </w:rPr>
        <w:t>Annex A</w:t>
      </w:r>
      <w:r>
        <w:rPr>
          <w:rFonts w:ascii="Arial" w:cs="Arial" w:eastAsia="Arial" w:hAnsi="Arial"/>
          <w:sz w:val="16"/>
          <w:szCs w:val="16"/>
          <w:color w:val="auto"/>
        </w:rPr>
        <w:t xml:space="preserve"> for additional information regarding Adjusted EPS, Organic Revenue growth and Organic Revenue growth – adjusted, which are non-GAAP financial measures, including a reconciliation to the most closely comparable GAAP financial measure.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2024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2024 Comparative Market Assessment</w:t>
      </w:r>
    </w:p>
    <w:p>
      <w:pPr>
        <w:spacing w:after="0" w:line="105"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In January 2024, FW Cook conducted a comprehensive analysis of our pay practices and executive compensation levels as compared to a group of our peers (the “January 2024 Comparative Market Assessment”), which the Compensation Committee considered, among other things, in connection with certain pay adjustments for our executive officers in 2024, as described below.</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41</w:t>
      </w:r>
    </w:p>
    <w:p>
      <w:pPr>
        <w:sectPr>
          <w:pgSz w:w="11900" w:h="16838" w:orient="portrait"/>
          <w:cols w:equalWidth="0" w:num="1">
            <w:col w:w="10920"/>
          </w:cols>
          <w:pgMar w:left="480" w:top="304" w:right="49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Peer Comparison Group</w:t>
      </w:r>
    </w:p>
    <w:p>
      <w:pPr>
        <w:spacing w:after="0" w:line="105"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For the January 2024 Comparative Market Assessment, FW Cook focused on our Peer Comparison Group. For a discussion of the Peer Comparison Group, including a list of peers comprising the Peer Comparison Group, see “2023 Director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Survey Comparison</w:t>
      </w:r>
    </w:p>
    <w:p>
      <w:pPr>
        <w:spacing w:after="0" w:line="10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As part of the January 2024 Comparative Market Assessment, the Compensation Committee also reviewed and considered data from the 2023 FW Cook Executive Compensation Survey and one additional third-party survey.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Results of the January 2024 Comparative Market Assessment</w:t>
      </w:r>
    </w:p>
    <w:p>
      <w:pPr>
        <w:spacing w:after="0" w:line="105"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Based upon the results of the January 2024 Comparative Market Assessment, the Compensation Committee determined, among other things, the following:</w:t>
      </w:r>
    </w:p>
    <w:p>
      <w:pPr>
        <w:spacing w:after="0" w:line="67" w:lineRule="exact"/>
        <w:rPr>
          <w:sz w:val="20"/>
          <w:szCs w:val="20"/>
          <w:color w:val="auto"/>
        </w:rPr>
      </w:pPr>
    </w:p>
    <w:p>
      <w:pPr>
        <w:ind w:left="220" w:right="320" w:hanging="213"/>
        <w:spacing w:after="0" w:line="279"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total 2023 direct compensation for Messrs. Powell Brown and Watts, which includes their base salary, target cash incentive amount and target long-term equity incentives, was below the peer group median and the general industry median.</w:t>
      </w:r>
    </w:p>
    <w:p>
      <w:pPr>
        <w:spacing w:after="0" w:line="67" w:lineRule="exact"/>
        <w:rPr>
          <w:rFonts w:ascii="Arial" w:cs="Arial" w:eastAsia="Arial" w:hAnsi="Arial"/>
          <w:sz w:val="16"/>
          <w:szCs w:val="16"/>
          <w:color w:val="auto"/>
        </w:rPr>
      </w:pPr>
    </w:p>
    <w:p>
      <w:pPr>
        <w:ind w:left="220" w:right="280" w:hanging="213"/>
        <w:spacing w:after="0" w:line="262"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total 2023 direct compensation for Messrs. Barrett Brown and Walker was below the peer group median, which the Compensation Committee concluded offered the most direct comparison for each of them, given the limited availability of comparable pay data among the general industry for each of their roles.</w:t>
      </w:r>
    </w:p>
    <w:p>
      <w:pPr>
        <w:spacing w:after="0" w:line="79" w:lineRule="exact"/>
        <w:rPr>
          <w:rFonts w:ascii="Arial" w:cs="Arial" w:eastAsia="Arial" w:hAnsi="Arial"/>
          <w:sz w:val="16"/>
          <w:szCs w:val="16"/>
          <w:color w:val="auto"/>
        </w:rPr>
      </w:pPr>
    </w:p>
    <w:p>
      <w:pPr>
        <w:ind w:left="220" w:right="40" w:hanging="213"/>
        <w:spacing w:after="0" w:line="279"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total 2023 direct compensation for Mr. Penny was only slightly higher than the peer group median, which the Compensation Committee concluded offered the most direct comparison for him, given the limited availability of comparable pay data among the general industry for his role.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Compensation Committee applied pay rate adjustments for all of the Named Executive Officers for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2024 Base Salaries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January 2024, the Compensation Committee increased the base salaries for each of the Named Executive Officers,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8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4020" w:type="dxa"/>
            <w:vAlign w:val="bottom"/>
            <w:tcBorders>
              <w:bottom w:val="single" w:sz="8" w:color="C6093B"/>
            </w:tcBorders>
            <w:gridSpan w:val="2"/>
          </w:tcPr>
          <w:p>
            <w:pPr>
              <w:ind w:left="2520"/>
              <w:spacing w:after="0"/>
              <w:rPr>
                <w:sz w:val="20"/>
                <w:szCs w:val="20"/>
                <w:color w:val="auto"/>
              </w:rPr>
            </w:pPr>
            <w:r>
              <w:rPr>
                <w:rFonts w:ascii="Arial" w:cs="Arial" w:eastAsia="Arial" w:hAnsi="Arial"/>
                <w:sz w:val="14"/>
                <w:szCs w:val="14"/>
                <w:b w:val="1"/>
                <w:bCs w:val="1"/>
                <w:color w:val="002856"/>
              </w:rPr>
              <w:t>2024 Base Salary</w:t>
            </w:r>
          </w:p>
        </w:tc>
        <w:tc>
          <w:tcPr>
            <w:tcW w:w="1820" w:type="dxa"/>
            <w:vAlign w:val="bottom"/>
            <w:tcBorders>
              <w:bottom w:val="single" w:sz="8" w:color="C6093B"/>
            </w:tcBorders>
            <w:gridSpan w:val="2"/>
          </w:tcPr>
          <w:p>
            <w:pPr>
              <w:ind w:left="320"/>
              <w:spacing w:after="0"/>
              <w:rPr>
                <w:sz w:val="20"/>
                <w:szCs w:val="20"/>
                <w:color w:val="auto"/>
              </w:rPr>
            </w:pPr>
            <w:r>
              <w:rPr>
                <w:rFonts w:ascii="Arial" w:cs="Arial" w:eastAsia="Arial" w:hAnsi="Arial"/>
                <w:sz w:val="14"/>
                <w:szCs w:val="14"/>
                <w:b w:val="1"/>
                <w:bCs w:val="1"/>
                <w:color w:val="002856"/>
              </w:rPr>
              <w:t>2023 Base Salary</w:t>
            </w:r>
          </w:p>
        </w:tc>
        <w:tc>
          <w:tcPr>
            <w:tcW w:w="1200" w:type="dxa"/>
            <w:vAlign w:val="bottom"/>
            <w:tcBorders>
              <w:bottom w:val="single" w:sz="8" w:color="C6093B"/>
            </w:tcBorders>
          </w:tcPr>
          <w:p>
            <w:pPr>
              <w:jc w:val="right"/>
              <w:ind w:right="201"/>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2800" w:type="dxa"/>
            <w:vAlign w:val="bottom"/>
            <w:tcBorders>
              <w:bottom w:val="single" w:sz="8" w:color="4C4C4C"/>
            </w:tcBorders>
          </w:tcPr>
          <w:p>
            <w:pPr>
              <w:ind w:left="25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1,250,000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1,000,000</w:t>
            </w:r>
          </w:p>
        </w:tc>
        <w:tc>
          <w:tcPr>
            <w:tcW w:w="1200" w:type="dxa"/>
            <w:vAlign w:val="bottom"/>
            <w:tcBorders>
              <w:bottom w:val="single" w:sz="8" w:color="4C4C4C"/>
            </w:tcBorders>
          </w:tcPr>
          <w:p>
            <w:pPr>
              <w:jc w:val="right"/>
              <w:spacing w:after="0" w:line="241" w:lineRule="exact"/>
              <w:rPr>
                <w:sz w:val="20"/>
                <w:szCs w:val="20"/>
                <w:color w:val="auto"/>
              </w:rPr>
            </w:pPr>
            <w:r>
              <w:rPr>
                <w:rFonts w:ascii="Arial" w:cs="Arial" w:eastAsia="Arial" w:hAnsi="Arial"/>
                <w:sz w:val="16"/>
                <w:szCs w:val="16"/>
                <w:color w:val="auto"/>
              </w:rPr>
              <w:t>$250,000</w:t>
            </w:r>
            <w:r>
              <w:rPr>
                <w:rFonts w:ascii="Arial" w:cs="Arial" w:eastAsia="Arial" w:hAnsi="Arial"/>
                <w:sz w:val="24"/>
                <w:szCs w:val="24"/>
                <w:color w:val="auto"/>
                <w:vertAlign w:val="superscript"/>
              </w:rPr>
              <w:t>(1)</w:t>
            </w: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2800" w:type="dxa"/>
            <w:vAlign w:val="bottom"/>
            <w:tcBorders>
              <w:bottom w:val="single" w:sz="8" w:color="4C4C4C"/>
            </w:tcBorders>
          </w:tcPr>
          <w:p>
            <w:pPr>
              <w:ind w:left="25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650,000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$150,000</w:t>
            </w:r>
            <w:r>
              <w:rPr>
                <w:rFonts w:ascii="Arial" w:cs="Arial" w:eastAsia="Arial" w:hAnsi="Arial"/>
                <w:sz w:val="24"/>
                <w:szCs w:val="24"/>
                <w:color w:val="auto"/>
                <w:vertAlign w:val="superscript"/>
              </w:rPr>
              <w:t>(2)</w:t>
            </w: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2800" w:type="dxa"/>
            <w:vAlign w:val="bottom"/>
            <w:tcBorders>
              <w:bottom w:val="single" w:sz="8" w:color="4C4C4C"/>
            </w:tcBorders>
          </w:tcPr>
          <w:p>
            <w:pPr>
              <w:ind w:left="25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1,000,000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800,000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$200,000</w:t>
            </w:r>
            <w:r>
              <w:rPr>
                <w:rFonts w:ascii="Arial" w:cs="Arial" w:eastAsia="Arial" w:hAnsi="Arial"/>
                <w:sz w:val="24"/>
                <w:szCs w:val="24"/>
                <w:color w:val="auto"/>
                <w:vertAlign w:val="superscript"/>
              </w:rPr>
              <w:t>(3)</w:t>
            </w: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2800" w:type="dxa"/>
            <w:vAlign w:val="bottom"/>
            <w:tcBorders>
              <w:bottom w:val="single" w:sz="8" w:color="4C4C4C"/>
            </w:tcBorders>
          </w:tcPr>
          <w:p>
            <w:pPr>
              <w:ind w:left="25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700,000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$100,000</w:t>
            </w:r>
            <w:r>
              <w:rPr>
                <w:rFonts w:ascii="Arial" w:cs="Arial" w:eastAsia="Arial" w:hAnsi="Arial"/>
                <w:sz w:val="24"/>
                <w:szCs w:val="24"/>
                <w:color w:val="auto"/>
                <w:vertAlign w:val="superscript"/>
              </w:rPr>
              <w:t>(4)</w:t>
            </w:r>
          </w:p>
        </w:tc>
      </w:tr>
      <w:tr>
        <w:trPr>
          <w:trHeight w:val="241"/>
        </w:trPr>
        <w:tc>
          <w:tcPr>
            <w:tcW w:w="388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2800" w:type="dxa"/>
            <w:vAlign w:val="bottom"/>
            <w:tcBorders>
              <w:bottom w:val="single" w:sz="8" w:color="C6093B"/>
            </w:tcBorders>
          </w:tcPr>
          <w:p>
            <w:pPr>
              <w:ind w:left="25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900,000</w:t>
            </w:r>
          </w:p>
        </w:tc>
        <w:tc>
          <w:tcPr>
            <w:tcW w:w="600" w:type="dxa"/>
            <w:vAlign w:val="bottom"/>
            <w:tcBorders>
              <w:bottom w:val="single" w:sz="8" w:color="C6093B"/>
            </w:tcBorders>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800,000</w:t>
            </w:r>
          </w:p>
        </w:tc>
        <w:tc>
          <w:tcPr>
            <w:tcW w:w="1200" w:type="dxa"/>
            <w:vAlign w:val="bottom"/>
            <w:tcBorders>
              <w:bottom w:val="single" w:sz="8" w:color="C6093B"/>
            </w:tcBorders>
          </w:tcPr>
          <w:p>
            <w:pPr>
              <w:jc w:val="right"/>
              <w:spacing w:after="0" w:line="234" w:lineRule="exact"/>
              <w:rPr>
                <w:sz w:val="20"/>
                <w:szCs w:val="20"/>
                <w:color w:val="auto"/>
              </w:rPr>
            </w:pPr>
            <w:r>
              <w:rPr>
                <w:rFonts w:ascii="Arial" w:cs="Arial" w:eastAsia="Arial" w:hAnsi="Arial"/>
                <w:sz w:val="16"/>
                <w:szCs w:val="16"/>
                <w:color w:val="auto"/>
              </w:rPr>
              <w:t>$100,000</w:t>
            </w:r>
            <w:r>
              <w:rPr>
                <w:rFonts w:ascii="Arial" w:cs="Arial" w:eastAsia="Arial" w:hAnsi="Arial"/>
                <w:sz w:val="24"/>
                <w:szCs w:val="24"/>
                <w:color w:val="auto"/>
                <w:vertAlign w:val="superscript"/>
              </w:rPr>
              <w:t>(5)</w:t>
            </w:r>
          </w:p>
        </w:tc>
      </w:tr>
    </w:tbl>
    <w:p>
      <w:pPr>
        <w:spacing w:after="0" w:line="62" w:lineRule="exact"/>
        <w:rPr>
          <w:sz w:val="20"/>
          <w:szCs w:val="20"/>
          <w:color w:val="auto"/>
        </w:rPr>
      </w:pPr>
    </w:p>
    <w:p>
      <w:pPr>
        <w:ind w:left="220" w:right="120" w:hanging="213"/>
        <w:spacing w:after="0" w:line="201" w:lineRule="auto"/>
        <w:tabs>
          <w:tab w:leader="none" w:pos="220"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Powell Brown’s 2024 base salary from $1,000,000 to $1,250,000 was based upon the January 2024 Comparative Market Assessment and the fact that 2023 target total pay for Mr. Powell Brown is slightly higher than the peer group median but less than the general industry median.</w:t>
      </w:r>
    </w:p>
    <w:p>
      <w:pPr>
        <w:spacing w:after="0" w:line="49" w:lineRule="exact"/>
        <w:rPr>
          <w:rFonts w:ascii="Arial" w:cs="Arial" w:eastAsia="Arial" w:hAnsi="Arial"/>
          <w:sz w:val="19"/>
          <w:szCs w:val="19"/>
          <w:color w:val="auto"/>
          <w:vertAlign w:val="superscript"/>
        </w:rPr>
      </w:pPr>
    </w:p>
    <w:p>
      <w:pPr>
        <w:ind w:left="220" w:right="140" w:hanging="213"/>
        <w:spacing w:after="0" w:line="201" w:lineRule="auto"/>
        <w:tabs>
          <w:tab w:leader="none" w:pos="220"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2024 base salary from $650,000 to $800,000 was based upon the January 2024 Comparative Market Assessment and the fact that 2023 target total pay for Mr. Watts is below the peer group median and the general industry median.</w:t>
      </w:r>
    </w:p>
    <w:p>
      <w:pPr>
        <w:spacing w:after="0" w:line="49" w:lineRule="exact"/>
        <w:rPr>
          <w:rFonts w:ascii="Arial" w:cs="Arial" w:eastAsia="Arial" w:hAnsi="Arial"/>
          <w:sz w:val="19"/>
          <w:szCs w:val="19"/>
          <w:color w:val="auto"/>
          <w:vertAlign w:val="superscript"/>
        </w:rPr>
      </w:pPr>
    </w:p>
    <w:p>
      <w:pPr>
        <w:ind w:left="220" w:right="220" w:hanging="213"/>
        <w:spacing w:after="0" w:line="201" w:lineRule="auto"/>
        <w:tabs>
          <w:tab w:leader="none" w:pos="220"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Barrett Brown’s 2024 base salary from $800,000 to $1,000,000 was based upon the January 2024 Comparative Market Assessment and the fact that 2023 target total pay for Mr. Barrett Brown is below the peer group median.</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Penny’s 2024 base salary from $700,000 to $800,000 was based upon the January 2024 Comparative Market Assessment and the fact that 2023 target total pay for Mr. Penny is only slightly higher than the peer group median.</w:t>
      </w:r>
    </w:p>
    <w:p>
      <w:pPr>
        <w:spacing w:after="0" w:line="49" w:lineRule="exact"/>
        <w:rPr>
          <w:rFonts w:ascii="Arial" w:cs="Arial" w:eastAsia="Arial" w:hAnsi="Arial"/>
          <w:sz w:val="19"/>
          <w:szCs w:val="19"/>
          <w:color w:val="auto"/>
          <w:vertAlign w:val="superscript"/>
        </w:rPr>
      </w:pPr>
    </w:p>
    <w:p>
      <w:pPr>
        <w:ind w:left="220" w:right="20" w:hanging="213"/>
        <w:spacing w:after="0" w:line="201" w:lineRule="auto"/>
        <w:tabs>
          <w:tab w:leader="none" w:pos="220" w:val="left"/>
        </w:tabs>
        <w:numPr>
          <w:ilvl w:val="0"/>
          <w:numId w:val="32"/>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Walker’s 2024 base salary from $800,000 to $900,000 was based upon the January 2024 Comparative Market Assessment and the fact that 2023 target total pay for Mr. Walker is below the peer group median.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2024 Annual Cash Incentives</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February 2024, the Compensation Committee determined not to change the components of our annual executive officer cash incentives or the weighting of each component. However, based upon the recommendation of our Chief Executive Officer and, with respect to our Chief Executive Officer, based upon the Compensation Committee’s annual evaluation of our Chief Executive Officer’s performance, as well as input from FW Cook, the following target cash incentive amounts for our Named Executive Officers were approved by our Compensation Committee in February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040" w:type="dxa"/>
            <w:vAlign w:val="bottom"/>
            <w:gridSpan w:val="2"/>
          </w:tcPr>
          <w:p>
            <w:pPr>
              <w:ind w:left="2520"/>
              <w:spacing w:after="0"/>
              <w:rPr>
                <w:sz w:val="20"/>
                <w:szCs w:val="20"/>
                <w:color w:val="auto"/>
              </w:rPr>
            </w:pPr>
            <w:r>
              <w:rPr>
                <w:rFonts w:ascii="Arial" w:cs="Arial" w:eastAsia="Arial" w:hAnsi="Arial"/>
                <w:sz w:val="14"/>
                <w:szCs w:val="14"/>
                <w:b w:val="1"/>
                <w:bCs w:val="1"/>
                <w:color w:val="002856"/>
              </w:rPr>
              <w:t>2024 Target Cash</w:t>
            </w: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002856"/>
              </w:rPr>
              <w:t>2023 Target Cash</w:t>
            </w:r>
          </w:p>
        </w:tc>
        <w:tc>
          <w:tcPr>
            <w:tcW w:w="1200" w:type="dxa"/>
            <w:vAlign w:val="bottom"/>
          </w:tcPr>
          <w:p>
            <w:pPr>
              <w:spacing w:after="0"/>
              <w:rPr>
                <w:sz w:val="14"/>
                <w:szCs w:val="14"/>
                <w:color w:val="auto"/>
              </w:rPr>
            </w:pPr>
          </w:p>
        </w:tc>
      </w:tr>
      <w:tr>
        <w:trPr>
          <w:trHeight w:val="177"/>
        </w:trPr>
        <w:tc>
          <w:tcPr>
            <w:tcW w:w="384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4040" w:type="dxa"/>
            <w:vAlign w:val="bottom"/>
            <w:tcBorders>
              <w:bottom w:val="single" w:sz="8" w:color="C6093B"/>
            </w:tcBorders>
            <w:gridSpan w:val="2"/>
          </w:tcPr>
          <w:p>
            <w:pPr>
              <w:ind w:left="2520"/>
              <w:spacing w:after="0"/>
              <w:rPr>
                <w:sz w:val="20"/>
                <w:szCs w:val="20"/>
                <w:color w:val="auto"/>
              </w:rPr>
            </w:pPr>
            <w:r>
              <w:rPr>
                <w:rFonts w:ascii="Arial" w:cs="Arial" w:eastAsia="Arial" w:hAnsi="Arial"/>
                <w:sz w:val="14"/>
                <w:szCs w:val="14"/>
                <w:b w:val="1"/>
                <w:bCs w:val="1"/>
                <w:color w:val="002856"/>
              </w:rPr>
              <w:t>Incentive Amount</w:t>
            </w:r>
          </w:p>
        </w:tc>
        <w:tc>
          <w:tcPr>
            <w:tcW w:w="1840" w:type="dxa"/>
            <w:vAlign w:val="bottom"/>
            <w:tcBorders>
              <w:bottom w:val="single" w:sz="8" w:color="C6093B"/>
            </w:tcBorders>
            <w:gridSpan w:val="2"/>
          </w:tcPr>
          <w:p>
            <w:pPr>
              <w:ind w:left="320"/>
              <w:spacing w:after="0"/>
              <w:rPr>
                <w:sz w:val="20"/>
                <w:szCs w:val="20"/>
                <w:color w:val="auto"/>
              </w:rPr>
            </w:pPr>
            <w:r>
              <w:rPr>
                <w:rFonts w:ascii="Arial" w:cs="Arial" w:eastAsia="Arial" w:hAnsi="Arial"/>
                <w:sz w:val="14"/>
                <w:szCs w:val="14"/>
                <w:b w:val="1"/>
                <w:bCs w:val="1"/>
                <w:color w:val="002856"/>
              </w:rPr>
              <w:t>Incentive Amount</w:t>
            </w:r>
          </w:p>
        </w:tc>
        <w:tc>
          <w:tcPr>
            <w:tcW w:w="1200" w:type="dxa"/>
            <w:vAlign w:val="bottom"/>
            <w:tcBorders>
              <w:bottom w:val="single" w:sz="8" w:color="C6093B"/>
            </w:tcBorders>
          </w:tcPr>
          <w:p>
            <w:pPr>
              <w:jc w:val="right"/>
              <w:ind w:right="201"/>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38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2800" w:type="dxa"/>
            <w:vAlign w:val="bottom"/>
            <w:tcBorders>
              <w:bottom w:val="single" w:sz="8" w:color="4C4C4C"/>
            </w:tcBorders>
          </w:tcPr>
          <w:p>
            <w:pPr>
              <w:ind w:left="2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3,750,000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3,000,000</w:t>
            </w:r>
          </w:p>
        </w:tc>
        <w:tc>
          <w:tcPr>
            <w:tcW w:w="1200" w:type="dxa"/>
            <w:vAlign w:val="bottom"/>
            <w:tcBorders>
              <w:bottom w:val="single" w:sz="8" w:color="4C4C4C"/>
            </w:tcBorders>
          </w:tcPr>
          <w:p>
            <w:pPr>
              <w:jc w:val="right"/>
              <w:spacing w:after="0" w:line="241" w:lineRule="exact"/>
              <w:rPr>
                <w:sz w:val="20"/>
                <w:szCs w:val="20"/>
                <w:color w:val="auto"/>
              </w:rPr>
            </w:pPr>
            <w:r>
              <w:rPr>
                <w:rFonts w:ascii="Arial" w:cs="Arial" w:eastAsia="Arial" w:hAnsi="Arial"/>
                <w:sz w:val="16"/>
                <w:szCs w:val="16"/>
                <w:color w:val="auto"/>
              </w:rPr>
              <w:t>$750,000</w:t>
            </w:r>
            <w:r>
              <w:rPr>
                <w:rFonts w:ascii="Arial" w:cs="Arial" w:eastAsia="Arial" w:hAnsi="Arial"/>
                <w:sz w:val="24"/>
                <w:szCs w:val="24"/>
                <w:color w:val="auto"/>
                <w:vertAlign w:val="superscript"/>
              </w:rPr>
              <w:t>(1)</w:t>
            </w:r>
          </w:p>
        </w:tc>
      </w:tr>
      <w:tr>
        <w:trPr>
          <w:trHeight w:val="234"/>
        </w:trPr>
        <w:tc>
          <w:tcPr>
            <w:tcW w:w="38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2800" w:type="dxa"/>
            <w:vAlign w:val="bottom"/>
            <w:tcBorders>
              <w:bottom w:val="single" w:sz="8" w:color="4C4C4C"/>
            </w:tcBorders>
          </w:tcPr>
          <w:p>
            <w:pPr>
              <w:ind w:left="2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1,000,000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850,000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$150,000</w:t>
            </w:r>
            <w:r>
              <w:rPr>
                <w:rFonts w:ascii="Arial" w:cs="Arial" w:eastAsia="Arial" w:hAnsi="Arial"/>
                <w:sz w:val="24"/>
                <w:szCs w:val="24"/>
                <w:color w:val="auto"/>
                <w:vertAlign w:val="superscript"/>
              </w:rPr>
              <w:t>(2)</w:t>
            </w:r>
          </w:p>
        </w:tc>
      </w:tr>
      <w:tr>
        <w:trPr>
          <w:trHeight w:val="234"/>
        </w:trPr>
        <w:tc>
          <w:tcPr>
            <w:tcW w:w="38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2800" w:type="dxa"/>
            <w:vAlign w:val="bottom"/>
            <w:tcBorders>
              <w:bottom w:val="single" w:sz="8" w:color="4C4C4C"/>
            </w:tcBorders>
          </w:tcPr>
          <w:p>
            <w:pPr>
              <w:ind w:left="2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1,800,000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1,400,000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$400,000</w:t>
            </w:r>
            <w:r>
              <w:rPr>
                <w:rFonts w:ascii="Arial" w:cs="Arial" w:eastAsia="Arial" w:hAnsi="Arial"/>
                <w:sz w:val="24"/>
                <w:szCs w:val="24"/>
                <w:color w:val="auto"/>
                <w:vertAlign w:val="superscript"/>
              </w:rPr>
              <w:t>(3)</w:t>
            </w:r>
          </w:p>
        </w:tc>
      </w:tr>
      <w:tr>
        <w:trPr>
          <w:trHeight w:val="234"/>
        </w:trPr>
        <w:tc>
          <w:tcPr>
            <w:tcW w:w="384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2800" w:type="dxa"/>
            <w:vAlign w:val="bottom"/>
            <w:tcBorders>
              <w:bottom w:val="single" w:sz="8" w:color="4C4C4C"/>
            </w:tcBorders>
          </w:tcPr>
          <w:p>
            <w:pPr>
              <w:ind w:left="2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1,000,000</w:t>
            </w:r>
          </w:p>
        </w:tc>
        <w:tc>
          <w:tcPr>
            <w:tcW w:w="600" w:type="dxa"/>
            <w:vAlign w:val="bottom"/>
            <w:tcBorders>
              <w:bottom w:val="single" w:sz="8" w:color="4C4C4C"/>
            </w:tcBorders>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40"/>
              <w:spacing w:after="0"/>
              <w:rPr>
                <w:sz w:val="20"/>
                <w:szCs w:val="20"/>
                <w:color w:val="auto"/>
              </w:rPr>
            </w:pPr>
            <w:r>
              <w:rPr>
                <w:rFonts w:ascii="Arial" w:cs="Arial" w:eastAsia="Arial" w:hAnsi="Arial"/>
                <w:sz w:val="16"/>
                <w:szCs w:val="16"/>
                <w:color w:val="auto"/>
              </w:rPr>
              <w:t>900,000</w:t>
            </w:r>
          </w:p>
        </w:tc>
        <w:tc>
          <w:tcPr>
            <w:tcW w:w="120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rPr>
              <w:t>$100,000</w:t>
            </w:r>
            <w:r>
              <w:rPr>
                <w:rFonts w:ascii="Arial" w:cs="Arial" w:eastAsia="Arial" w:hAnsi="Arial"/>
                <w:sz w:val="24"/>
                <w:szCs w:val="24"/>
                <w:color w:val="auto"/>
                <w:vertAlign w:val="superscript"/>
              </w:rPr>
              <w:t>(4)</w:t>
            </w:r>
          </w:p>
        </w:tc>
      </w:tr>
      <w:tr>
        <w:trPr>
          <w:trHeight w:val="241"/>
        </w:trPr>
        <w:tc>
          <w:tcPr>
            <w:tcW w:w="384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2800" w:type="dxa"/>
            <w:vAlign w:val="bottom"/>
            <w:tcBorders>
              <w:bottom w:val="single" w:sz="8" w:color="C6093B"/>
            </w:tcBorders>
          </w:tcPr>
          <w:p>
            <w:pPr>
              <w:ind w:left="2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1,400,000</w:t>
            </w:r>
          </w:p>
        </w:tc>
        <w:tc>
          <w:tcPr>
            <w:tcW w:w="600" w:type="dxa"/>
            <w:vAlign w:val="bottom"/>
            <w:tcBorders>
              <w:bottom w:val="single" w:sz="8" w:color="C6093B"/>
            </w:tcBorders>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240"/>
              <w:spacing w:after="0"/>
              <w:rPr>
                <w:sz w:val="20"/>
                <w:szCs w:val="20"/>
                <w:color w:val="auto"/>
              </w:rPr>
            </w:pPr>
            <w:r>
              <w:rPr>
                <w:rFonts w:ascii="Arial" w:cs="Arial" w:eastAsia="Arial" w:hAnsi="Arial"/>
                <w:sz w:val="16"/>
                <w:szCs w:val="16"/>
                <w:color w:val="auto"/>
              </w:rPr>
              <w:t>1,000,000</w:t>
            </w:r>
          </w:p>
        </w:tc>
        <w:tc>
          <w:tcPr>
            <w:tcW w:w="1200" w:type="dxa"/>
            <w:vAlign w:val="bottom"/>
            <w:tcBorders>
              <w:bottom w:val="single" w:sz="8" w:color="C6093B"/>
            </w:tcBorders>
          </w:tcPr>
          <w:p>
            <w:pPr>
              <w:jc w:val="right"/>
              <w:spacing w:after="0" w:line="234" w:lineRule="exact"/>
              <w:rPr>
                <w:sz w:val="20"/>
                <w:szCs w:val="20"/>
                <w:color w:val="auto"/>
              </w:rPr>
            </w:pPr>
            <w:r>
              <w:rPr>
                <w:rFonts w:ascii="Arial" w:cs="Arial" w:eastAsia="Arial" w:hAnsi="Arial"/>
                <w:sz w:val="16"/>
                <w:szCs w:val="16"/>
                <w:color w:val="auto"/>
              </w:rPr>
              <w:t>$400,000</w:t>
            </w:r>
            <w:r>
              <w:rPr>
                <w:rFonts w:ascii="Arial" w:cs="Arial" w:eastAsia="Arial" w:hAnsi="Arial"/>
                <w:sz w:val="24"/>
                <w:szCs w:val="24"/>
                <w:color w:val="auto"/>
                <w:vertAlign w:val="superscript"/>
              </w:rPr>
              <w:t>(5)</w:t>
            </w:r>
          </w:p>
        </w:tc>
      </w:tr>
    </w:tbl>
    <w:p>
      <w:pPr>
        <w:spacing w:after="0" w:line="62" w:lineRule="exact"/>
        <w:rPr>
          <w:sz w:val="20"/>
          <w:szCs w:val="20"/>
          <w:color w:val="auto"/>
        </w:rPr>
      </w:pPr>
    </w:p>
    <w:p>
      <w:pPr>
        <w:ind w:left="220" w:right="80" w:hanging="213"/>
        <w:spacing w:after="0" w:line="201" w:lineRule="auto"/>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Powell Brown’s 2024 target cash incentive amount from $3,000,000 to $3,750,000 was based upon the January 2024 Comparative Market Assessment and the fact that 2023 target total pay for Mr. Powell Brown is slightly higher than the peer group median but less than the general industry median.</w:t>
      </w:r>
    </w:p>
    <w:p>
      <w:pPr>
        <w:spacing w:after="0" w:line="49" w:lineRule="exact"/>
        <w:rPr>
          <w:rFonts w:ascii="Arial" w:cs="Arial" w:eastAsia="Arial" w:hAnsi="Arial"/>
          <w:sz w:val="19"/>
          <w:szCs w:val="19"/>
          <w:color w:val="auto"/>
          <w:vertAlign w:val="superscript"/>
        </w:rPr>
      </w:pPr>
    </w:p>
    <w:p>
      <w:pPr>
        <w:ind w:left="220" w:right="120" w:hanging="213"/>
        <w:spacing w:after="0" w:line="201" w:lineRule="auto"/>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2024 target cash incentive amount from $850,000 to $1,000,000 was based upon the January 2024 Comparative Market Assessment and the fact that 2023 target total pay for Mr. Watts is below the peer group median and the general industry median.</w:t>
      </w:r>
    </w:p>
    <w:p>
      <w:pPr>
        <w:spacing w:after="0" w:line="49" w:lineRule="exact"/>
        <w:rPr>
          <w:rFonts w:ascii="Arial" w:cs="Arial" w:eastAsia="Arial" w:hAnsi="Arial"/>
          <w:sz w:val="19"/>
          <w:szCs w:val="19"/>
          <w:color w:val="auto"/>
          <w:vertAlign w:val="superscript"/>
        </w:rPr>
      </w:pPr>
    </w:p>
    <w:p>
      <w:pPr>
        <w:ind w:left="220" w:right="60" w:hanging="213"/>
        <w:spacing w:after="0" w:line="201" w:lineRule="auto"/>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Barrett Brown’s 2024 target cash incentive amount from $1,400,000 to $1,800,000 was based upon the January 2024 Comparative Market Assessment and the fact that 2023 target total pay for Mr. Barrett Brown is below the peer group median.</w:t>
      </w:r>
    </w:p>
    <w:p>
      <w:pPr>
        <w:spacing w:after="0" w:line="49" w:lineRule="exact"/>
        <w:rPr>
          <w:rFonts w:ascii="Arial" w:cs="Arial" w:eastAsia="Arial" w:hAnsi="Arial"/>
          <w:sz w:val="19"/>
          <w:szCs w:val="19"/>
          <w:color w:val="auto"/>
          <w:vertAlign w:val="superscript"/>
        </w:rPr>
      </w:pPr>
    </w:p>
    <w:p>
      <w:pPr>
        <w:ind w:left="220" w:right="20" w:hanging="213"/>
        <w:spacing w:after="0" w:line="201" w:lineRule="auto"/>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Penny’s 2024 target cash incentive amount from $900,000 to $1,000,000 was based upon the January 2024 Comparative Market Assessment and the fact that 2023 target total pay for Mr. Penny is only slightly higher than the peer group median.</w:t>
      </w:r>
    </w:p>
    <w:p>
      <w:pPr>
        <w:spacing w:after="0" w:line="49" w:lineRule="exact"/>
        <w:rPr>
          <w:rFonts w:ascii="Arial" w:cs="Arial" w:eastAsia="Arial" w:hAnsi="Arial"/>
          <w:sz w:val="19"/>
          <w:szCs w:val="19"/>
          <w:color w:val="auto"/>
          <w:vertAlign w:val="superscript"/>
        </w:rPr>
      </w:pPr>
    </w:p>
    <w:p>
      <w:pPr>
        <w:ind w:left="220" w:right="200" w:hanging="213"/>
        <w:spacing w:after="0" w:line="201" w:lineRule="auto"/>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Walker’s 2024 target cash incentive amount from $1,000,000 to $1,400,000 was based upon the January 2024 Comparative Market Assessment and the fact that 2023 target total pay for Mr. Walker is below the peer group median.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2024 Equity Incentive Grants</w:t>
      </w:r>
    </w:p>
    <w:p>
      <w:pPr>
        <w:spacing w:after="0" w:line="105"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Based upon the recommendation of our Chief Executive Officer and, with respect to our Chief Executive Officer, based upon the Compensation Committee’s annual evaluation of our Chief Executive Officer’s performance, as well as input from FW Cook, the following long-term equity incentive awards for our Named Executive Officers were approved by our Compensation Committee in the first quarter of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2024</w:t>
            </w:r>
          </w:p>
        </w:tc>
        <w:tc>
          <w:tcPr>
            <w:tcW w:w="420" w:type="dxa"/>
            <w:vAlign w:val="bottom"/>
          </w:tcPr>
          <w:p>
            <w:pPr>
              <w:spacing w:after="0"/>
              <w:rPr>
                <w:sz w:val="14"/>
                <w:szCs w:val="14"/>
                <w:color w:val="auto"/>
              </w:rPr>
            </w:pPr>
          </w:p>
        </w:tc>
        <w:tc>
          <w:tcPr>
            <w:tcW w:w="1220" w:type="dxa"/>
            <w:vAlign w:val="bottom"/>
          </w:tcPr>
          <w:p>
            <w:pPr>
              <w:jc w:val="center"/>
              <w:ind w:right="342"/>
              <w:spacing w:after="0"/>
              <w:rPr>
                <w:sz w:val="20"/>
                <w:szCs w:val="20"/>
                <w:color w:val="auto"/>
              </w:rPr>
            </w:pPr>
            <w:r>
              <w:rPr>
                <w:rFonts w:ascii="Arial" w:cs="Arial" w:eastAsia="Arial" w:hAnsi="Arial"/>
                <w:sz w:val="14"/>
                <w:szCs w:val="14"/>
                <w:b w:val="1"/>
                <w:bCs w:val="1"/>
                <w:color w:val="002856"/>
                <w:w w:val="99"/>
              </w:rPr>
              <w:t>Total 2024</w:t>
            </w:r>
          </w:p>
        </w:tc>
        <w:tc>
          <w:tcPr>
            <w:tcW w:w="400" w:type="dxa"/>
            <w:vAlign w:val="bottom"/>
          </w:tcPr>
          <w:p>
            <w:pPr>
              <w:spacing w:after="0"/>
              <w:rPr>
                <w:sz w:val="14"/>
                <w:szCs w:val="14"/>
                <w:color w:val="auto"/>
              </w:rPr>
            </w:pPr>
          </w:p>
        </w:tc>
        <w:tc>
          <w:tcPr>
            <w:tcW w:w="1240" w:type="dxa"/>
            <w:vAlign w:val="bottom"/>
          </w:tcPr>
          <w:p>
            <w:pPr>
              <w:jc w:val="center"/>
              <w:ind w:right="323"/>
              <w:spacing w:after="0"/>
              <w:rPr>
                <w:sz w:val="20"/>
                <w:szCs w:val="20"/>
                <w:color w:val="auto"/>
              </w:rPr>
            </w:pPr>
            <w:r>
              <w:rPr>
                <w:rFonts w:ascii="Arial" w:cs="Arial" w:eastAsia="Arial" w:hAnsi="Arial"/>
                <w:sz w:val="14"/>
                <w:szCs w:val="14"/>
                <w:b w:val="1"/>
                <w:bCs w:val="1"/>
                <w:color w:val="002856"/>
                <w:w w:val="99"/>
              </w:rPr>
              <w:t>Total 2023</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2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002856"/>
              </w:rPr>
              <w:t>2024</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Restricted</w:t>
            </w:r>
          </w:p>
        </w:tc>
        <w:tc>
          <w:tcPr>
            <w:tcW w:w="420" w:type="dxa"/>
            <w:vAlign w:val="bottom"/>
          </w:tcPr>
          <w:p>
            <w:pPr>
              <w:spacing w:after="0"/>
              <w:rPr>
                <w:sz w:val="13"/>
                <w:szCs w:val="13"/>
                <w:color w:val="auto"/>
              </w:rPr>
            </w:pPr>
          </w:p>
        </w:tc>
        <w:tc>
          <w:tcPr>
            <w:tcW w:w="1220" w:type="dxa"/>
            <w:vAlign w:val="bottom"/>
          </w:tcPr>
          <w:p>
            <w:pPr>
              <w:jc w:val="center"/>
              <w:ind w:right="342"/>
              <w:spacing w:after="0"/>
              <w:rPr>
                <w:sz w:val="20"/>
                <w:szCs w:val="20"/>
                <w:color w:val="auto"/>
              </w:rPr>
            </w:pPr>
            <w:r>
              <w:rPr>
                <w:rFonts w:ascii="Arial" w:cs="Arial" w:eastAsia="Arial" w:hAnsi="Arial"/>
                <w:sz w:val="14"/>
                <w:szCs w:val="14"/>
                <w:b w:val="1"/>
                <w:bCs w:val="1"/>
                <w:color w:val="002856"/>
                <w:w w:val="98"/>
              </w:rPr>
              <w:t>Long-Term</w:t>
            </w:r>
          </w:p>
        </w:tc>
        <w:tc>
          <w:tcPr>
            <w:tcW w:w="400" w:type="dxa"/>
            <w:vAlign w:val="bottom"/>
          </w:tcPr>
          <w:p>
            <w:pPr>
              <w:spacing w:after="0"/>
              <w:rPr>
                <w:sz w:val="13"/>
                <w:szCs w:val="13"/>
                <w:color w:val="auto"/>
              </w:rPr>
            </w:pPr>
          </w:p>
        </w:tc>
        <w:tc>
          <w:tcPr>
            <w:tcW w:w="1240" w:type="dxa"/>
            <w:vAlign w:val="bottom"/>
          </w:tcPr>
          <w:p>
            <w:pPr>
              <w:jc w:val="center"/>
              <w:ind w:right="343"/>
              <w:spacing w:after="0"/>
              <w:rPr>
                <w:sz w:val="20"/>
                <w:szCs w:val="20"/>
                <w:color w:val="auto"/>
              </w:rPr>
            </w:pPr>
            <w:r>
              <w:rPr>
                <w:rFonts w:ascii="Arial" w:cs="Arial" w:eastAsia="Arial" w:hAnsi="Arial"/>
                <w:sz w:val="14"/>
                <w:szCs w:val="14"/>
                <w:b w:val="1"/>
                <w:bCs w:val="1"/>
                <w:color w:val="002856"/>
              </w:rPr>
              <w:t>Long-Term</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2460" w:type="dxa"/>
            <w:vAlign w:val="bottom"/>
            <w:gridSpan w:val="2"/>
          </w:tcPr>
          <w:p>
            <w:pPr>
              <w:ind w:left="1320"/>
              <w:spacing w:after="0"/>
              <w:rPr>
                <w:sz w:val="20"/>
                <w:szCs w:val="20"/>
                <w:color w:val="auto"/>
              </w:rPr>
            </w:pPr>
            <w:r>
              <w:rPr>
                <w:rFonts w:ascii="Arial" w:cs="Arial" w:eastAsia="Arial" w:hAnsi="Arial"/>
                <w:sz w:val="14"/>
                <w:szCs w:val="14"/>
                <w:b w:val="1"/>
                <w:bCs w:val="1"/>
                <w:color w:val="002856"/>
              </w:rPr>
              <w:t>Performance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856"/>
              </w:rPr>
              <w:t>Award</w:t>
            </w: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002856"/>
              </w:rPr>
              <w:t>Equity Incentive</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002856"/>
              </w:rPr>
              <w:t>Equity Incentive</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7"/>
        </w:trPr>
        <w:tc>
          <w:tcPr>
            <w:tcW w:w="28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Executive Officer</w:t>
            </w:r>
          </w:p>
        </w:tc>
        <w:tc>
          <w:tcPr>
            <w:tcW w:w="2460" w:type="dxa"/>
            <w:vAlign w:val="bottom"/>
            <w:tcBorders>
              <w:bottom w:val="single" w:sz="8" w:color="C6093B"/>
            </w:tcBorders>
            <w:gridSpan w:val="2"/>
          </w:tcPr>
          <w:p>
            <w:pPr>
              <w:ind w:left="1320"/>
              <w:spacing w:after="0"/>
              <w:rPr>
                <w:sz w:val="20"/>
                <w:szCs w:val="20"/>
                <w:color w:val="auto"/>
              </w:rPr>
            </w:pPr>
            <w:r>
              <w:rPr>
                <w:rFonts w:ascii="Arial" w:cs="Arial" w:eastAsia="Arial" w:hAnsi="Arial"/>
                <w:sz w:val="14"/>
                <w:szCs w:val="14"/>
                <w:b w:val="1"/>
                <w:bCs w:val="1"/>
                <w:color w:val="002856"/>
              </w:rPr>
              <w:t>Award (75%)</w:t>
            </w:r>
          </w:p>
        </w:tc>
        <w:tc>
          <w:tcPr>
            <w:tcW w:w="12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(25%)</w:t>
            </w:r>
          </w:p>
        </w:tc>
        <w:tc>
          <w:tcPr>
            <w:tcW w:w="1640" w:type="dxa"/>
            <w:vAlign w:val="bottom"/>
            <w:tcBorders>
              <w:bottom w:val="single" w:sz="8" w:color="C6093B"/>
            </w:tcBorders>
            <w:gridSpan w:val="2"/>
          </w:tcPr>
          <w:p>
            <w:pPr>
              <w:jc w:val="center"/>
              <w:spacing w:after="0"/>
              <w:rPr>
                <w:sz w:val="20"/>
                <w:szCs w:val="20"/>
                <w:color w:val="auto"/>
              </w:rPr>
            </w:pPr>
            <w:r>
              <w:rPr>
                <w:rFonts w:ascii="Arial" w:cs="Arial" w:eastAsia="Arial" w:hAnsi="Arial"/>
                <w:sz w:val="14"/>
                <w:szCs w:val="14"/>
                <w:b w:val="1"/>
                <w:bCs w:val="1"/>
                <w:color w:val="002856"/>
              </w:rPr>
              <w:t>Awards (100%)</w:t>
            </w:r>
          </w:p>
        </w:tc>
        <w:tc>
          <w:tcPr>
            <w:tcW w:w="400" w:type="dxa"/>
            <w:vAlign w:val="bottom"/>
            <w:tcBorders>
              <w:bottom w:val="single" w:sz="8" w:color="C6093B"/>
            </w:tcBorders>
          </w:tcPr>
          <w:p>
            <w:pPr>
              <w:spacing w:after="0"/>
              <w:rPr>
                <w:sz w:val="15"/>
                <w:szCs w:val="15"/>
                <w:color w:val="auto"/>
              </w:rPr>
            </w:pPr>
          </w:p>
        </w:tc>
        <w:tc>
          <w:tcPr>
            <w:tcW w:w="1240" w:type="dxa"/>
            <w:vAlign w:val="bottom"/>
            <w:tcBorders>
              <w:bottom w:val="single" w:sz="8" w:color="C6093B"/>
            </w:tcBorders>
          </w:tcPr>
          <w:p>
            <w:pPr>
              <w:jc w:val="center"/>
              <w:ind w:right="323"/>
              <w:spacing w:after="0"/>
              <w:rPr>
                <w:sz w:val="20"/>
                <w:szCs w:val="20"/>
                <w:color w:val="auto"/>
              </w:rPr>
            </w:pPr>
            <w:r>
              <w:rPr>
                <w:rFonts w:ascii="Arial" w:cs="Arial" w:eastAsia="Arial" w:hAnsi="Arial"/>
                <w:sz w:val="14"/>
                <w:szCs w:val="14"/>
                <w:b w:val="1"/>
                <w:bCs w:val="1"/>
                <w:color w:val="002856"/>
              </w:rPr>
              <w:t>Awards</w:t>
            </w:r>
          </w:p>
        </w:tc>
        <w:tc>
          <w:tcPr>
            <w:tcW w:w="1140" w:type="dxa"/>
            <w:vAlign w:val="bottom"/>
            <w:tcBorders>
              <w:bottom w:val="single" w:sz="8" w:color="C6093B"/>
            </w:tcBorders>
            <w:gridSpan w:val="2"/>
          </w:tcPr>
          <w:p>
            <w:pPr>
              <w:jc w:val="right"/>
              <w:ind w:right="200"/>
              <w:spacing w:after="0"/>
              <w:rPr>
                <w:sz w:val="20"/>
                <w:szCs w:val="20"/>
                <w:color w:val="auto"/>
              </w:rPr>
            </w:pPr>
            <w:r>
              <w:rPr>
                <w:rFonts w:ascii="Arial" w:cs="Arial" w:eastAsia="Arial" w:hAnsi="Arial"/>
                <w:sz w:val="14"/>
                <w:szCs w:val="14"/>
                <w:b w:val="1"/>
                <w:bCs w:val="1"/>
                <w:color w:val="002856"/>
              </w:rPr>
              <w:t>Change</w:t>
            </w:r>
          </w:p>
        </w:tc>
      </w:tr>
      <w:tr>
        <w:trPr>
          <w:trHeight w:val="241"/>
        </w:trPr>
        <w:tc>
          <w:tcPr>
            <w:tcW w:w="2800" w:type="dxa"/>
            <w:vAlign w:val="bottom"/>
            <w:tcBorders>
              <w:bottom w:val="single" w:sz="8" w:color="4C4C4C"/>
            </w:tcBorders>
          </w:tcPr>
          <w:p>
            <w:pPr>
              <w:ind w:left="80"/>
              <w:spacing w:after="0" w:line="241" w:lineRule="exact"/>
              <w:rPr>
                <w:sz w:val="20"/>
                <w:szCs w:val="20"/>
                <w:color w:val="auto"/>
              </w:rPr>
            </w:pPr>
            <w:r>
              <w:rPr>
                <w:rFonts w:ascii="Arial" w:cs="Arial" w:eastAsia="Arial" w:hAnsi="Arial"/>
                <w:sz w:val="16"/>
                <w:szCs w:val="16"/>
                <w:b w:val="1"/>
                <w:bCs w:val="1"/>
                <w:color w:val="1D4F90"/>
              </w:rPr>
              <w:t>J. Powell Brown</w:t>
            </w:r>
            <w:r>
              <w:rPr>
                <w:rFonts w:ascii="Arial" w:cs="Arial" w:eastAsia="Arial" w:hAnsi="Arial"/>
                <w:sz w:val="24"/>
                <w:szCs w:val="24"/>
                <w:b w:val="1"/>
                <w:bCs w:val="1"/>
                <w:color w:val="1D4F90"/>
                <w:vertAlign w:val="superscript"/>
              </w:rPr>
              <w:t>(1)</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2,250,000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$ 750,000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3,000,000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3,000,000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R. Andrew Watts</w:t>
            </w:r>
            <w:r>
              <w:rPr>
                <w:rFonts w:ascii="Arial" w:cs="Arial" w:eastAsia="Arial" w:hAnsi="Arial"/>
                <w:sz w:val="24"/>
                <w:szCs w:val="24"/>
                <w:b w:val="1"/>
                <w:bCs w:val="1"/>
                <w:color w:val="1D4F90"/>
                <w:vertAlign w:val="superscript"/>
              </w:rPr>
              <w:t>(1)</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975,000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$ 325,000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1,300,000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1,000,000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w w:val="90"/>
              </w:rPr>
              <w:t>300,000</w:t>
            </w:r>
            <w:r>
              <w:rPr>
                <w:rFonts w:ascii="Arial" w:cs="Arial" w:eastAsia="Arial" w:hAnsi="Arial"/>
                <w:sz w:val="24"/>
                <w:szCs w:val="24"/>
                <w:color w:val="auto"/>
                <w:w w:val="90"/>
                <w:vertAlign w:val="superscript"/>
              </w:rPr>
              <w:t>(2)</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P. Barrett Brown</w:t>
            </w:r>
            <w:r>
              <w:rPr>
                <w:rFonts w:ascii="Arial" w:cs="Arial" w:eastAsia="Arial" w:hAnsi="Arial"/>
                <w:sz w:val="24"/>
                <w:szCs w:val="24"/>
                <w:b w:val="1"/>
                <w:bCs w:val="1"/>
                <w:color w:val="1D4F90"/>
                <w:vertAlign w:val="superscript"/>
              </w:rPr>
              <w:t>(1)</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525,000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$ 175,000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700,000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spacing w:after="0" w:line="234" w:lineRule="exact"/>
              <w:rPr>
                <w:sz w:val="20"/>
                <w:szCs w:val="20"/>
                <w:color w:val="auto"/>
              </w:rPr>
            </w:pPr>
            <w:r>
              <w:rPr>
                <w:rFonts w:ascii="Arial" w:cs="Arial" w:eastAsia="Arial" w:hAnsi="Arial"/>
                <w:sz w:val="16"/>
                <w:szCs w:val="16"/>
                <w:color w:val="auto"/>
                <w:w w:val="90"/>
              </w:rPr>
              <w:t>200,000</w:t>
            </w:r>
            <w:r>
              <w:rPr>
                <w:rFonts w:ascii="Arial" w:cs="Arial" w:eastAsia="Arial" w:hAnsi="Arial"/>
                <w:sz w:val="24"/>
                <w:szCs w:val="24"/>
                <w:color w:val="auto"/>
                <w:w w:val="90"/>
                <w:vertAlign w:val="superscript"/>
              </w:rPr>
              <w:t>(3)</w:t>
            </w:r>
          </w:p>
        </w:tc>
      </w:tr>
      <w:tr>
        <w:trPr>
          <w:trHeight w:val="234"/>
        </w:trPr>
        <w:tc>
          <w:tcPr>
            <w:tcW w:w="2800" w:type="dxa"/>
            <w:vAlign w:val="bottom"/>
            <w:tcBorders>
              <w:bottom w:val="single" w:sz="8" w:color="4C4C4C"/>
            </w:tcBorders>
          </w:tcPr>
          <w:p>
            <w:pPr>
              <w:ind w:left="80"/>
              <w:spacing w:after="0" w:line="234" w:lineRule="exact"/>
              <w:rPr>
                <w:sz w:val="20"/>
                <w:szCs w:val="20"/>
                <w:color w:val="auto"/>
              </w:rPr>
            </w:pPr>
            <w:r>
              <w:rPr>
                <w:rFonts w:ascii="Arial" w:cs="Arial" w:eastAsia="Arial" w:hAnsi="Arial"/>
                <w:sz w:val="16"/>
                <w:szCs w:val="16"/>
                <w:b w:val="1"/>
                <w:bCs w:val="1"/>
                <w:color w:val="1D4F90"/>
              </w:rPr>
              <w:t>J. Scott Penny</w:t>
            </w:r>
            <w:r>
              <w:rPr>
                <w:rFonts w:ascii="Arial" w:cs="Arial" w:eastAsia="Arial" w:hAnsi="Arial"/>
                <w:sz w:val="24"/>
                <w:szCs w:val="24"/>
                <w:b w:val="1"/>
                <w:bCs w:val="1"/>
                <w:color w:val="1D4F90"/>
                <w:vertAlign w:val="superscript"/>
              </w:rPr>
              <w:t>(1)</w:t>
            </w:r>
          </w:p>
        </w:tc>
        <w:tc>
          <w:tcPr>
            <w:tcW w:w="1440" w:type="dxa"/>
            <w:vAlign w:val="bottom"/>
            <w:tcBorders>
              <w:bottom w:val="single" w:sz="8" w:color="4C4C4C"/>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auto"/>
              </w:rPr>
              <w:t>375,000</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6"/>
                <w:szCs w:val="16"/>
                <w:color w:val="auto"/>
                <w:w w:val="98"/>
              </w:rPr>
              <w:t>$ 125,000</w:t>
            </w:r>
          </w:p>
        </w:tc>
        <w:tc>
          <w:tcPr>
            <w:tcW w:w="420" w:type="dxa"/>
            <w:vAlign w:val="bottom"/>
            <w:tcBorders>
              <w:bottom w:val="single" w:sz="8" w:color="4C4C4C"/>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C4C4C"/>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41"/>
        </w:trPr>
        <w:tc>
          <w:tcPr>
            <w:tcW w:w="2800" w:type="dxa"/>
            <w:vAlign w:val="bottom"/>
            <w:tcBorders>
              <w:bottom w:val="single" w:sz="8" w:color="C6093B"/>
            </w:tcBorders>
          </w:tcPr>
          <w:p>
            <w:pPr>
              <w:ind w:left="80"/>
              <w:spacing w:after="0" w:line="234" w:lineRule="exact"/>
              <w:rPr>
                <w:sz w:val="20"/>
                <w:szCs w:val="20"/>
                <w:color w:val="auto"/>
              </w:rPr>
            </w:pPr>
            <w:r>
              <w:rPr>
                <w:rFonts w:ascii="Arial" w:cs="Arial" w:eastAsia="Arial" w:hAnsi="Arial"/>
                <w:sz w:val="16"/>
                <w:szCs w:val="16"/>
                <w:b w:val="1"/>
                <w:bCs w:val="1"/>
                <w:color w:val="1D4F90"/>
              </w:rPr>
              <w:t>Chris L. Walker</w:t>
            </w:r>
            <w:r>
              <w:rPr>
                <w:rFonts w:ascii="Arial" w:cs="Arial" w:eastAsia="Arial" w:hAnsi="Arial"/>
                <w:sz w:val="24"/>
                <w:szCs w:val="24"/>
                <w:b w:val="1"/>
                <w:bCs w:val="1"/>
                <w:color w:val="1D4F90"/>
                <w:vertAlign w:val="superscript"/>
              </w:rPr>
              <w:t>(4)</w:t>
            </w:r>
          </w:p>
        </w:tc>
        <w:tc>
          <w:tcPr>
            <w:tcW w:w="1440" w:type="dxa"/>
            <w:vAlign w:val="bottom"/>
            <w:tcBorders>
              <w:bottom w:val="single" w:sz="8" w:color="C6093B"/>
            </w:tcBorders>
          </w:tcPr>
          <w:p>
            <w:pPr>
              <w:ind w:left="13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6093B"/>
            </w:tcBorders>
          </w:tcPr>
          <w:p>
            <w:pPr>
              <w:jc w:val="right"/>
              <w:ind w:right="181"/>
              <w:spacing w:after="0"/>
              <w:rPr>
                <w:sz w:val="20"/>
                <w:szCs w:val="20"/>
                <w:color w:val="auto"/>
              </w:rPr>
            </w:pPr>
            <w:r>
              <w:rPr>
                <w:rFonts w:ascii="Arial" w:cs="Arial" w:eastAsia="Arial" w:hAnsi="Arial"/>
                <w:sz w:val="16"/>
                <w:szCs w:val="16"/>
                <w:color w:val="auto"/>
              </w:rPr>
              <w:t>825,000</w:t>
            </w:r>
          </w:p>
        </w:tc>
        <w:tc>
          <w:tcPr>
            <w:tcW w:w="1240" w:type="dxa"/>
            <w:vAlign w:val="bottom"/>
            <w:tcBorders>
              <w:bottom w:val="single" w:sz="8" w:color="C6093B"/>
            </w:tcBorders>
          </w:tcPr>
          <w:p>
            <w:pPr>
              <w:jc w:val="center"/>
              <w:spacing w:after="0"/>
              <w:rPr>
                <w:sz w:val="20"/>
                <w:szCs w:val="20"/>
                <w:color w:val="auto"/>
              </w:rPr>
            </w:pPr>
            <w:r>
              <w:rPr>
                <w:rFonts w:ascii="Arial" w:cs="Arial" w:eastAsia="Arial" w:hAnsi="Arial"/>
                <w:sz w:val="16"/>
                <w:szCs w:val="16"/>
                <w:color w:val="auto"/>
                <w:w w:val="98"/>
              </w:rPr>
              <w:t>$ 275,000</w:t>
            </w:r>
          </w:p>
        </w:tc>
        <w:tc>
          <w:tcPr>
            <w:tcW w:w="420" w:type="dxa"/>
            <w:vAlign w:val="bottom"/>
            <w:tcBorders>
              <w:bottom w:val="single" w:sz="8" w:color="C6093B"/>
            </w:tcBorders>
          </w:tcPr>
          <w:p>
            <w:pPr>
              <w:ind w:lef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6093B"/>
            </w:tcBorders>
          </w:tcPr>
          <w:p>
            <w:pPr>
              <w:jc w:val="right"/>
              <w:ind w:right="182"/>
              <w:spacing w:after="0"/>
              <w:rPr>
                <w:sz w:val="20"/>
                <w:szCs w:val="20"/>
                <w:color w:val="auto"/>
              </w:rPr>
            </w:pPr>
            <w:r>
              <w:rPr>
                <w:rFonts w:ascii="Arial" w:cs="Arial" w:eastAsia="Arial" w:hAnsi="Arial"/>
                <w:sz w:val="16"/>
                <w:szCs w:val="16"/>
                <w:color w:val="auto"/>
              </w:rPr>
              <w:t>1,100,000</w:t>
            </w:r>
          </w:p>
        </w:tc>
        <w:tc>
          <w:tcPr>
            <w:tcW w:w="400" w:type="dxa"/>
            <w:vAlign w:val="bottom"/>
            <w:tcBorders>
              <w:bottom w:val="single" w:sz="8" w:color="C6093B"/>
            </w:tcBorders>
          </w:tcPr>
          <w:p>
            <w:pPr>
              <w:ind w:lef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6093B"/>
            </w:tcBorders>
          </w:tcPr>
          <w:p>
            <w:pPr>
              <w:jc w:val="right"/>
              <w:ind w:right="203"/>
              <w:spacing w:after="0"/>
              <w:rPr>
                <w:sz w:val="20"/>
                <w:szCs w:val="20"/>
                <w:color w:val="auto"/>
              </w:rPr>
            </w:pPr>
            <w:r>
              <w:rPr>
                <w:rFonts w:ascii="Arial" w:cs="Arial" w:eastAsia="Arial" w:hAnsi="Arial"/>
                <w:sz w:val="16"/>
                <w:szCs w:val="16"/>
                <w:color w:val="auto"/>
              </w:rPr>
              <w:t>500,000</w:t>
            </w:r>
          </w:p>
        </w:tc>
        <w:tc>
          <w:tcPr>
            <w:tcW w:w="36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6093B"/>
            </w:tcBorders>
          </w:tcPr>
          <w:p>
            <w:pPr>
              <w:jc w:val="right"/>
              <w:spacing w:after="0" w:line="234" w:lineRule="exact"/>
              <w:rPr>
                <w:sz w:val="20"/>
                <w:szCs w:val="20"/>
                <w:color w:val="auto"/>
              </w:rPr>
            </w:pPr>
            <w:r>
              <w:rPr>
                <w:rFonts w:ascii="Arial" w:cs="Arial" w:eastAsia="Arial" w:hAnsi="Arial"/>
                <w:sz w:val="16"/>
                <w:szCs w:val="16"/>
                <w:color w:val="auto"/>
                <w:w w:val="90"/>
              </w:rPr>
              <w:t>600,000</w:t>
            </w:r>
            <w:r>
              <w:rPr>
                <w:rFonts w:ascii="Arial" w:cs="Arial" w:eastAsia="Arial" w:hAnsi="Arial"/>
                <w:sz w:val="24"/>
                <w:szCs w:val="24"/>
                <w:color w:val="auto"/>
                <w:w w:val="90"/>
                <w:vertAlign w:val="superscript"/>
              </w:rPr>
              <w:t>(5)</w:t>
            </w:r>
          </w:p>
        </w:tc>
      </w:tr>
    </w:tbl>
    <w:p>
      <w:pPr>
        <w:spacing w:after="0" w:line="62" w:lineRule="exact"/>
        <w:rPr>
          <w:sz w:val="20"/>
          <w:szCs w:val="20"/>
          <w:color w:val="auto"/>
        </w:rPr>
      </w:pPr>
    </w:p>
    <w:p>
      <w:pPr>
        <w:ind w:left="220" w:right="520" w:hanging="213"/>
        <w:spacing w:after="0" w:line="201"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2"/>
          <w:szCs w:val="12"/>
          <w:color w:val="auto"/>
        </w:rPr>
        <w:t>The long-term equity incentive awards for Messrs. Powell Brown, Watts, Barrett Brown and Penny are structured as PSAs and RSAs, for which vesting is conditioned upon the grantee’s continuous employment for five years following the date of grant.</w:t>
      </w:r>
    </w:p>
    <w:p>
      <w:pPr>
        <w:spacing w:after="0" w:line="49" w:lineRule="exact"/>
        <w:rPr>
          <w:rFonts w:ascii="Arial" w:cs="Arial" w:eastAsia="Arial" w:hAnsi="Arial"/>
          <w:sz w:val="19"/>
          <w:szCs w:val="19"/>
          <w:color w:val="auto"/>
          <w:vertAlign w:val="superscript"/>
        </w:rPr>
      </w:pPr>
    </w:p>
    <w:p>
      <w:pPr>
        <w:ind w:left="220" w:right="140" w:hanging="213"/>
        <w:spacing w:after="0" w:line="201"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Watts’ 2024 long-term equity incentive award from $1,000,000 to $1,300,000 was based upon the January 2024 Comparative Market Assessment and the fact that 2023 target total pay for Mr. Watts was below the peer group median and the market median.</w:t>
      </w:r>
    </w:p>
    <w:p>
      <w:pPr>
        <w:spacing w:after="0" w:line="49" w:lineRule="exact"/>
        <w:rPr>
          <w:rFonts w:ascii="Arial" w:cs="Arial" w:eastAsia="Arial" w:hAnsi="Arial"/>
          <w:sz w:val="19"/>
          <w:szCs w:val="19"/>
          <w:color w:val="auto"/>
          <w:vertAlign w:val="superscript"/>
        </w:rPr>
      </w:pPr>
    </w:p>
    <w:p>
      <w:pPr>
        <w:ind w:left="220" w:right="80" w:hanging="213"/>
        <w:spacing w:after="0" w:line="201"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Barrett Brown’s 2024 long-term equity incentive award from $500,000 to $700,000 was based upon the January 2024 Comparative Market Assessment and the fact that 2022 target total pay for Mr. Barrett Brown was below the peer group median.</w:t>
      </w:r>
    </w:p>
    <w:p>
      <w:pPr>
        <w:spacing w:after="0" w:line="49" w:lineRule="exact"/>
        <w:rPr>
          <w:rFonts w:ascii="Arial" w:cs="Arial" w:eastAsia="Arial" w:hAnsi="Arial"/>
          <w:sz w:val="19"/>
          <w:szCs w:val="19"/>
          <w:color w:val="auto"/>
          <w:vertAlign w:val="superscript"/>
        </w:rPr>
      </w:pPr>
    </w:p>
    <w:p>
      <w:pPr>
        <w:ind w:left="220" w:right="20" w:hanging="213"/>
        <w:spacing w:after="0" w:line="218"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2"/>
          <w:szCs w:val="12"/>
          <w:color w:val="auto"/>
        </w:rPr>
        <w:t>The Compensation Committee determined that to better reward and retain Mr. Walker, who is 66 years old, it was desirable to grant him PSUs and RSUs, which allow for the payment following his qualified retirement of PSUs that become awarded PSUs and the RSUs. If Mr. Walker’s retirement occurs before the third anniversary of the date of grant, the PSUs that become awarded PSUs and the RSUs will be paid to Mr. Walker on the second anniversary of his retirement, subject to Mr. Walker being in good standing with the Company as of the date of such payment; if Mr. Walker’s retirement occurs after the third anniversary of the date of grant, the PSUs that become awarded PSUs and the RSUs will be paid to Mr. Walker on the fifth anniversary of the date of grant, subject to Mr. Walker being in good standing with the Company as of the date of such payment.</w:t>
      </w:r>
    </w:p>
    <w:p>
      <w:pPr>
        <w:spacing w:after="0" w:line="49" w:lineRule="exact"/>
        <w:rPr>
          <w:rFonts w:ascii="Arial" w:cs="Arial" w:eastAsia="Arial" w:hAnsi="Arial"/>
          <w:sz w:val="19"/>
          <w:szCs w:val="19"/>
          <w:color w:val="auto"/>
          <w:vertAlign w:val="superscript"/>
        </w:rPr>
      </w:pPr>
    </w:p>
    <w:p>
      <w:pPr>
        <w:ind w:left="220" w:right="240" w:hanging="213"/>
        <w:spacing w:after="0" w:line="209" w:lineRule="auto"/>
        <w:tabs>
          <w:tab w:leader="none" w:pos="220" w:val="left"/>
        </w:tabs>
        <w:numPr>
          <w:ilvl w:val="0"/>
          <w:numId w:val="34"/>
        </w:numPr>
        <w:rPr>
          <w:rFonts w:ascii="Arial" w:cs="Arial" w:eastAsia="Arial" w:hAnsi="Arial"/>
          <w:sz w:val="19"/>
          <w:szCs w:val="19"/>
          <w:color w:val="auto"/>
          <w:vertAlign w:val="superscript"/>
        </w:rPr>
      </w:pPr>
      <w:r>
        <w:rPr>
          <w:rFonts w:ascii="Arial" w:cs="Arial" w:eastAsia="Arial" w:hAnsi="Arial"/>
          <w:sz w:val="12"/>
          <w:szCs w:val="12"/>
          <w:color w:val="auto"/>
        </w:rPr>
        <w:t>The decision to increase Mr. Walker’s 2024 long-term equity incentive award was based upon the January 2024 Comparative Market Assessment and the fact that 2022 target total pay for Mr. Walker was below the peer group median. Mr. Walker’s 2024 long-term equity incentive award includes a one-time incremental award of $500,000 granted in March 2024 in recognition of Mr. Walker’s outstanding individual performance during 2023 and the outstanding performance during 2023 of the offices for which Mr. Walker had responsibility.</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43</w:t>
      </w:r>
    </w:p>
    <w:p>
      <w:pPr>
        <w:sectPr>
          <w:pgSz w:w="11900" w:h="16838" w:orient="portrait"/>
          <w:cols w:equalWidth="0" w:num="1">
            <w:col w:w="10920"/>
          </w:cols>
          <w:pgMar w:left="480" w:top="304" w:right="49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Other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also provide the following compensation and benefits to attract and retain key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Benefits Generally</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Along with all other full-time employees, each of the Named Executive Officers is eligible: (a) to receive matching contributions to the Company’s 401(k) Plan; (b) to participate in our ESPP; (c) to participate in group medical, dental and other benefit plans and (d) to the extent permitted by applicable law, for reimbursement of amounts earned by the Company on personal lines insurance such as homeowners and flood insurance purchased by such Named Executive Officer. Our 401(k) Plan provides for matching contributions of up to four percent (4.0%) of the contributions made by each participant. The 401(k) Plan also permits discretionary profit-sharing contributions, but the Company made no such contributions to the accounts of Named Executive Officers for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Dividend Payments on Unvested Stock Awards</w:t>
      </w:r>
    </w:p>
    <w:p>
      <w:pPr>
        <w:spacing w:after="0" w:line="10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Named Executive Officers receive dividends on unvested shares, or dividend equivalents on unvested units, granted pursuant to the Company’s equity incentive compensation plans (i) that have exclusively time-based vesting requirements (e.g., time-based RSAs or RSUs) or (ii) for which the applicable performance conditions have been satisfied in accordance with the applicable award agreements, but the time-based vesting requirements have not been satisfied (e.g., performance-based PSAs or PSUs).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Deferred Compensation Plan</w:t>
      </w:r>
    </w:p>
    <w:p>
      <w:pPr>
        <w:spacing w:after="0" w:line="1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Named Executive Officers are eligible to participate in the Company’s non-qualified deferred compensation plan, which provides the opportunity to defer receipt of up to 75% of base salary and up to 100% of cash incentive and bonus compensation. Participant deferrals are credited to the participant’s deferral contribution account. The participant’s account is credited with earnings based on the performance of the participant’s investment allocation among a menu of investment options designated by the Company. The Company is permitted, but not required, to make matching contributions and other discretionary contributions under this plan. The Company made no matching or other discretionary contributions to the accounts of Named Executive Officers for 2023.</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A participant’s account under the Company’s non-qualified deferred compensation plan generally is distributed in a lump sum or installments upon the participant’s retirement, other termination of employment or death. However, in some circumstances (including hardship), all or a portion of the participant’s deferral account may be distributed on one or more specified dates prior to termination of employment. Participants elect at the time of deferral to have the distributions made in a lump sum or annual installments.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Personal Benefits</w:t>
      </w:r>
    </w:p>
    <w:p>
      <w:pPr>
        <w:spacing w:after="0" w:line="105"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Certain social club membership dues paid by the Named Executive Officers who have responsibility for the entertainment of clients, prospective clients and principals of acquisition prospects may be reimbursed by the Company or paid on behalf of the Named Executive Officer. Additionally, the Company reimburses certain car service expenses and for the costs of certain financial and tax planning services for each of the Named Executive Officers.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Policy on Tax Deductibility</w:t>
      </w:r>
    </w:p>
    <w:p>
      <w:pPr>
        <w:spacing w:after="0" w:line="10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deductibility of compensation payments can depend upon numerous factors, including the nature of the payment and the time that income is recognized under various plans, agreements and programs. Interpretations of and changes in applicable tax laws and regulations and other factors beyond the Compensation Committee’s control also can affect the deductibility of compensation. The Compensation Committee considers the anticipated tax treatment of the Company’s compensation programs and payments, including the potential impact of Section 162(m) of the United States Internal Revenue Code of 1986, as amended. Section 162(m) disallows a tax deduction for any publicly held corporation for individual compensation exceeding one million dollars in any taxable year for certain executive officers. Before the effective date of the Tax Cuts and Jobs Act of 2017 (the “Tax Reform Act”), which was signed into law in December 2017, amounts in excess of one million dollars were deductible if they qualified as performance-based compensation under a plan that was approved by the shareholders and that met certain other technical requirements. With respect to awards made before the Tax Reform Act, our general policy was to try to deliver equity-based compensation to employees in as tax-efficient a manner as possible, taking into consideration the overall cost to the Company. However, because our interests and our shareholders’ interests may sometimes be best served by providing compensation that is not deductible in order to attract and retain high-quality people that are crucial to both the short-term and long-term success of the Company, the Compensation Committee has determined at this time to retain the flexibility to provide for compensation that is not deductible.</w:t>
      </w:r>
    </w:p>
    <w:p>
      <w:pPr>
        <w:spacing w:after="0" w:line="160"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As a result of the Tax Reform Act, the exemption from the Section 162(m) deduction limit for performance-based compensation has been repealed, effective for taxable years beginning after December 31, 2017. Therefore, compensation paid to our covered executive officers in excess of one million dollars is not deductible unless it qualifies for transition relief applicable to certain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44</w:t>
      </w:r>
      <w:r>
        <w:rPr>
          <w:rFonts w:ascii="Arial" w:cs="Arial" w:eastAsia="Arial" w:hAnsi="Arial"/>
          <w:sz w:val="14"/>
          <w:szCs w:val="14"/>
          <w:color w:val="4C4C4C"/>
        </w:rPr>
        <w:t xml:space="preserve">  |  BROWN &amp; BROWN, INC.</w:t>
      </w:r>
    </w:p>
    <w:p>
      <w:pPr>
        <w:sectPr>
          <w:pgSz w:w="11900" w:h="16838" w:orient="portrait"/>
          <w:cols w:equalWidth="0" w:num="1">
            <w:col w:w="10900"/>
          </w:cols>
          <w:pgMar w:left="480" w:top="304" w:right="519" w:bottom="1440" w:gutter="0" w:footer="0" w:header="0"/>
        </w:sectPr>
      </w:pPr>
    </w:p>
    <w:bookmarkStart w:id="49" w:name="page50"/>
    <w:bookmarkEnd w:id="49"/>
    <w:p>
      <w:pPr>
        <w:ind w:left="77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arrangements in place as of November 2, 2017. Also, the Tax Reform Act expands the number of individuals covered by the Section 162(m) deduction limit. We will continue to monitor the pre-2018 equity-based awards and endeavor to preserve the deductibility of such awards if and when they are paid. Despite the Compensation Committee’s efforts to structure these awards in a manner intended to be exempt from the Section 162(m) deduction limit, because of uncertainties as to the application and interpretation of Section 162(m) after the Tax Reform Act and the Internal Revenue Service regulations that govern the scope of the transition relief provided by the legislation, no assurance can be given that compensation intended to satisfy the requirements for exemption from Section 162(m) will do so. In addition, the Compensation Committee reserves the right to modify compensation that was initially intended to be exempt from Section 162(m) if it determines that such modifications are consistent with the Company’s business needs.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Payments Upon Termination or Change in Control</w:t>
      </w:r>
    </w:p>
    <w:p>
      <w:pPr>
        <w:spacing w:after="0" w:line="105"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With the exception of Mr. Walker and Mr. Watts, all of the Named Executive Officers have employment agreements with the Company that include change-in-control provisions. The terms of our employment agreements with our Named Executive Officers are described below in “Employment and Deferred Compensation Agreements.”</w:t>
      </w:r>
    </w:p>
    <w:p>
      <w:pPr>
        <w:spacing w:after="0" w:line="13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2010 SIP and 2019 SIP provide for double-trigger vesting under which all participants, including all of the Named Executive Officers, would become vested in the following amounts if the participant’s service with us is involuntarily or constructively terminated (other than for specified causes, as set forth in the 2010 SIP and 2019 SIP) within 12 months after a change-in-control transaction, which is defined in each plan and designated as a “Transfer of Control” in the 2010 SIP and a “Change in Control” the 2019 SIP:</w:t>
      </w:r>
    </w:p>
    <w:p>
      <w:pPr>
        <w:spacing w:after="0" w:line="178" w:lineRule="exact"/>
        <w:rPr>
          <w:sz w:val="20"/>
          <w:szCs w:val="20"/>
          <w:color w:val="auto"/>
        </w:rPr>
      </w:pPr>
    </w:p>
    <w:p>
      <w:pPr>
        <w:ind w:left="220" w:right="180" w:hanging="213"/>
        <w:spacing w:after="0" w:line="279"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all grants, except those performance-based restricted stock grants in or after February 2022, 100% of all unvested restricted stock grants granted pursuant to such 2010 SIP or 2019 SIP grants agreements and</w:t>
      </w:r>
    </w:p>
    <w:p>
      <w:pPr>
        <w:spacing w:after="0" w:line="26" w:lineRule="exact"/>
        <w:rPr>
          <w:rFonts w:ascii="Arial" w:cs="Arial" w:eastAsia="Arial" w:hAnsi="Arial"/>
          <w:sz w:val="16"/>
          <w:szCs w:val="16"/>
          <w:color w:val="auto"/>
        </w:rPr>
      </w:pPr>
    </w:p>
    <w:p>
      <w:pPr>
        <w:ind w:left="220" w:right="100" w:hanging="213"/>
        <w:spacing w:after="0" w:line="256"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all performance-based restricted stock grants in or after February 2022, the greater of: (a) 100% of such unvested restricted stock grants or (b) the percentage of unvested restricted stock grants determined in accordance with the applicable performance schedule based upon the actual level of achievement (up to the applicable maximum level of achievement) from the first day of the performance period to the date on which the change-in-control transaction occurs.</w:t>
      </w:r>
    </w:p>
    <w:p>
      <w:pPr>
        <w:spacing w:after="0" w:line="15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For information concerning the value of the vested shares that each of the Named Executive Officers would have under the 2010 SIP and the 2019 SIP in the event that termination of employment after a change-in-control transaction had occurred on the last business day of 2023, see the table titled “Potential Payments Upon Termination or Change in Control – 2023.”</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PSP (which was terminated in 2010) provides that all outstanding grants of PSP stock shall become fully vested and non-forfeitable in the event of:</w:t>
      </w:r>
    </w:p>
    <w:p>
      <w:pPr>
        <w:spacing w:after="0" w:line="19" w:lineRule="exact"/>
        <w:rPr>
          <w:sz w:val="20"/>
          <w:szCs w:val="20"/>
          <w:color w:val="auto"/>
        </w:rPr>
      </w:pPr>
    </w:p>
    <w:p>
      <w:pPr>
        <w:ind w:right="40" w:firstLine="7"/>
        <w:spacing w:after="0" w:line="245" w:lineRule="auto"/>
        <w:tabs>
          <w:tab w:leader="none" w:pos="18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Company’s entry into any agreement to sell all or substantially all of its assets or to enter into any merger, consolidation, reorganization, division or other corporate transaction in which Company stock is converted into another security or into the right to receive securities or property, where such agreement does not provide for the assumption or substitution of PSP stock; (ii) any tender or exchange offer for the Company’s stock accepted by a majority of the shareholders of the Company; or (iii) the death of J. Hyatt Brown and the subsequent sale by his estate, his wife, his lineal descendants, any trust created for his benefit during his lifetime, or any combination of the foregoing, of the Company stock owned by J. Hyatt Brown prior to his death. The PSP further provides that if any shares of PSP stock become fully vested and non-forfeitable because of the occurrence of these events, the Company shall pay to the holders of such shares, within 60 days of the occurrence of such event, the full amount of any federal and state income tax liability incurred by such holder as a result of such vesting, including, without limitation, any excise tax with respect to such vesting (e.g., under Internal Revenue Code Section 4999 and any successor provision) as well as the amount of any tax liability with respect to such “gross-up” payment. This excise tax gross-up provision is a legacy provision that applies only to awards that were granted under the PSP prior to its suspension in 2010, and no new agreements that contain excise tax gross-up provisions have been entered into, and no previous agreements containing such legacy provisions have been materially amended. Additionally, the PSP provides that in the event of any “Change in Control” (as defined in the PSP, and excluding the triggering events described above), the Board thereafter shall have the right to take such action with respect to any shares of PSP stock that are forfeitable, or all such shares of PSP stock, as the Board in its discretion deems appropriate under the circumstances to protect the interests of the Company in maintaining the integrity of the awards under the PSP. The PSP further states that the Board shall have the right to take different action with respect to different “Key Employees” (as defined in the PSP) or different groups of “Key Employees,” as the Board in its discretion deems appropriate under the circumstances. For information concerning the value of the vested PSP stock that each of the Named Executive Officers would have in the event that one of the triggering events described above occurred on the last business day of 2023, see the table titled “Potential Payments Upon Termination or Change in Control – 2023.”</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45</w:t>
      </w:r>
    </w:p>
    <w:p>
      <w:pPr>
        <w:sectPr>
          <w:pgSz w:w="11900" w:h="16838" w:orient="portrait"/>
          <w:cols w:equalWidth="0" w:num="1">
            <w:col w:w="10920"/>
          </w:cols>
          <w:pgMar w:left="480" w:top="304" w:right="49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Employment and Deferred Compensation Arrangements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MESSRS. POWELL BROWN, BARRETT BROWN AND PENNY</w:t>
      </w:r>
    </w:p>
    <w:p>
      <w:pPr>
        <w:spacing w:after="0" w:line="11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Messrs. Powell Brown and Penny entered into new employment agreements with the Company in 2014, and Mr. Barrett Brown entered into a new employment agreement with the Company in 2015, in each case replacing previous employment agreements that had different terms. Compensation under these agreements is not specified, but rather is to be agreed upon between the Company and the executive from time to time. See “Compensation Discussion and Analysis” for information concerning the considerations affecting the compensation of the Named Executive Officers. The agreements include a provision that states that in the event of a “Change in Control,” defined as a circumstance in which the holders of more than 50% of the voting stock of the Company before the transaction closes hold less than 50% of the voting stock of the Company after the transaction closes, if the resulting entity employs executives with duties similar in character, classification or responsibilities to the Named Executive Officer’s, the Agreement shall be deemed modified to provide the Named Executive Officer with “equivalent terms and benefits to those of similar executives.” The new employment agreements include, among other provisions, restrictive covenants prohibiting the solicitation or diversion of business or employees for a period of two years following voluntary or involuntary separation from employment and also prohibit disclosure of confidential information. These agreements may be terminated by either party at any time, with or without cause or advance notice.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MR. WALKER</w:t>
      </w:r>
    </w:p>
    <w:p>
      <w:pPr>
        <w:spacing w:after="0" w:line="11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Mr. Walker entered into an employment agreement with the Company effective January 9, 2012, in connection with our acquisition of Arrowhead General Insurance Agency, Inc. The agreement may be terminated by either party at any time, with or without cause or advance notice. Compensation under the agreement is at an amount agreed upon between us and Mr. Walker from time to time, and for a period of two years following the termination of employment, the agreement prohibits Mr. Walker from directly or indirectly soliciting or servicing our customers, or soliciting our employees to leave their employment with us.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1D4F90"/>
        </w:rPr>
        <w:t>MR. WATTS</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connection with his hiring in 2014, Mr. Watts and the Company entered into an employment agreement with an initial term that ended on February 17, 2017 (the “Term”). Following the conclusion of the Term, the terms of the employment agreement continued in effect, except that the agreement may now be terminated by either party at any time, with or without cause or advance notice. Compensation under the agreement is at an amount agreed upon between us and Mr. Watts from time to time, and for a period of two years following the termination of employment, the agreement prohibits Mr. Watts from directly or indirectly soliciting or servicing our customers, or soliciting our employees to leave their employment with us.</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above descriptions of our employment agreements with our Named Executive Officers are summaries and are qualified by reference to the copies of such agreements that have been filed as exhibits to our SEC filings as follows:</w:t>
      </w:r>
    </w:p>
    <w:p>
      <w:pPr>
        <w:spacing w:after="0" w:line="161" w:lineRule="exact"/>
        <w:rPr>
          <w:sz w:val="20"/>
          <w:szCs w:val="20"/>
          <w:color w:val="auto"/>
        </w:rPr>
      </w:pPr>
    </w:p>
    <w:p>
      <w:pPr>
        <w:ind w:left="220" w:hanging="213"/>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Messrs. Powell Brown, Barrett Brown and Penny, Exhibit 10.2 to Form 10-Q for the quarter ended September 30, 2014;</w:t>
      </w:r>
    </w:p>
    <w:p>
      <w:pPr>
        <w:spacing w:after="0" w:line="123" w:lineRule="exact"/>
        <w:rPr>
          <w:rFonts w:ascii="Arial" w:cs="Arial" w:eastAsia="Arial" w:hAnsi="Arial"/>
          <w:sz w:val="16"/>
          <w:szCs w:val="16"/>
          <w:color w:val="auto"/>
        </w:rPr>
      </w:pPr>
    </w:p>
    <w:p>
      <w:pPr>
        <w:ind w:left="220" w:hanging="213"/>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Mr. Watts, Exhibit 10.2 to Form 10-Q for the quarter ended March 31, 2014 and</w:t>
      </w:r>
    </w:p>
    <w:p>
      <w:pPr>
        <w:spacing w:after="0" w:line="123" w:lineRule="exact"/>
        <w:rPr>
          <w:rFonts w:ascii="Arial" w:cs="Arial" w:eastAsia="Arial" w:hAnsi="Arial"/>
          <w:sz w:val="16"/>
          <w:szCs w:val="16"/>
          <w:color w:val="auto"/>
        </w:rPr>
      </w:pPr>
    </w:p>
    <w:p>
      <w:pPr>
        <w:ind w:left="220" w:hanging="213"/>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Mr. Walker, Exhibit 10.1 to Form 10-Q for the quarter ended March 31, 2013.</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Hedging and Pledging Policies; Stock Ownership Requirements; Clawback Policy</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adopted policies prohibiting the hedging (as defined below) of our stock by directors, executive officers and other members of our Senior Leadership Team and prohibiting the pledging of our stock by directors, as well prohibiting the pledging of our stock held pursuant to our stock ownership requirements by our executive officers and other members of our Senior Leadership Team. For the purposes of this policy, “hedging” includes engaging in short sales of Company stock and engaging in hedging transactions in publicly traded options that are based on the trading price of Company stock, such as puts, calls and other derivative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46</w:t>
      </w:r>
      <w:r>
        <w:rPr>
          <w:rFonts w:ascii="Arial" w:cs="Arial" w:eastAsia="Arial" w:hAnsi="Arial"/>
          <w:sz w:val="14"/>
          <w:szCs w:val="14"/>
          <w:color w:val="4C4C4C"/>
        </w:rPr>
        <w:t xml:space="preserve">  |  BROWN &amp; BROWN, INC.</w:t>
      </w:r>
    </w:p>
    <w:p>
      <w:pPr>
        <w:sectPr>
          <w:pgSz w:w="11900" w:h="16838" w:orient="portrait"/>
          <w:cols w:equalWidth="0" w:num="1">
            <w:col w:w="10880"/>
          </w:cols>
          <w:pgMar w:left="480" w:top="304" w:right="539" w:bottom="1440" w:gutter="0" w:footer="0" w:header="0"/>
        </w:sectPr>
      </w:pPr>
    </w:p>
    <w:bookmarkStart w:id="51" w:name="page52"/>
    <w:bookmarkEnd w:id="51"/>
    <w:p>
      <w:pPr>
        <w:ind w:left="774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Our stock ownership requirements provide that members of the Company’s Senior Leadership Team must accumulate Company stock valued at the following multiples of their base salaries within three years of hire or promotion, and retain such stock until retirement, separation from employment or removal from one of the categories set forth below:</w:t>
      </w:r>
    </w:p>
    <w:p>
      <w:pPr>
        <w:spacing w:after="0" w:line="173" w:lineRule="exact"/>
        <w:rPr>
          <w:sz w:val="20"/>
          <w:szCs w:val="20"/>
          <w:color w:val="auto"/>
        </w:rPr>
      </w:pPr>
    </w:p>
    <w:p>
      <w:pPr>
        <w:ind w:right="4700"/>
        <w:spacing w:after="0" w:line="292" w:lineRule="auto"/>
        <w:rPr>
          <w:sz w:val="20"/>
          <w:szCs w:val="20"/>
          <w:color w:val="auto"/>
        </w:rPr>
      </w:pPr>
      <w:r>
        <w:rPr>
          <w:rFonts w:ascii="Arial" w:cs="Arial" w:eastAsia="Arial" w:hAnsi="Arial"/>
          <w:sz w:val="16"/>
          <w:szCs w:val="16"/>
          <w:b w:val="1"/>
          <w:bCs w:val="1"/>
          <w:color w:val="1D4F90"/>
        </w:rPr>
        <w:t>STOCK OWNERSHIP GUIDELINES – NAMED EXECUTIVE OFFICER COMPLIANCE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98425</wp:posOffset>
            </wp:positionV>
            <wp:extent cx="5706745" cy="26244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0674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right="120" w:hanging="213"/>
        <w:spacing w:after="0" w:line="214" w:lineRule="auto"/>
        <w:tabs>
          <w:tab w:leader="none" w:pos="220" w:val="left"/>
        </w:tabs>
        <w:numPr>
          <w:ilvl w:val="0"/>
          <w:numId w:val="38"/>
        </w:numPr>
        <w:rPr>
          <w:rFonts w:ascii="Arial" w:cs="Arial" w:eastAsia="Arial" w:hAnsi="Arial"/>
          <w:sz w:val="19"/>
          <w:szCs w:val="19"/>
          <w:color w:val="auto"/>
          <w:vertAlign w:val="superscript"/>
        </w:rPr>
      </w:pPr>
      <w:r>
        <w:rPr>
          <w:rFonts w:ascii="Arial" w:cs="Arial" w:eastAsia="Arial" w:hAnsi="Arial"/>
          <w:sz w:val="12"/>
          <w:szCs w:val="12"/>
          <w:color w:val="auto"/>
        </w:rPr>
        <w:t>Ownership levels include: (i) shares owned directly or indirectly, excluding shares owned by immediate family members as to which beneficial ownership is disclaimed; (ii) unvested PSP shares that have met the applicable performance conditions under the applicable award agreements and (iii) unvested 2010 SIP and 2019 SIP shares or units that (a) are subject to a time-based-only vesting condition or (b) have met the applicable performance conditions under the applicable award agreements. For Messrs. Powell Brown and Barrett Brown, ownership levels exclude 2,054,950 shares held by the James Hyatt Brown Nongrantor Charitable Lead Annuity Trust, of which each of them is a trustee and a remainder beneficiary.</w:t>
      </w:r>
    </w:p>
    <w:p>
      <w:pPr>
        <w:spacing w:after="0" w:line="51" w:lineRule="exact"/>
        <w:rPr>
          <w:rFonts w:ascii="Arial" w:cs="Arial" w:eastAsia="Arial" w:hAnsi="Arial"/>
          <w:sz w:val="19"/>
          <w:szCs w:val="19"/>
          <w:color w:val="auto"/>
          <w:vertAlign w:val="superscript"/>
        </w:rPr>
      </w:pPr>
    </w:p>
    <w:p>
      <w:pPr>
        <w:ind w:left="220" w:right="120" w:hanging="213"/>
        <w:spacing w:after="0" w:line="201" w:lineRule="auto"/>
        <w:tabs>
          <w:tab w:leader="none" w:pos="220" w:val="left"/>
        </w:tabs>
        <w:numPr>
          <w:ilvl w:val="0"/>
          <w:numId w:val="38"/>
        </w:numPr>
        <w:rPr>
          <w:rFonts w:ascii="Arial" w:cs="Arial" w:eastAsia="Arial" w:hAnsi="Arial"/>
          <w:sz w:val="19"/>
          <w:szCs w:val="19"/>
          <w:color w:val="auto"/>
          <w:vertAlign w:val="superscript"/>
        </w:rPr>
      </w:pPr>
      <w:r>
        <w:rPr>
          <w:rFonts w:ascii="Arial" w:cs="Arial" w:eastAsia="Arial" w:hAnsi="Arial"/>
          <w:sz w:val="12"/>
          <w:szCs w:val="12"/>
          <w:color w:val="auto"/>
        </w:rPr>
        <w:t>The ownership requirements are as follows: Chief Executive Officer – six times base salary; Senior Leadership Team members who are “officers” pursuant to Section 16 of Securities Exchange Act 1934 – three times base salary and Senior Leadership Team members who are not “officers” pursuant to Section 16 of the Securities Exchange Act of 1934 – one times base salary.</w:t>
      </w:r>
    </w:p>
    <w:p>
      <w:pPr>
        <w:spacing w:after="0" w:line="147"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In addition, each non-employee director is required to accumulate Brown &amp; Brown common stock valued at least five times the current annual cash retainer within five years of joining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29755" cy="9512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951230"/>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361"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002856"/>
        </w:rPr>
        <w:t>On average, each of our</w:t>
      </w:r>
    </w:p>
    <w:p>
      <w:pPr>
        <w:spacing w:after="0" w:line="19"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002856"/>
        </w:rPr>
        <w:t>non-employee directors</w:t>
      </w:r>
    </w:p>
    <w:p>
      <w:pPr>
        <w:spacing w:after="0" w:line="3" w:lineRule="exact"/>
        <w:rPr>
          <w:sz w:val="20"/>
          <w:szCs w:val="20"/>
          <w:color w:val="auto"/>
        </w:rPr>
      </w:pPr>
    </w:p>
    <w:p>
      <w:pPr>
        <w:jc w:val="right"/>
        <w:ind w:right="360"/>
        <w:spacing w:after="0"/>
        <w:rPr>
          <w:sz w:val="20"/>
          <w:szCs w:val="20"/>
          <w:color w:val="auto"/>
        </w:rPr>
      </w:pPr>
      <w:r>
        <w:rPr>
          <w:rFonts w:ascii="Arial" w:cs="Arial" w:eastAsia="Arial" w:hAnsi="Arial"/>
          <w:sz w:val="15"/>
          <w:szCs w:val="15"/>
          <w:b w:val="1"/>
          <w:bCs w:val="1"/>
          <w:color w:val="002856"/>
        </w:rPr>
        <w:t>owns Brown &amp; Brown common</w:t>
      </w:r>
    </w:p>
    <w:p>
      <w:pPr>
        <w:spacing w:after="0" w:line="15"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002856"/>
        </w:rPr>
        <w:t>stock valued at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50"/>
          <w:szCs w:val="50"/>
          <w:b w:val="1"/>
          <w:bCs w:val="1"/>
          <w:color w:val="002856"/>
        </w:rPr>
        <w:t>37x</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the current annual cash retainer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as of December 31, 2023.</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 </w:t>
      </w:r>
    </w:p>
    <w:p>
      <w:pPr>
        <w:spacing w:after="0" w:line="200" w:lineRule="exact"/>
        <w:rPr>
          <w:sz w:val="20"/>
          <w:szCs w:val="20"/>
          <w:color w:val="auto"/>
        </w:rPr>
      </w:pPr>
    </w:p>
    <w:p>
      <w:pPr>
        <w:sectPr>
          <w:pgSz w:w="11900" w:h="16838" w:orient="portrait"/>
          <w:cols w:equalWidth="0" w:num="2">
            <w:col w:w="5700" w:space="720"/>
            <w:col w:w="4500"/>
          </w:cols>
          <w:pgMar w:left="480" w:top="304" w:right="499" w:bottom="1440" w:gutter="0" w:footer="0" w:header="0"/>
          <w:type w:val="continuous"/>
        </w:sectPr>
      </w:pP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June 2023, the SEC approved the NYSE’s proposed listing standards to implement the SEC’s clawback rule adopted pursuant to the requirements of Section 954 of the Dodd-Frank Act. The listing standards require all NYSE-listed companies to adopt a clawback policy for current and former Section 16 officers (“Covered Executives”) by December 1, 2023. In October 2023, the Board of Directors approved our Policy Regarding the Mandatory Recovery of Compensation (the “Clawback Policy”), which requires the Compensation Committee, subject to certain narrow exceptions permitted by the NYSE listing standards, to recover from Covered Executives erroneously awarded compensation in the event of a restatement of our financial statements due to material noncompliance with federal securities laws. Incentive-based compensation that was “received” during the three completed fiscal years preceding the restatement is subject to recoupment. A copy of the Clawback Policy was filed as an exhibit to our Annual Report on Form 10-K for fiscal 2023.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47</w:t>
      </w:r>
    </w:p>
    <w:p>
      <w:pPr>
        <w:sectPr>
          <w:pgSz w:w="11900" w:h="16838" w:orient="portrait"/>
          <w:cols w:equalWidth="0" w:num="1">
            <w:col w:w="10920"/>
          </w:cols>
          <w:pgMar w:left="480" w:top="304" w:right="49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The following table sets forth the compensation received by our Named Executive Officers for services rendered to us in such capacity for the years ended December 31, 2023, 2022 and 2021.</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Summary Compensation Table 2021-2023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Non-Equity</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002856"/>
              </w:rPr>
              <w:t>Salary</w:t>
            </w:r>
          </w:p>
        </w:tc>
        <w:tc>
          <w:tcPr>
            <w:tcW w:w="8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002856"/>
              </w:rPr>
              <w:t>Bonus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2856"/>
                <w:w w:val="99"/>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Incentive Plan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2856"/>
              </w:rPr>
              <w:t>All Other</w:t>
            </w:r>
          </w:p>
        </w:tc>
        <w:tc>
          <w:tcPr>
            <w:tcW w:w="78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002856"/>
              </w:rPr>
              <w:t>Total</w:t>
            </w: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16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002856"/>
              </w:rPr>
              <w:t>Fiscal</w:t>
            </w: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w w:val="98"/>
              </w:rPr>
              <w:t>Awards</w:t>
            </w: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Compensation</w:t>
            </w: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Compensation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 and Principal Position</w:t>
            </w:r>
          </w:p>
        </w:tc>
        <w:tc>
          <w:tcPr>
            <w:tcW w:w="1640" w:type="dxa"/>
            <w:vAlign w:val="bottom"/>
            <w:tcBorders>
              <w:bottom w:val="single" w:sz="8" w:color="C6093B"/>
            </w:tcBorders>
          </w:tcPr>
          <w:p>
            <w:pPr>
              <w:jc w:val="right"/>
              <w:ind w:right="89"/>
              <w:spacing w:after="0"/>
              <w:rPr>
                <w:sz w:val="20"/>
                <w:szCs w:val="20"/>
                <w:color w:val="auto"/>
              </w:rPr>
            </w:pPr>
            <w:r>
              <w:rPr>
                <w:rFonts w:ascii="Arial" w:cs="Arial" w:eastAsia="Arial" w:hAnsi="Arial"/>
                <w:sz w:val="14"/>
                <w:szCs w:val="14"/>
                <w:b w:val="1"/>
                <w:bCs w:val="1"/>
                <w:color w:val="002856"/>
              </w:rPr>
              <w:t>Year</w:t>
            </w:r>
          </w:p>
        </w:tc>
        <w:tc>
          <w:tcPr>
            <w:tcW w:w="840" w:type="dxa"/>
            <w:vAlign w:val="bottom"/>
            <w:tcBorders>
              <w:bottom w:val="single" w:sz="8" w:color="C6093B"/>
            </w:tcBorders>
          </w:tcPr>
          <w:p>
            <w:pPr>
              <w:jc w:val="right"/>
              <w:ind w:right="289"/>
              <w:spacing w:after="0"/>
              <w:rPr>
                <w:sz w:val="20"/>
                <w:szCs w:val="20"/>
                <w:color w:val="auto"/>
              </w:rPr>
            </w:pPr>
            <w:r>
              <w:rPr>
                <w:rFonts w:ascii="Arial" w:cs="Arial" w:eastAsia="Arial" w:hAnsi="Arial"/>
                <w:sz w:val="14"/>
                <w:szCs w:val="14"/>
                <w:b w:val="1"/>
                <w:bCs w:val="1"/>
                <w:color w:val="002856"/>
              </w:rPr>
              <w:t>($)</w:t>
            </w:r>
          </w:p>
        </w:tc>
        <w:tc>
          <w:tcPr>
            <w:tcW w:w="820" w:type="dxa"/>
            <w:vAlign w:val="bottom"/>
            <w:tcBorders>
              <w:bottom w:val="single" w:sz="8" w:color="C6093B"/>
            </w:tcBorders>
          </w:tcPr>
          <w:p>
            <w:pPr>
              <w:jc w:val="right"/>
              <w:ind w:right="289"/>
              <w:spacing w:after="0"/>
              <w:rPr>
                <w:sz w:val="20"/>
                <w:szCs w:val="20"/>
                <w:color w:val="auto"/>
              </w:rPr>
            </w:pPr>
            <w:r>
              <w:rPr>
                <w:rFonts w:ascii="Arial" w:cs="Arial" w:eastAsia="Arial" w:hAnsi="Arial"/>
                <w:sz w:val="14"/>
                <w:szCs w:val="14"/>
                <w:b w:val="1"/>
                <w:bCs w:val="1"/>
                <w:color w:val="002856"/>
              </w:rPr>
              <w:t>($)</w:t>
            </w:r>
          </w:p>
        </w:tc>
        <w:tc>
          <w:tcPr>
            <w:tcW w:w="800" w:type="dxa"/>
            <w:vAlign w:val="bottom"/>
            <w:tcBorders>
              <w:bottom w:val="single" w:sz="8" w:color="C6093B"/>
            </w:tcBorders>
          </w:tcPr>
          <w:p>
            <w:pPr>
              <w:jc w:val="center"/>
              <w:spacing w:after="0" w:line="184" w:lineRule="exact"/>
              <w:rPr>
                <w:sz w:val="20"/>
                <w:szCs w:val="20"/>
                <w:color w:val="auto"/>
              </w:rPr>
            </w:pPr>
            <w:r>
              <w:rPr>
                <w:rFonts w:ascii="Arial" w:cs="Arial" w:eastAsia="Arial" w:hAnsi="Arial"/>
                <w:sz w:val="21"/>
                <w:szCs w:val="21"/>
                <w:b w:val="1"/>
                <w:bCs w:val="1"/>
                <w:color w:val="002856"/>
                <w:vertAlign w:val="subscript"/>
              </w:rPr>
              <w:t>($)</w:t>
            </w:r>
            <w:r>
              <w:rPr>
                <w:rFonts w:ascii="Arial" w:cs="Arial" w:eastAsia="Arial" w:hAnsi="Arial"/>
                <w:sz w:val="9"/>
                <w:szCs w:val="9"/>
                <w:b w:val="1"/>
                <w:bCs w:val="1"/>
                <w:color w:val="002856"/>
              </w:rPr>
              <w:t>(1)</w:t>
            </w:r>
          </w:p>
        </w:tc>
        <w:tc>
          <w:tcPr>
            <w:tcW w:w="11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w:t>
            </w:r>
          </w:p>
        </w:tc>
        <w:tc>
          <w:tcPr>
            <w:tcW w:w="1140" w:type="dxa"/>
            <w:vAlign w:val="bottom"/>
            <w:tcBorders>
              <w:bottom w:val="single" w:sz="8" w:color="C6093B"/>
            </w:tcBorders>
          </w:tcPr>
          <w:p>
            <w:pPr>
              <w:jc w:val="center"/>
              <w:spacing w:after="0" w:line="184" w:lineRule="exact"/>
              <w:rPr>
                <w:sz w:val="20"/>
                <w:szCs w:val="20"/>
                <w:color w:val="auto"/>
              </w:rPr>
            </w:pPr>
            <w:r>
              <w:rPr>
                <w:rFonts w:ascii="Arial" w:cs="Arial" w:eastAsia="Arial" w:hAnsi="Arial"/>
                <w:sz w:val="21"/>
                <w:szCs w:val="21"/>
                <w:b w:val="1"/>
                <w:bCs w:val="1"/>
                <w:color w:val="002856"/>
                <w:vertAlign w:val="subscript"/>
              </w:rPr>
              <w:t>($)</w:t>
            </w:r>
            <w:r>
              <w:rPr>
                <w:rFonts w:ascii="Arial" w:cs="Arial" w:eastAsia="Arial" w:hAnsi="Arial"/>
                <w:sz w:val="9"/>
                <w:szCs w:val="9"/>
                <w:b w:val="1"/>
                <w:bCs w:val="1"/>
                <w:color w:val="002856"/>
              </w:rPr>
              <w:t>(2)</w:t>
            </w:r>
          </w:p>
        </w:tc>
        <w:tc>
          <w:tcPr>
            <w:tcW w:w="780" w:type="dxa"/>
            <w:vAlign w:val="bottom"/>
            <w:tcBorders>
              <w:bottom w:val="single" w:sz="8" w:color="C6093B"/>
            </w:tcBorders>
          </w:tcPr>
          <w:p>
            <w:pPr>
              <w:jc w:val="right"/>
              <w:ind w:right="229"/>
              <w:spacing w:after="0"/>
              <w:rPr>
                <w:sz w:val="20"/>
                <w:szCs w:val="20"/>
                <w:color w:val="auto"/>
              </w:rPr>
            </w:pPr>
            <w:r>
              <w:rPr>
                <w:rFonts w:ascii="Arial" w:cs="Arial" w:eastAsia="Arial" w:hAnsi="Arial"/>
                <w:sz w:val="14"/>
                <w:szCs w:val="14"/>
                <w:b w:val="1"/>
                <w:bCs w:val="1"/>
                <w:color w:val="002856"/>
              </w:rPr>
              <w:t>($)</w:t>
            </w:r>
          </w:p>
        </w:tc>
        <w:tc>
          <w:tcPr>
            <w:tcW w:w="0" w:type="dxa"/>
            <w:vAlign w:val="bottom"/>
          </w:tcPr>
          <w:p>
            <w:pPr>
              <w:spacing w:after="0"/>
              <w:rPr>
                <w:sz w:val="1"/>
                <w:szCs w:val="1"/>
                <w:color w:val="auto"/>
              </w:rPr>
            </w:pPr>
          </w:p>
        </w:tc>
      </w:tr>
      <w:tr>
        <w:trPr>
          <w:trHeight w:val="205"/>
        </w:trPr>
        <w:tc>
          <w:tcPr>
            <w:tcW w:w="3760" w:type="dxa"/>
            <w:vAlign w:val="bottom"/>
          </w:tcPr>
          <w:p>
            <w:pPr>
              <w:ind w:left="80"/>
              <w:spacing w:after="0"/>
              <w:rPr>
                <w:sz w:val="20"/>
                <w:szCs w:val="20"/>
                <w:color w:val="auto"/>
              </w:rPr>
            </w:pPr>
            <w:r>
              <w:rPr>
                <w:rFonts w:ascii="Arial" w:cs="Arial" w:eastAsia="Arial" w:hAnsi="Arial"/>
                <w:sz w:val="14"/>
                <w:szCs w:val="14"/>
                <w:b w:val="1"/>
                <w:bCs w:val="1"/>
                <w:color w:val="1D4F90"/>
              </w:rPr>
              <w:t>J. Powell Brown</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1,000,000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2,941,861</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5,500,000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344,884</w:t>
            </w:r>
          </w:p>
        </w:tc>
        <w:tc>
          <w:tcPr>
            <w:tcW w:w="780" w:type="dxa"/>
            <w:vAlign w:val="bottom"/>
          </w:tcPr>
          <w:p>
            <w:pPr>
              <w:jc w:val="right"/>
              <w:spacing w:after="0"/>
              <w:rPr>
                <w:sz w:val="20"/>
                <w:szCs w:val="20"/>
                <w:color w:val="auto"/>
              </w:rPr>
            </w:pPr>
            <w:r>
              <w:rPr>
                <w:rFonts w:ascii="Arial" w:cs="Arial" w:eastAsia="Arial" w:hAnsi="Arial"/>
                <w:sz w:val="14"/>
                <w:szCs w:val="14"/>
                <w:color w:val="auto"/>
              </w:rPr>
              <w:t>9,786,745</w:t>
            </w:r>
          </w:p>
        </w:tc>
        <w:tc>
          <w:tcPr>
            <w:tcW w:w="0" w:type="dxa"/>
            <w:vAlign w:val="bottom"/>
          </w:tcPr>
          <w:p>
            <w:pPr>
              <w:spacing w:after="0"/>
              <w:rPr>
                <w:sz w:val="1"/>
                <w:szCs w:val="1"/>
                <w:color w:val="auto"/>
              </w:rPr>
            </w:pPr>
          </w:p>
        </w:tc>
      </w:tr>
      <w:tr>
        <w:trPr>
          <w:trHeight w:val="160"/>
        </w:trPr>
        <w:tc>
          <w:tcPr>
            <w:tcW w:w="376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1,000,000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2,953,648</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2,501,000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286,985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6,741,633</w:t>
            </w:r>
          </w:p>
        </w:tc>
        <w:tc>
          <w:tcPr>
            <w:tcW w:w="0" w:type="dxa"/>
            <w:vAlign w:val="bottom"/>
          </w:tcPr>
          <w:p>
            <w:pPr>
              <w:spacing w:after="0"/>
              <w:rPr>
                <w:sz w:val="1"/>
                <w:szCs w:val="1"/>
                <w:color w:val="auto"/>
              </w:rPr>
            </w:pPr>
          </w:p>
        </w:tc>
      </w:tr>
      <w:tr>
        <w:trPr>
          <w:trHeight w:val="95"/>
        </w:trPr>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and President</w:t>
            </w:r>
          </w:p>
        </w:tc>
        <w:tc>
          <w:tcPr>
            <w:tcW w:w="1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1,000,000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1,020,000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2,940,017</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3,980,000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261,018</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9,201,035</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60" w:type="dxa"/>
            <w:vAlign w:val="bottom"/>
            <w:tcBorders>
              <w:bottom w:val="single" w:sz="8" w:color="4C4C4C"/>
            </w:tcBorders>
          </w:tcPr>
          <w:p>
            <w:pPr>
              <w:spacing w:after="0"/>
              <w:rPr>
                <w:sz w:val="4"/>
                <w:szCs w:val="4"/>
                <w:color w:val="auto"/>
              </w:rPr>
            </w:pPr>
          </w:p>
        </w:tc>
        <w:tc>
          <w:tcPr>
            <w:tcW w:w="164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rPr>
                <w:sz w:val="20"/>
                <w:szCs w:val="20"/>
                <w:color w:val="auto"/>
              </w:rPr>
            </w:pPr>
            <w:r>
              <w:rPr>
                <w:rFonts w:ascii="Arial" w:cs="Arial" w:eastAsia="Arial" w:hAnsi="Arial"/>
                <w:sz w:val="14"/>
                <w:szCs w:val="14"/>
                <w:b w:val="1"/>
                <w:bCs w:val="1"/>
                <w:color w:val="1D4F90"/>
              </w:rPr>
              <w:t>R. Andrew Watts</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648,077</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980,620</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1,559,000 </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81,161</w:t>
            </w:r>
          </w:p>
        </w:tc>
        <w:tc>
          <w:tcPr>
            <w:tcW w:w="780" w:type="dxa"/>
            <w:vAlign w:val="bottom"/>
          </w:tcPr>
          <w:p>
            <w:pPr>
              <w:jc w:val="right"/>
              <w:spacing w:after="0"/>
              <w:rPr>
                <w:sz w:val="20"/>
                <w:szCs w:val="20"/>
                <w:color w:val="auto"/>
              </w:rPr>
            </w:pPr>
            <w:r>
              <w:rPr>
                <w:rFonts w:ascii="Arial" w:cs="Arial" w:eastAsia="Arial" w:hAnsi="Arial"/>
                <w:sz w:val="14"/>
                <w:szCs w:val="14"/>
                <w:color w:val="auto"/>
              </w:rPr>
              <w:t>3,268,858</w:t>
            </w:r>
          </w:p>
        </w:tc>
        <w:tc>
          <w:tcPr>
            <w:tcW w:w="0" w:type="dxa"/>
            <w:vAlign w:val="bottom"/>
          </w:tcPr>
          <w:p>
            <w:pPr>
              <w:spacing w:after="0"/>
              <w:rPr>
                <w:sz w:val="1"/>
                <w:szCs w:val="1"/>
                <w:color w:val="auto"/>
              </w:rPr>
            </w:pPr>
          </w:p>
        </w:tc>
      </w:tr>
      <w:tr>
        <w:trPr>
          <w:trHeight w:val="160"/>
        </w:trPr>
        <w:tc>
          <w:tcPr>
            <w:tcW w:w="376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60,000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2,689,057</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981,000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78,459</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4,408,516</w:t>
            </w:r>
          </w:p>
        </w:tc>
        <w:tc>
          <w:tcPr>
            <w:tcW w:w="0" w:type="dxa"/>
            <w:vAlign w:val="bottom"/>
          </w:tcPr>
          <w:p>
            <w:pPr>
              <w:spacing w:after="0"/>
              <w:rPr>
                <w:sz w:val="1"/>
                <w:szCs w:val="1"/>
                <w:color w:val="auto"/>
              </w:rPr>
            </w:pPr>
          </w:p>
        </w:tc>
      </w:tr>
      <w:tr>
        <w:trPr>
          <w:trHeight w:val="95"/>
        </w:trPr>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Executive Vice President and Treasurer</w:t>
            </w:r>
          </w:p>
        </w:tc>
        <w:tc>
          <w:tcPr>
            <w:tcW w:w="1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300,000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832,964</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1,393,000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66,103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3,192,067</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60" w:type="dxa"/>
            <w:vAlign w:val="bottom"/>
            <w:tcBorders>
              <w:bottom w:val="single" w:sz="8" w:color="4C4C4C"/>
            </w:tcBorders>
          </w:tcPr>
          <w:p>
            <w:pPr>
              <w:spacing w:after="0"/>
              <w:rPr>
                <w:sz w:val="4"/>
                <w:szCs w:val="4"/>
                <w:color w:val="auto"/>
              </w:rPr>
            </w:pPr>
          </w:p>
        </w:tc>
        <w:tc>
          <w:tcPr>
            <w:tcW w:w="164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rPr>
                <w:sz w:val="20"/>
                <w:szCs w:val="20"/>
                <w:color w:val="auto"/>
              </w:rPr>
            </w:pPr>
            <w:r>
              <w:rPr>
                <w:rFonts w:ascii="Arial" w:cs="Arial" w:eastAsia="Arial" w:hAnsi="Arial"/>
                <w:sz w:val="14"/>
                <w:szCs w:val="14"/>
                <w:b w:val="1"/>
                <w:bCs w:val="1"/>
                <w:color w:val="1D4F90"/>
              </w:rPr>
              <w:t>P. Barrett Brown</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800,000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490,253</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2,100,000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47,475</w:t>
            </w:r>
          </w:p>
        </w:tc>
        <w:tc>
          <w:tcPr>
            <w:tcW w:w="780" w:type="dxa"/>
            <w:vAlign w:val="bottom"/>
          </w:tcPr>
          <w:p>
            <w:pPr>
              <w:jc w:val="right"/>
              <w:spacing w:after="0"/>
              <w:rPr>
                <w:sz w:val="20"/>
                <w:szCs w:val="20"/>
                <w:color w:val="auto"/>
              </w:rPr>
            </w:pPr>
            <w:r>
              <w:rPr>
                <w:rFonts w:ascii="Arial" w:cs="Arial" w:eastAsia="Arial" w:hAnsi="Arial"/>
                <w:sz w:val="14"/>
                <w:szCs w:val="14"/>
                <w:color w:val="auto"/>
              </w:rPr>
              <w:t>3,437,728</w:t>
            </w:r>
          </w:p>
        </w:tc>
        <w:tc>
          <w:tcPr>
            <w:tcW w:w="0" w:type="dxa"/>
            <w:vAlign w:val="bottom"/>
          </w:tcPr>
          <w:p>
            <w:pPr>
              <w:spacing w:after="0"/>
              <w:rPr>
                <w:sz w:val="1"/>
                <w:szCs w:val="1"/>
                <w:color w:val="auto"/>
              </w:rPr>
            </w:pPr>
          </w:p>
        </w:tc>
      </w:tr>
      <w:tr>
        <w:trPr>
          <w:trHeight w:val="160"/>
        </w:trPr>
        <w:tc>
          <w:tcPr>
            <w:tcW w:w="376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798,077</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2,492,134</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1,489,000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331,134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5,110,345</w:t>
            </w:r>
          </w:p>
        </w:tc>
        <w:tc>
          <w:tcPr>
            <w:tcW w:w="0" w:type="dxa"/>
            <w:vAlign w:val="bottom"/>
          </w:tcPr>
          <w:p>
            <w:pPr>
              <w:spacing w:after="0"/>
              <w:rPr>
                <w:sz w:val="1"/>
                <w:szCs w:val="1"/>
                <w:color w:val="auto"/>
              </w:rPr>
            </w:pPr>
          </w:p>
        </w:tc>
      </w:tr>
      <w:tr>
        <w:trPr>
          <w:trHeight w:val="95"/>
        </w:trPr>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President – Retail Segment</w:t>
            </w:r>
          </w:p>
        </w:tc>
        <w:tc>
          <w:tcPr>
            <w:tcW w:w="1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489,957</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1,991,000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33,854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3,714,811</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60" w:type="dxa"/>
            <w:vAlign w:val="bottom"/>
            <w:tcBorders>
              <w:bottom w:val="single" w:sz="8" w:color="4C4C4C"/>
            </w:tcBorders>
          </w:tcPr>
          <w:p>
            <w:pPr>
              <w:spacing w:after="0"/>
              <w:rPr>
                <w:sz w:val="4"/>
                <w:szCs w:val="4"/>
                <w:color w:val="auto"/>
              </w:rPr>
            </w:pPr>
          </w:p>
        </w:tc>
        <w:tc>
          <w:tcPr>
            <w:tcW w:w="164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rPr>
                <w:sz w:val="20"/>
                <w:szCs w:val="20"/>
                <w:color w:val="auto"/>
              </w:rPr>
            </w:pPr>
            <w:r>
              <w:rPr>
                <w:rFonts w:ascii="Arial" w:cs="Arial" w:eastAsia="Arial" w:hAnsi="Arial"/>
                <w:sz w:val="14"/>
                <w:szCs w:val="14"/>
                <w:b w:val="1"/>
                <w:bCs w:val="1"/>
                <w:color w:val="1D4F90"/>
              </w:rPr>
              <w:t>J. Scott Penny</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700,000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490,253</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1,651,000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86,942</w:t>
            </w:r>
          </w:p>
        </w:tc>
        <w:tc>
          <w:tcPr>
            <w:tcW w:w="780" w:type="dxa"/>
            <w:vAlign w:val="bottom"/>
          </w:tcPr>
          <w:p>
            <w:pPr>
              <w:jc w:val="right"/>
              <w:spacing w:after="0"/>
              <w:rPr>
                <w:sz w:val="20"/>
                <w:szCs w:val="20"/>
                <w:color w:val="auto"/>
              </w:rPr>
            </w:pPr>
            <w:r>
              <w:rPr>
                <w:rFonts w:ascii="Arial" w:cs="Arial" w:eastAsia="Arial" w:hAnsi="Arial"/>
                <w:sz w:val="14"/>
                <w:szCs w:val="14"/>
                <w:color w:val="auto"/>
              </w:rPr>
              <w:t>2,928,195</w:t>
            </w:r>
          </w:p>
        </w:tc>
        <w:tc>
          <w:tcPr>
            <w:tcW w:w="0" w:type="dxa"/>
            <w:vAlign w:val="bottom"/>
          </w:tcPr>
          <w:p>
            <w:pPr>
              <w:spacing w:after="0"/>
              <w:rPr>
                <w:sz w:val="1"/>
                <w:szCs w:val="1"/>
                <w:color w:val="auto"/>
              </w:rPr>
            </w:pPr>
          </w:p>
        </w:tc>
      </w:tr>
      <w:tr>
        <w:trPr>
          <w:trHeight w:val="160"/>
        </w:trPr>
        <w:tc>
          <w:tcPr>
            <w:tcW w:w="376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698,077</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20,000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2,492,134</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1,261,000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89,583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4,560,794</w:t>
            </w:r>
          </w:p>
        </w:tc>
        <w:tc>
          <w:tcPr>
            <w:tcW w:w="0" w:type="dxa"/>
            <w:vAlign w:val="bottom"/>
          </w:tcPr>
          <w:p>
            <w:pPr>
              <w:spacing w:after="0"/>
              <w:rPr>
                <w:sz w:val="1"/>
                <w:szCs w:val="1"/>
                <w:color w:val="auto"/>
              </w:rPr>
            </w:pPr>
          </w:p>
        </w:tc>
      </w:tr>
      <w:tr>
        <w:trPr>
          <w:trHeight w:val="95"/>
        </w:trPr>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Chief Acquisitions Officer</w:t>
            </w:r>
          </w:p>
        </w:tc>
        <w:tc>
          <w:tcPr>
            <w:tcW w:w="1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450,000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489,957</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1,792,000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61,394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3,393,351</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60" w:type="dxa"/>
            <w:vAlign w:val="bottom"/>
            <w:tcBorders>
              <w:bottom w:val="single" w:sz="8" w:color="4C4C4C"/>
            </w:tcBorders>
          </w:tcPr>
          <w:p>
            <w:pPr>
              <w:spacing w:after="0"/>
              <w:rPr>
                <w:sz w:val="4"/>
                <w:szCs w:val="4"/>
                <w:color w:val="auto"/>
              </w:rPr>
            </w:pPr>
          </w:p>
        </w:tc>
        <w:tc>
          <w:tcPr>
            <w:tcW w:w="164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78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rPr>
                <w:sz w:val="20"/>
                <w:szCs w:val="20"/>
                <w:color w:val="auto"/>
              </w:rPr>
            </w:pPr>
            <w:r>
              <w:rPr>
                <w:rFonts w:ascii="Arial" w:cs="Arial" w:eastAsia="Arial" w:hAnsi="Arial"/>
                <w:sz w:val="14"/>
                <w:szCs w:val="14"/>
                <w:b w:val="1"/>
                <w:bCs w:val="1"/>
                <w:color w:val="1D4F90"/>
              </w:rPr>
              <w:t>Chris L. Walker</w:t>
            </w:r>
          </w:p>
        </w:tc>
        <w:tc>
          <w:tcPr>
            <w:tcW w:w="1640" w:type="dxa"/>
            <w:vAlign w:val="bottom"/>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800,000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300,000</w:t>
            </w:r>
          </w:p>
        </w:tc>
        <w:tc>
          <w:tcPr>
            <w:tcW w:w="800" w:type="dxa"/>
            <w:vAlign w:val="bottom"/>
          </w:tcPr>
          <w:p>
            <w:pPr>
              <w:jc w:val="right"/>
              <w:spacing w:after="0"/>
              <w:rPr>
                <w:sz w:val="20"/>
                <w:szCs w:val="20"/>
                <w:color w:val="auto"/>
              </w:rPr>
            </w:pPr>
            <w:r>
              <w:rPr>
                <w:rFonts w:ascii="Arial" w:cs="Arial" w:eastAsia="Arial" w:hAnsi="Arial"/>
                <w:sz w:val="14"/>
                <w:szCs w:val="14"/>
                <w:color w:val="auto"/>
              </w:rPr>
              <w:t>490,253</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1,834,000</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30,233</w:t>
            </w:r>
          </w:p>
        </w:tc>
        <w:tc>
          <w:tcPr>
            <w:tcW w:w="780" w:type="dxa"/>
            <w:vAlign w:val="bottom"/>
          </w:tcPr>
          <w:p>
            <w:pPr>
              <w:jc w:val="right"/>
              <w:spacing w:after="0"/>
              <w:rPr>
                <w:sz w:val="20"/>
                <w:szCs w:val="20"/>
                <w:color w:val="auto"/>
              </w:rPr>
            </w:pPr>
            <w:r>
              <w:rPr>
                <w:rFonts w:ascii="Arial" w:cs="Arial" w:eastAsia="Arial" w:hAnsi="Arial"/>
                <w:sz w:val="14"/>
                <w:szCs w:val="14"/>
                <w:color w:val="auto"/>
              </w:rPr>
              <w:t>3,454,486</w:t>
            </w:r>
          </w:p>
        </w:tc>
        <w:tc>
          <w:tcPr>
            <w:tcW w:w="0" w:type="dxa"/>
            <w:vAlign w:val="bottom"/>
          </w:tcPr>
          <w:p>
            <w:pPr>
              <w:spacing w:after="0"/>
              <w:rPr>
                <w:sz w:val="1"/>
                <w:szCs w:val="1"/>
                <w:color w:val="auto"/>
              </w:rPr>
            </w:pPr>
          </w:p>
        </w:tc>
      </w:tr>
      <w:tr>
        <w:trPr>
          <w:trHeight w:val="160"/>
        </w:trPr>
        <w:tc>
          <w:tcPr>
            <w:tcW w:w="376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798,077</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2,492,134</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1,501,000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41,666</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4,832,877</w:t>
            </w:r>
          </w:p>
        </w:tc>
        <w:tc>
          <w:tcPr>
            <w:tcW w:w="0" w:type="dxa"/>
            <w:vAlign w:val="bottom"/>
          </w:tcPr>
          <w:p>
            <w:pPr>
              <w:spacing w:after="0"/>
              <w:rPr>
                <w:sz w:val="1"/>
                <w:szCs w:val="1"/>
                <w:color w:val="auto"/>
              </w:rPr>
            </w:pPr>
          </w:p>
        </w:tc>
      </w:tr>
      <w:tr>
        <w:trPr>
          <w:trHeight w:val="95"/>
        </w:trPr>
        <w:tc>
          <w:tcPr>
            <w:tcW w:w="3760" w:type="dxa"/>
            <w:vAlign w:val="bottom"/>
            <w:vMerge w:val="restart"/>
          </w:tcPr>
          <w:p>
            <w:pPr>
              <w:ind w:left="80"/>
              <w:spacing w:after="0"/>
              <w:rPr>
                <w:sz w:val="20"/>
                <w:szCs w:val="20"/>
                <w:color w:val="auto"/>
              </w:rPr>
            </w:pPr>
            <w:r>
              <w:rPr>
                <w:rFonts w:ascii="Arial" w:cs="Arial" w:eastAsia="Arial" w:hAnsi="Arial"/>
                <w:sz w:val="14"/>
                <w:szCs w:val="14"/>
                <w:color w:val="auto"/>
              </w:rPr>
              <w:t>President – National Programs Segment</w:t>
            </w:r>
          </w:p>
        </w:tc>
        <w:tc>
          <w:tcPr>
            <w:tcW w:w="1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164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700,000</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489,957</w:t>
            </w:r>
          </w:p>
        </w:tc>
        <w:tc>
          <w:tcPr>
            <w:tcW w:w="1140" w:type="dxa"/>
            <w:vAlign w:val="bottom"/>
            <w:vMerge w:val="restart"/>
          </w:tcPr>
          <w:p>
            <w:pPr>
              <w:jc w:val="right"/>
              <w:ind w:right="149"/>
              <w:spacing w:after="0"/>
              <w:rPr>
                <w:sz w:val="20"/>
                <w:szCs w:val="20"/>
                <w:color w:val="auto"/>
              </w:rPr>
            </w:pPr>
            <w:r>
              <w:rPr>
                <w:rFonts w:ascii="Arial" w:cs="Arial" w:eastAsia="Arial" w:hAnsi="Arial"/>
                <w:sz w:val="14"/>
                <w:szCs w:val="14"/>
                <w:color w:val="auto"/>
              </w:rPr>
              <w:t>1,991,000</w:t>
            </w: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51,405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3,732,362</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9297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57" w:lineRule="exact"/>
        <w:rPr>
          <w:sz w:val="20"/>
          <w:szCs w:val="20"/>
          <w:color w:val="auto"/>
        </w:rPr>
      </w:pPr>
    </w:p>
    <w:p>
      <w:pPr>
        <w:ind w:left="220" w:hanging="213"/>
        <w:spacing w:after="0"/>
        <w:tabs>
          <w:tab w:leader="none" w:pos="220" w:val="left"/>
        </w:tabs>
        <w:numPr>
          <w:ilvl w:val="0"/>
          <w:numId w:val="39"/>
        </w:numPr>
        <w:rPr>
          <w:rFonts w:ascii="Arial" w:cs="Arial" w:eastAsia="Arial" w:hAnsi="Arial"/>
          <w:sz w:val="19"/>
          <w:szCs w:val="19"/>
          <w:color w:val="auto"/>
          <w:vertAlign w:val="superscript"/>
        </w:rPr>
      </w:pPr>
      <w:r>
        <w:rPr>
          <w:rFonts w:ascii="Arial" w:cs="Arial" w:eastAsia="Arial" w:hAnsi="Arial"/>
          <w:sz w:val="12"/>
          <w:szCs w:val="12"/>
          <w:color w:val="auto"/>
        </w:rPr>
        <w:t>Amounts shown under the “Stock Awards” column reflect the aggregate grant date fair value of awards computed in accordance with Statement of Financial Accounting Standards ASC Topic 718 (formerly “SFAS 123(R)”) with respect to stock granted under the 2019 SIP to our Named Executive Officers rather than the dollar amount recognized during the fiscal year for financial statement purposes. The assumptions used for the valuations are set forth in Note 12 to our audited consolidated financial statements in our Annual Report on Form 10-K for the fiscal year ended December 31, 2023. See “Compensation Discussion and Analysis” and the “Outstanding Equity Awards at Fiscal Year-End – 2023” table for information with respect to stock granted under the PSP, the 2010 SIP and the 2019 SIP prior to 2023. For awards that are performance based, the indicated grant date fair value amounts assume that the target level of performance will be achieved.</w:t>
      </w:r>
    </w:p>
    <w:p>
      <w:pPr>
        <w:spacing w:after="0" w:line="112" w:lineRule="exact"/>
        <w:rPr>
          <w:sz w:val="20"/>
          <w:szCs w:val="20"/>
          <w:color w:val="auto"/>
        </w:rPr>
      </w:pPr>
    </w:p>
    <w:p>
      <w:pPr>
        <w:jc w:val="both"/>
        <w:ind w:left="220" w:right="120" w:hanging="213"/>
        <w:spacing w:after="0" w:line="248" w:lineRule="auto"/>
        <w:tabs>
          <w:tab w:leader="none" w:pos="2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shown under the “Stock Awards” column include the aggregate grant date fair value of all awards. For 2021, 2022 and 2023, a portion of the shares granted to each Named Executive Officer were either PSAs or PSUs, and portion of the shares granted to each Named Executive Officer were either RSAs or RSUs. Assuming the highest level of performance conditions will be achieved for the PSAs and PSUSs in this column (200% for 2021, 2022 and 2023), the grant date fair value for each Named Executive Officer, including both PSAs or PSUs, as applicable, and RSAs or RSUs, as applicable, would be as follows:</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58"/>
        </w:trPr>
        <w:tc>
          <w:tcPr>
            <w:tcW w:w="2980" w:type="dxa"/>
            <w:vAlign w:val="bottom"/>
            <w:tcBorders>
              <w:bottom w:val="single" w:sz="8" w:color="C6093B"/>
            </w:tcBorders>
          </w:tcPr>
          <w:p>
            <w:pPr>
              <w:ind w:left="60"/>
              <w:spacing w:after="0"/>
              <w:rPr>
                <w:sz w:val="20"/>
                <w:szCs w:val="20"/>
                <w:color w:val="auto"/>
              </w:rPr>
            </w:pPr>
            <w:r>
              <w:rPr>
                <w:rFonts w:ascii="Arial" w:cs="Arial" w:eastAsia="Arial" w:hAnsi="Arial"/>
                <w:sz w:val="12"/>
                <w:szCs w:val="12"/>
                <w:b w:val="1"/>
                <w:bCs w:val="1"/>
                <w:color w:val="002856"/>
              </w:rPr>
              <w:t>Name</w:t>
            </w:r>
          </w:p>
        </w:tc>
        <w:tc>
          <w:tcPr>
            <w:tcW w:w="4580" w:type="dxa"/>
            <w:vAlign w:val="bottom"/>
            <w:tcBorders>
              <w:bottom w:val="single" w:sz="8" w:color="C6093B"/>
            </w:tcBorders>
            <w:gridSpan w:val="3"/>
          </w:tcPr>
          <w:p>
            <w:pPr>
              <w:ind w:left="1920"/>
              <w:spacing w:after="0"/>
              <w:rPr>
                <w:sz w:val="20"/>
                <w:szCs w:val="20"/>
                <w:color w:val="auto"/>
              </w:rPr>
            </w:pPr>
            <w:r>
              <w:rPr>
                <w:rFonts w:ascii="Arial" w:cs="Arial" w:eastAsia="Arial" w:hAnsi="Arial"/>
                <w:sz w:val="12"/>
                <w:szCs w:val="12"/>
                <w:b w:val="1"/>
                <w:bCs w:val="1"/>
                <w:color w:val="002856"/>
              </w:rPr>
              <w:t>Fiscal Year Maximum Value ($) Fiscal Year*</w:t>
            </w:r>
          </w:p>
        </w:tc>
        <w:tc>
          <w:tcPr>
            <w:tcW w:w="1220" w:type="dxa"/>
            <w:vAlign w:val="bottom"/>
            <w:tcBorders>
              <w:bottom w:val="single" w:sz="8" w:color="C6093B"/>
            </w:tcBorders>
          </w:tcPr>
          <w:p>
            <w:pPr>
              <w:ind w:left="60"/>
              <w:spacing w:after="0"/>
              <w:rPr>
                <w:sz w:val="20"/>
                <w:szCs w:val="20"/>
                <w:color w:val="auto"/>
              </w:rPr>
            </w:pPr>
            <w:r>
              <w:rPr>
                <w:rFonts w:ascii="Arial" w:cs="Arial" w:eastAsia="Arial" w:hAnsi="Arial"/>
                <w:sz w:val="12"/>
                <w:szCs w:val="12"/>
                <w:b w:val="1"/>
                <w:bCs w:val="1"/>
                <w:color w:val="002856"/>
              </w:rPr>
              <w:t>Maximum Value ($)</w:t>
            </w:r>
          </w:p>
        </w:tc>
        <w:tc>
          <w:tcPr>
            <w:tcW w:w="740" w:type="dxa"/>
            <w:vAlign w:val="bottom"/>
            <w:tcBorders>
              <w:bottom w:val="single" w:sz="8" w:color="C6093B"/>
            </w:tcBorders>
          </w:tcPr>
          <w:p>
            <w:pPr>
              <w:ind w:left="40"/>
              <w:spacing w:after="0"/>
              <w:rPr>
                <w:sz w:val="20"/>
                <w:szCs w:val="20"/>
                <w:color w:val="auto"/>
              </w:rPr>
            </w:pPr>
            <w:r>
              <w:rPr>
                <w:rFonts w:ascii="Arial" w:cs="Arial" w:eastAsia="Arial" w:hAnsi="Arial"/>
                <w:sz w:val="12"/>
                <w:szCs w:val="12"/>
                <w:b w:val="1"/>
                <w:bCs w:val="1"/>
                <w:color w:val="002856"/>
              </w:rPr>
              <w:t>Fiscal Year</w:t>
            </w:r>
          </w:p>
        </w:tc>
        <w:tc>
          <w:tcPr>
            <w:tcW w:w="1160" w:type="dxa"/>
            <w:vAlign w:val="bottom"/>
            <w:tcBorders>
              <w:bottom w:val="single" w:sz="8" w:color="C6093B"/>
            </w:tcBorders>
          </w:tcPr>
          <w:p>
            <w:pPr>
              <w:jc w:val="right"/>
              <w:spacing w:after="0"/>
              <w:rPr>
                <w:sz w:val="20"/>
                <w:szCs w:val="20"/>
                <w:color w:val="auto"/>
              </w:rPr>
            </w:pPr>
            <w:r>
              <w:rPr>
                <w:rFonts w:ascii="Arial" w:cs="Arial" w:eastAsia="Arial" w:hAnsi="Arial"/>
                <w:sz w:val="12"/>
                <w:szCs w:val="12"/>
                <w:b w:val="1"/>
                <w:bCs w:val="1"/>
                <w:color w:val="002856"/>
              </w:rPr>
              <w:t>Maximum Value ($)</w:t>
            </w:r>
          </w:p>
        </w:tc>
      </w:tr>
      <w:tr>
        <w:trPr>
          <w:trHeight w:val="206"/>
        </w:trPr>
        <w:tc>
          <w:tcPr>
            <w:tcW w:w="2980" w:type="dxa"/>
            <w:vAlign w:val="bottom"/>
          </w:tcPr>
          <w:p>
            <w:pPr>
              <w:ind w:left="80"/>
              <w:spacing w:after="0"/>
              <w:rPr>
                <w:sz w:val="20"/>
                <w:szCs w:val="20"/>
                <w:color w:val="auto"/>
              </w:rPr>
            </w:pPr>
            <w:r>
              <w:rPr>
                <w:rFonts w:ascii="Arial" w:cs="Arial" w:eastAsia="Arial" w:hAnsi="Arial"/>
                <w:sz w:val="12"/>
                <w:szCs w:val="12"/>
                <w:b w:val="1"/>
                <w:bCs w:val="1"/>
                <w:color w:val="1D4F90"/>
              </w:rPr>
              <w:t>J. Powell Brown</w:t>
            </w:r>
          </w:p>
        </w:tc>
        <w:tc>
          <w:tcPr>
            <w:tcW w:w="2800" w:type="dxa"/>
            <w:vAlign w:val="bottom"/>
          </w:tcPr>
          <w:p>
            <w:pPr>
              <w:ind w:left="2180"/>
              <w:spacing w:after="0"/>
              <w:rPr>
                <w:sz w:val="20"/>
                <w:szCs w:val="20"/>
                <w:color w:val="auto"/>
              </w:rPr>
            </w:pPr>
            <w:r>
              <w:rPr>
                <w:rFonts w:ascii="Arial" w:cs="Arial" w:eastAsia="Arial" w:hAnsi="Arial"/>
                <w:sz w:val="12"/>
                <w:szCs w:val="12"/>
                <w:color w:val="auto"/>
              </w:rPr>
              <w:t>2021  </w:t>
            </w:r>
          </w:p>
        </w:tc>
        <w:tc>
          <w:tcPr>
            <w:tcW w:w="1140" w:type="dxa"/>
            <w:vAlign w:val="bottom"/>
          </w:tcPr>
          <w:p>
            <w:pPr>
              <w:jc w:val="right"/>
              <w:ind w:right="178"/>
              <w:spacing w:after="0"/>
              <w:rPr>
                <w:sz w:val="20"/>
                <w:szCs w:val="20"/>
                <w:color w:val="auto"/>
              </w:rPr>
            </w:pPr>
            <w:r>
              <w:rPr>
                <w:rFonts w:ascii="Arial" w:cs="Arial" w:eastAsia="Arial" w:hAnsi="Arial"/>
                <w:sz w:val="12"/>
                <w:szCs w:val="12"/>
                <w:color w:val="auto"/>
              </w:rPr>
              <w:t>5,130,071  </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2022</w:t>
            </w:r>
          </w:p>
        </w:tc>
        <w:tc>
          <w:tcPr>
            <w:tcW w:w="1220" w:type="dxa"/>
            <w:vAlign w:val="bottom"/>
          </w:tcPr>
          <w:p>
            <w:pPr>
              <w:ind w:left="500"/>
              <w:spacing w:after="0"/>
              <w:rPr>
                <w:sz w:val="20"/>
                <w:szCs w:val="20"/>
                <w:color w:val="auto"/>
              </w:rPr>
            </w:pPr>
            <w:r>
              <w:rPr>
                <w:rFonts w:ascii="Arial" w:cs="Arial" w:eastAsia="Arial" w:hAnsi="Arial"/>
                <w:sz w:val="12"/>
                <w:szCs w:val="12"/>
                <w:color w:val="auto"/>
              </w:rPr>
              <w:t>5,157,334  </w:t>
            </w:r>
          </w:p>
        </w:tc>
        <w:tc>
          <w:tcPr>
            <w:tcW w:w="740" w:type="dxa"/>
            <w:vAlign w:val="bottom"/>
          </w:tcPr>
          <w:p>
            <w:pPr>
              <w:ind w:left="300"/>
              <w:spacing w:after="0"/>
              <w:rPr>
                <w:sz w:val="20"/>
                <w:szCs w:val="20"/>
                <w:color w:val="auto"/>
              </w:rPr>
            </w:pPr>
            <w:r>
              <w:rPr>
                <w:rFonts w:ascii="Arial" w:cs="Arial" w:eastAsia="Arial" w:hAnsi="Arial"/>
                <w:sz w:val="12"/>
                <w:szCs w:val="12"/>
                <w:color w:val="auto"/>
              </w:rPr>
              <w:t>2023  </w:t>
            </w:r>
          </w:p>
        </w:tc>
        <w:tc>
          <w:tcPr>
            <w:tcW w:w="1160" w:type="dxa"/>
            <w:vAlign w:val="bottom"/>
          </w:tcPr>
          <w:p>
            <w:pPr>
              <w:jc w:val="right"/>
              <w:ind w:right="18"/>
              <w:spacing w:after="0"/>
              <w:rPr>
                <w:sz w:val="20"/>
                <w:szCs w:val="20"/>
                <w:color w:val="auto"/>
              </w:rPr>
            </w:pPr>
            <w:r>
              <w:rPr>
                <w:rFonts w:ascii="Arial" w:cs="Arial" w:eastAsia="Arial" w:hAnsi="Arial"/>
                <w:sz w:val="12"/>
                <w:szCs w:val="12"/>
                <w:color w:val="auto"/>
              </w:rPr>
              <w:t>5,133,724</w:t>
            </w:r>
          </w:p>
        </w:tc>
      </w:tr>
      <w:tr>
        <w:trPr>
          <w:trHeight w:val="48"/>
        </w:trPr>
        <w:tc>
          <w:tcPr>
            <w:tcW w:w="2980" w:type="dxa"/>
            <w:vAlign w:val="bottom"/>
            <w:tcBorders>
              <w:bottom w:val="single" w:sz="8" w:color="4C4C4C"/>
            </w:tcBorders>
          </w:tcPr>
          <w:p>
            <w:pPr>
              <w:spacing w:after="0"/>
              <w:rPr>
                <w:sz w:val="4"/>
                <w:szCs w:val="4"/>
                <w:color w:val="auto"/>
              </w:rPr>
            </w:pPr>
          </w:p>
        </w:tc>
        <w:tc>
          <w:tcPr>
            <w:tcW w:w="2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122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1D4F90"/>
              </w:rPr>
              <w:t>R. Andrew Watts</w:t>
            </w:r>
          </w:p>
        </w:tc>
        <w:tc>
          <w:tcPr>
            <w:tcW w:w="2800" w:type="dxa"/>
            <w:vAlign w:val="bottom"/>
          </w:tcPr>
          <w:p>
            <w:pPr>
              <w:ind w:left="2180"/>
              <w:spacing w:after="0"/>
              <w:rPr>
                <w:sz w:val="20"/>
                <w:szCs w:val="20"/>
                <w:color w:val="auto"/>
              </w:rPr>
            </w:pPr>
            <w:r>
              <w:rPr>
                <w:rFonts w:ascii="Arial" w:cs="Arial" w:eastAsia="Arial" w:hAnsi="Arial"/>
                <w:sz w:val="12"/>
                <w:szCs w:val="12"/>
                <w:color w:val="auto"/>
              </w:rPr>
              <w:t>2021</w:t>
            </w:r>
          </w:p>
        </w:tc>
        <w:tc>
          <w:tcPr>
            <w:tcW w:w="1140" w:type="dxa"/>
            <w:vAlign w:val="bottom"/>
          </w:tcPr>
          <w:p>
            <w:pPr>
              <w:jc w:val="right"/>
              <w:ind w:right="238"/>
              <w:spacing w:after="0"/>
              <w:rPr>
                <w:sz w:val="20"/>
                <w:szCs w:val="20"/>
                <w:color w:val="auto"/>
              </w:rPr>
            </w:pPr>
            <w:r>
              <w:rPr>
                <w:rFonts w:ascii="Arial" w:cs="Arial" w:eastAsia="Arial" w:hAnsi="Arial"/>
                <w:sz w:val="12"/>
                <w:szCs w:val="12"/>
                <w:color w:val="auto"/>
              </w:rPr>
              <w:t>1,453,454</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2022</w:t>
            </w:r>
          </w:p>
        </w:tc>
        <w:tc>
          <w:tcPr>
            <w:tcW w:w="1220" w:type="dxa"/>
            <w:vAlign w:val="bottom"/>
          </w:tcPr>
          <w:p>
            <w:pPr>
              <w:ind w:left="500"/>
              <w:spacing w:after="0"/>
              <w:rPr>
                <w:sz w:val="20"/>
                <w:szCs w:val="20"/>
                <w:color w:val="auto"/>
              </w:rPr>
            </w:pPr>
            <w:r>
              <w:rPr>
                <w:rFonts w:ascii="Arial" w:cs="Arial" w:eastAsia="Arial" w:hAnsi="Arial"/>
                <w:sz w:val="12"/>
                <w:szCs w:val="12"/>
                <w:color w:val="auto"/>
              </w:rPr>
              <w:t>3,203,216</w:t>
            </w:r>
          </w:p>
        </w:tc>
        <w:tc>
          <w:tcPr>
            <w:tcW w:w="740" w:type="dxa"/>
            <w:vAlign w:val="bottom"/>
          </w:tcPr>
          <w:p>
            <w:pPr>
              <w:ind w:left="300"/>
              <w:spacing w:after="0"/>
              <w:rPr>
                <w:sz w:val="20"/>
                <w:szCs w:val="20"/>
                <w:color w:val="auto"/>
              </w:rPr>
            </w:pPr>
            <w:r>
              <w:rPr>
                <w:rFonts w:ascii="Arial" w:cs="Arial" w:eastAsia="Arial" w:hAnsi="Arial"/>
                <w:sz w:val="12"/>
                <w:szCs w:val="12"/>
                <w:color w:val="auto"/>
              </w:rPr>
              <w:t>2023</w:t>
            </w:r>
          </w:p>
        </w:tc>
        <w:tc>
          <w:tcPr>
            <w:tcW w:w="1160" w:type="dxa"/>
            <w:vAlign w:val="bottom"/>
          </w:tcPr>
          <w:p>
            <w:pPr>
              <w:jc w:val="right"/>
              <w:ind w:right="18"/>
              <w:spacing w:after="0"/>
              <w:rPr>
                <w:sz w:val="20"/>
                <w:szCs w:val="20"/>
                <w:color w:val="auto"/>
              </w:rPr>
            </w:pPr>
            <w:r>
              <w:rPr>
                <w:rFonts w:ascii="Arial" w:cs="Arial" w:eastAsia="Arial" w:hAnsi="Arial"/>
                <w:sz w:val="12"/>
                <w:szCs w:val="12"/>
                <w:color w:val="auto"/>
              </w:rPr>
              <w:t>1,711,241</w:t>
            </w:r>
          </w:p>
        </w:tc>
      </w:tr>
      <w:tr>
        <w:trPr>
          <w:trHeight w:val="48"/>
        </w:trPr>
        <w:tc>
          <w:tcPr>
            <w:tcW w:w="2980" w:type="dxa"/>
            <w:vAlign w:val="bottom"/>
            <w:tcBorders>
              <w:bottom w:val="single" w:sz="8" w:color="4C4C4C"/>
            </w:tcBorders>
          </w:tcPr>
          <w:p>
            <w:pPr>
              <w:spacing w:after="0"/>
              <w:rPr>
                <w:sz w:val="4"/>
                <w:szCs w:val="4"/>
                <w:color w:val="auto"/>
              </w:rPr>
            </w:pPr>
          </w:p>
        </w:tc>
        <w:tc>
          <w:tcPr>
            <w:tcW w:w="2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122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1D4F90"/>
              </w:rPr>
              <w:t>P. Barrett Brown</w:t>
            </w:r>
          </w:p>
        </w:tc>
        <w:tc>
          <w:tcPr>
            <w:tcW w:w="2800" w:type="dxa"/>
            <w:vAlign w:val="bottom"/>
          </w:tcPr>
          <w:p>
            <w:pPr>
              <w:ind w:left="2180"/>
              <w:spacing w:after="0"/>
              <w:rPr>
                <w:sz w:val="20"/>
                <w:szCs w:val="20"/>
                <w:color w:val="auto"/>
              </w:rPr>
            </w:pPr>
            <w:r>
              <w:rPr>
                <w:rFonts w:ascii="Arial" w:cs="Arial" w:eastAsia="Arial" w:hAnsi="Arial"/>
                <w:sz w:val="12"/>
                <w:szCs w:val="12"/>
                <w:color w:val="auto"/>
              </w:rPr>
              <w:t>2021</w:t>
            </w:r>
          </w:p>
        </w:tc>
        <w:tc>
          <w:tcPr>
            <w:tcW w:w="1140" w:type="dxa"/>
            <w:vAlign w:val="bottom"/>
          </w:tcPr>
          <w:p>
            <w:pPr>
              <w:jc w:val="right"/>
              <w:ind w:right="238"/>
              <w:spacing w:after="0"/>
              <w:rPr>
                <w:sz w:val="20"/>
                <w:szCs w:val="20"/>
                <w:color w:val="auto"/>
              </w:rPr>
            </w:pPr>
            <w:r>
              <w:rPr>
                <w:rFonts w:ascii="Arial" w:cs="Arial" w:eastAsia="Arial" w:hAnsi="Arial"/>
                <w:sz w:val="12"/>
                <w:szCs w:val="12"/>
                <w:color w:val="auto"/>
              </w:rPr>
              <w:t>854,951</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2022</w:t>
            </w:r>
          </w:p>
        </w:tc>
        <w:tc>
          <w:tcPr>
            <w:tcW w:w="1220" w:type="dxa"/>
            <w:vAlign w:val="bottom"/>
          </w:tcPr>
          <w:p>
            <w:pPr>
              <w:ind w:left="500"/>
              <w:spacing w:after="0"/>
              <w:rPr>
                <w:sz w:val="20"/>
                <w:szCs w:val="20"/>
                <w:color w:val="auto"/>
              </w:rPr>
            </w:pPr>
            <w:r>
              <w:rPr>
                <w:rFonts w:ascii="Arial" w:cs="Arial" w:eastAsia="Arial" w:hAnsi="Arial"/>
                <w:sz w:val="12"/>
                <w:szCs w:val="12"/>
                <w:color w:val="auto"/>
              </w:rPr>
              <w:t>2,859,372</w:t>
            </w:r>
          </w:p>
        </w:tc>
        <w:tc>
          <w:tcPr>
            <w:tcW w:w="740" w:type="dxa"/>
            <w:vAlign w:val="bottom"/>
          </w:tcPr>
          <w:p>
            <w:pPr>
              <w:ind w:left="300"/>
              <w:spacing w:after="0"/>
              <w:rPr>
                <w:sz w:val="20"/>
                <w:szCs w:val="20"/>
                <w:color w:val="auto"/>
              </w:rPr>
            </w:pPr>
            <w:r>
              <w:rPr>
                <w:rFonts w:ascii="Arial" w:cs="Arial" w:eastAsia="Arial" w:hAnsi="Arial"/>
                <w:sz w:val="12"/>
                <w:szCs w:val="12"/>
                <w:color w:val="auto"/>
              </w:rPr>
              <w:t>2023</w:t>
            </w:r>
          </w:p>
        </w:tc>
        <w:tc>
          <w:tcPr>
            <w:tcW w:w="1160" w:type="dxa"/>
            <w:vAlign w:val="bottom"/>
          </w:tcPr>
          <w:p>
            <w:pPr>
              <w:jc w:val="right"/>
              <w:ind w:right="18"/>
              <w:spacing w:after="0"/>
              <w:rPr>
                <w:sz w:val="20"/>
                <w:szCs w:val="20"/>
                <w:color w:val="auto"/>
              </w:rPr>
            </w:pPr>
            <w:r>
              <w:rPr>
                <w:rFonts w:ascii="Arial" w:cs="Arial" w:eastAsia="Arial" w:hAnsi="Arial"/>
                <w:sz w:val="12"/>
                <w:szCs w:val="12"/>
                <w:color w:val="auto"/>
              </w:rPr>
              <w:t>855,536</w:t>
            </w:r>
          </w:p>
        </w:tc>
      </w:tr>
      <w:tr>
        <w:trPr>
          <w:trHeight w:val="48"/>
        </w:trPr>
        <w:tc>
          <w:tcPr>
            <w:tcW w:w="2980" w:type="dxa"/>
            <w:vAlign w:val="bottom"/>
            <w:tcBorders>
              <w:bottom w:val="single" w:sz="8" w:color="4C4C4C"/>
            </w:tcBorders>
          </w:tcPr>
          <w:p>
            <w:pPr>
              <w:spacing w:after="0"/>
              <w:rPr>
                <w:sz w:val="4"/>
                <w:szCs w:val="4"/>
                <w:color w:val="auto"/>
              </w:rPr>
            </w:pPr>
          </w:p>
        </w:tc>
        <w:tc>
          <w:tcPr>
            <w:tcW w:w="2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122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1D4F90"/>
              </w:rPr>
              <w:t>J. Scott Penny</w:t>
            </w:r>
          </w:p>
        </w:tc>
        <w:tc>
          <w:tcPr>
            <w:tcW w:w="2800" w:type="dxa"/>
            <w:vAlign w:val="bottom"/>
          </w:tcPr>
          <w:p>
            <w:pPr>
              <w:ind w:left="2180"/>
              <w:spacing w:after="0"/>
              <w:rPr>
                <w:sz w:val="20"/>
                <w:szCs w:val="20"/>
                <w:color w:val="auto"/>
              </w:rPr>
            </w:pPr>
            <w:r>
              <w:rPr>
                <w:rFonts w:ascii="Arial" w:cs="Arial" w:eastAsia="Arial" w:hAnsi="Arial"/>
                <w:sz w:val="12"/>
                <w:szCs w:val="12"/>
                <w:color w:val="auto"/>
              </w:rPr>
              <w:t>2021</w:t>
            </w:r>
          </w:p>
        </w:tc>
        <w:tc>
          <w:tcPr>
            <w:tcW w:w="1140" w:type="dxa"/>
            <w:vAlign w:val="bottom"/>
          </w:tcPr>
          <w:p>
            <w:pPr>
              <w:jc w:val="right"/>
              <w:ind w:right="238"/>
              <w:spacing w:after="0"/>
              <w:rPr>
                <w:sz w:val="20"/>
                <w:szCs w:val="20"/>
                <w:color w:val="auto"/>
              </w:rPr>
            </w:pPr>
            <w:r>
              <w:rPr>
                <w:rFonts w:ascii="Arial" w:cs="Arial" w:eastAsia="Arial" w:hAnsi="Arial"/>
                <w:sz w:val="12"/>
                <w:szCs w:val="12"/>
                <w:color w:val="auto"/>
              </w:rPr>
              <w:t>854,951</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2022</w:t>
            </w:r>
          </w:p>
        </w:tc>
        <w:tc>
          <w:tcPr>
            <w:tcW w:w="1220" w:type="dxa"/>
            <w:vAlign w:val="bottom"/>
          </w:tcPr>
          <w:p>
            <w:pPr>
              <w:ind w:left="500"/>
              <w:spacing w:after="0"/>
              <w:rPr>
                <w:sz w:val="20"/>
                <w:szCs w:val="20"/>
                <w:color w:val="auto"/>
              </w:rPr>
            </w:pPr>
            <w:r>
              <w:rPr>
                <w:rFonts w:ascii="Arial" w:cs="Arial" w:eastAsia="Arial" w:hAnsi="Arial"/>
                <w:sz w:val="12"/>
                <w:szCs w:val="12"/>
                <w:color w:val="auto"/>
              </w:rPr>
              <w:t>2,859,372</w:t>
            </w:r>
          </w:p>
        </w:tc>
        <w:tc>
          <w:tcPr>
            <w:tcW w:w="740" w:type="dxa"/>
            <w:vAlign w:val="bottom"/>
          </w:tcPr>
          <w:p>
            <w:pPr>
              <w:ind w:left="300"/>
              <w:spacing w:after="0"/>
              <w:rPr>
                <w:sz w:val="20"/>
                <w:szCs w:val="20"/>
                <w:color w:val="auto"/>
              </w:rPr>
            </w:pPr>
            <w:r>
              <w:rPr>
                <w:rFonts w:ascii="Arial" w:cs="Arial" w:eastAsia="Arial" w:hAnsi="Arial"/>
                <w:sz w:val="12"/>
                <w:szCs w:val="12"/>
                <w:color w:val="auto"/>
              </w:rPr>
              <w:t>2023</w:t>
            </w:r>
          </w:p>
        </w:tc>
        <w:tc>
          <w:tcPr>
            <w:tcW w:w="1160" w:type="dxa"/>
            <w:vAlign w:val="bottom"/>
          </w:tcPr>
          <w:p>
            <w:pPr>
              <w:jc w:val="right"/>
              <w:ind w:right="18"/>
              <w:spacing w:after="0"/>
              <w:rPr>
                <w:sz w:val="20"/>
                <w:szCs w:val="20"/>
                <w:color w:val="auto"/>
              </w:rPr>
            </w:pPr>
            <w:r>
              <w:rPr>
                <w:rFonts w:ascii="Arial" w:cs="Arial" w:eastAsia="Arial" w:hAnsi="Arial"/>
                <w:sz w:val="12"/>
                <w:szCs w:val="12"/>
                <w:color w:val="auto"/>
              </w:rPr>
              <w:t>855,536</w:t>
            </w:r>
          </w:p>
        </w:tc>
      </w:tr>
      <w:tr>
        <w:trPr>
          <w:trHeight w:val="48"/>
        </w:trPr>
        <w:tc>
          <w:tcPr>
            <w:tcW w:w="2980" w:type="dxa"/>
            <w:vAlign w:val="bottom"/>
            <w:tcBorders>
              <w:bottom w:val="single" w:sz="8" w:color="4C4C4C"/>
            </w:tcBorders>
          </w:tcPr>
          <w:p>
            <w:pPr>
              <w:spacing w:after="0"/>
              <w:rPr>
                <w:sz w:val="4"/>
                <w:szCs w:val="4"/>
                <w:color w:val="auto"/>
              </w:rPr>
            </w:pPr>
          </w:p>
        </w:tc>
        <w:tc>
          <w:tcPr>
            <w:tcW w:w="2800" w:type="dxa"/>
            <w:vAlign w:val="bottom"/>
            <w:tcBorders>
              <w:bottom w:val="single" w:sz="8" w:color="4C4C4C"/>
            </w:tcBorders>
          </w:tcPr>
          <w:p>
            <w:pPr>
              <w:spacing w:after="0"/>
              <w:rPr>
                <w:sz w:val="4"/>
                <w:szCs w:val="4"/>
                <w:color w:val="auto"/>
              </w:rPr>
            </w:pPr>
          </w:p>
        </w:tc>
        <w:tc>
          <w:tcPr>
            <w:tcW w:w="1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122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1160" w:type="dxa"/>
            <w:vAlign w:val="bottom"/>
            <w:tcBorders>
              <w:bottom w:val="single" w:sz="8" w:color="4C4C4C"/>
            </w:tcBorders>
          </w:tcPr>
          <w:p>
            <w:pPr>
              <w:spacing w:after="0"/>
              <w:rPr>
                <w:sz w:val="4"/>
                <w:szCs w:val="4"/>
                <w:color w:val="auto"/>
              </w:rPr>
            </w:pPr>
          </w:p>
        </w:tc>
      </w:tr>
      <w:tr>
        <w:trPr>
          <w:trHeight w:val="200"/>
        </w:trPr>
        <w:tc>
          <w:tcPr>
            <w:tcW w:w="2980" w:type="dxa"/>
            <w:vAlign w:val="bottom"/>
          </w:tcPr>
          <w:p>
            <w:pPr>
              <w:ind w:left="80"/>
              <w:spacing w:after="0"/>
              <w:rPr>
                <w:sz w:val="20"/>
                <w:szCs w:val="20"/>
                <w:color w:val="auto"/>
              </w:rPr>
            </w:pPr>
            <w:r>
              <w:rPr>
                <w:rFonts w:ascii="Arial" w:cs="Arial" w:eastAsia="Arial" w:hAnsi="Arial"/>
                <w:sz w:val="12"/>
                <w:szCs w:val="12"/>
                <w:b w:val="1"/>
                <w:bCs w:val="1"/>
                <w:color w:val="1D4F90"/>
              </w:rPr>
              <w:t>Chris L. Walker</w:t>
            </w:r>
          </w:p>
        </w:tc>
        <w:tc>
          <w:tcPr>
            <w:tcW w:w="2800" w:type="dxa"/>
            <w:vAlign w:val="bottom"/>
          </w:tcPr>
          <w:p>
            <w:pPr>
              <w:ind w:left="2180"/>
              <w:spacing w:after="0"/>
              <w:rPr>
                <w:sz w:val="20"/>
                <w:szCs w:val="20"/>
                <w:color w:val="auto"/>
              </w:rPr>
            </w:pPr>
            <w:r>
              <w:rPr>
                <w:rFonts w:ascii="Arial" w:cs="Arial" w:eastAsia="Arial" w:hAnsi="Arial"/>
                <w:sz w:val="12"/>
                <w:szCs w:val="12"/>
                <w:color w:val="auto"/>
              </w:rPr>
              <w:t>2021</w:t>
            </w:r>
          </w:p>
        </w:tc>
        <w:tc>
          <w:tcPr>
            <w:tcW w:w="1140" w:type="dxa"/>
            <w:vAlign w:val="bottom"/>
          </w:tcPr>
          <w:p>
            <w:pPr>
              <w:jc w:val="right"/>
              <w:ind w:right="238"/>
              <w:spacing w:after="0"/>
              <w:rPr>
                <w:sz w:val="20"/>
                <w:szCs w:val="20"/>
                <w:color w:val="auto"/>
              </w:rPr>
            </w:pPr>
            <w:r>
              <w:rPr>
                <w:rFonts w:ascii="Arial" w:cs="Arial" w:eastAsia="Arial" w:hAnsi="Arial"/>
                <w:sz w:val="12"/>
                <w:szCs w:val="12"/>
                <w:color w:val="auto"/>
              </w:rPr>
              <w:t>854,951</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2022</w:t>
            </w:r>
          </w:p>
        </w:tc>
        <w:tc>
          <w:tcPr>
            <w:tcW w:w="1220" w:type="dxa"/>
            <w:vAlign w:val="bottom"/>
          </w:tcPr>
          <w:p>
            <w:pPr>
              <w:ind w:left="500"/>
              <w:spacing w:after="0"/>
              <w:rPr>
                <w:sz w:val="20"/>
                <w:szCs w:val="20"/>
                <w:color w:val="auto"/>
              </w:rPr>
            </w:pPr>
            <w:r>
              <w:rPr>
                <w:rFonts w:ascii="Arial" w:cs="Arial" w:eastAsia="Arial" w:hAnsi="Arial"/>
                <w:sz w:val="12"/>
                <w:szCs w:val="12"/>
                <w:color w:val="auto"/>
              </w:rPr>
              <w:t>2,859,372</w:t>
            </w:r>
          </w:p>
        </w:tc>
        <w:tc>
          <w:tcPr>
            <w:tcW w:w="740" w:type="dxa"/>
            <w:vAlign w:val="bottom"/>
          </w:tcPr>
          <w:p>
            <w:pPr>
              <w:ind w:left="300"/>
              <w:spacing w:after="0"/>
              <w:rPr>
                <w:sz w:val="20"/>
                <w:szCs w:val="20"/>
                <w:color w:val="auto"/>
              </w:rPr>
            </w:pPr>
            <w:r>
              <w:rPr>
                <w:rFonts w:ascii="Arial" w:cs="Arial" w:eastAsia="Arial" w:hAnsi="Arial"/>
                <w:sz w:val="12"/>
                <w:szCs w:val="12"/>
                <w:color w:val="auto"/>
              </w:rPr>
              <w:t>2023</w:t>
            </w:r>
          </w:p>
        </w:tc>
        <w:tc>
          <w:tcPr>
            <w:tcW w:w="1160" w:type="dxa"/>
            <w:vAlign w:val="bottom"/>
          </w:tcPr>
          <w:p>
            <w:pPr>
              <w:jc w:val="right"/>
              <w:ind w:right="18"/>
              <w:spacing w:after="0"/>
              <w:rPr>
                <w:sz w:val="20"/>
                <w:szCs w:val="20"/>
                <w:color w:val="auto"/>
              </w:rPr>
            </w:pPr>
            <w:r>
              <w:rPr>
                <w:rFonts w:ascii="Arial" w:cs="Arial" w:eastAsia="Arial" w:hAnsi="Arial"/>
                <w:sz w:val="12"/>
                <w:szCs w:val="12"/>
                <w:color w:val="auto"/>
              </w:rPr>
              <w:t>855,536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55880</wp:posOffset>
            </wp:positionV>
            <wp:extent cx="67856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85610" cy="17145"/>
                    </a:xfrm>
                    <a:prstGeom prst="rect">
                      <a:avLst/>
                    </a:prstGeom>
                    <a:noFill/>
                  </pic:spPr>
                </pic:pic>
              </a:graphicData>
            </a:graphic>
          </wp:anchor>
        </w:drawing>
      </w:r>
    </w:p>
    <w:p>
      <w:pPr>
        <w:spacing w:after="0" w:line="162" w:lineRule="exact"/>
        <w:rPr>
          <w:sz w:val="20"/>
          <w:szCs w:val="20"/>
          <w:color w:val="auto"/>
        </w:rPr>
      </w:pPr>
    </w:p>
    <w:p>
      <w:pPr>
        <w:ind w:left="540" w:right="20" w:hanging="212"/>
        <w:spacing w:after="0" w:line="236" w:lineRule="auto"/>
        <w:tabs>
          <w:tab w:leader="none" w:pos="540" w:val="left"/>
        </w:tabs>
        <w:numPr>
          <w:ilvl w:val="1"/>
          <w:numId w:val="41"/>
        </w:numPr>
        <w:rPr>
          <w:rFonts w:ascii="Arial" w:cs="Arial" w:eastAsia="Arial" w:hAnsi="Arial"/>
          <w:sz w:val="11"/>
          <w:szCs w:val="11"/>
          <w:color w:val="auto"/>
        </w:rPr>
      </w:pPr>
      <w:r>
        <w:rPr>
          <w:rFonts w:ascii="Arial" w:cs="Arial" w:eastAsia="Arial" w:hAnsi="Arial"/>
          <w:sz w:val="11"/>
          <w:szCs w:val="11"/>
          <w:color w:val="auto"/>
        </w:rPr>
        <w:t>The long-term equity incentive awards reported for 2022 include the time-based-only long-term equity incentive awards, effective January 1, 2022, each with a grant date fair value of $1,999,958 and granted to each of Messrs. Watts, Barrett Brown, Penny and Walker. The Compensation Committee’s decision to approve these off-cycle long-term equity incentive awards was based upon the exceptional performance during 2021 of each such Named Executive Officer, the Company and/or the offices over which each such Named Executive Officers had oversight responsibility during 2021, as well as the Company’s strong total shareholder returns during the preceding several years. Unlike the long-term equity incentive awards the Compensation Committee generally grants in February of each year, which typically vest five years following the date of grant, these long-term equity grants have a 7.5-year incremental vesting period, which is intended to further incentivize the long-term retention of our Named Executive Officers.</w:t>
      </w:r>
    </w:p>
    <w:p>
      <w:pPr>
        <w:spacing w:after="0" w:line="1" w:lineRule="exact"/>
        <w:rPr>
          <w:rFonts w:ascii="Arial" w:cs="Arial" w:eastAsia="Arial" w:hAnsi="Arial"/>
          <w:sz w:val="11"/>
          <w:szCs w:val="11"/>
          <w:color w:val="auto"/>
        </w:rPr>
      </w:pPr>
    </w:p>
    <w:p>
      <w:pPr>
        <w:ind w:left="220" w:hanging="213"/>
        <w:spacing w:after="0"/>
        <w:tabs>
          <w:tab w:leader="none" w:pos="220" w:val="left"/>
        </w:tabs>
        <w:numPr>
          <w:ilvl w:val="0"/>
          <w:numId w:val="41"/>
        </w:numPr>
        <w:rPr>
          <w:rFonts w:ascii="Arial" w:cs="Arial" w:eastAsia="Arial" w:hAnsi="Arial"/>
          <w:sz w:val="19"/>
          <w:szCs w:val="19"/>
          <w:color w:val="auto"/>
          <w:vertAlign w:val="superscript"/>
        </w:rPr>
      </w:pPr>
      <w:r>
        <w:rPr>
          <w:rFonts w:ascii="Arial" w:cs="Arial" w:eastAsia="Arial" w:hAnsi="Arial"/>
          <w:sz w:val="12"/>
          <w:szCs w:val="12"/>
          <w:color w:val="auto"/>
        </w:rPr>
        <w:t>These dollar amounts include the items identified in the table titled “All Other Compensation Table – 2023.”</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48</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1440" w:right="49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All Other Compensation Table 2021-2023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Company</w:t>
            </w: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2856"/>
              </w:rPr>
              <w:t>Perquisites</w:t>
            </w:r>
          </w:p>
        </w:tc>
        <w:tc>
          <w:tcPr>
            <w:tcW w:w="1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Contributions to</w:t>
            </w: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0"/>
        </w:trPr>
        <w:tc>
          <w:tcPr>
            <w:tcW w:w="2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2856"/>
              </w:rPr>
              <w:t>and Other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Insurance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Retirement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2856"/>
                <w:w w:val="99"/>
              </w:rPr>
              <w:t>Cash</w:t>
            </w: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2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0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Personal Benefits</w:t>
            </w:r>
          </w:p>
        </w:tc>
        <w:tc>
          <w:tcPr>
            <w:tcW w:w="122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Commissions</w:t>
            </w:r>
          </w:p>
        </w:tc>
        <w:tc>
          <w:tcPr>
            <w:tcW w:w="140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and 401(k) Plans</w:t>
            </w: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Dividends</w:t>
            </w:r>
          </w:p>
        </w:tc>
        <w:tc>
          <w:tcPr>
            <w:tcW w:w="1100" w:type="dxa"/>
            <w:vAlign w:val="bottom"/>
          </w:tcPr>
          <w:p>
            <w:pPr>
              <w:jc w:val="right"/>
              <w:ind w:right="301"/>
              <w:spacing w:after="0" w:line="157" w:lineRule="exact"/>
              <w:rPr>
                <w:sz w:val="20"/>
                <w:szCs w:val="20"/>
                <w:color w:val="auto"/>
              </w:rPr>
            </w:pPr>
            <w:r>
              <w:rPr>
                <w:rFonts w:ascii="Arial" w:cs="Arial" w:eastAsia="Arial" w:hAnsi="Arial"/>
                <w:sz w:val="14"/>
                <w:szCs w:val="14"/>
                <w:b w:val="1"/>
                <w:bCs w:val="1"/>
                <w:color w:val="002856"/>
              </w:rPr>
              <w:t>Other</w:t>
            </w:r>
          </w:p>
        </w:tc>
        <w:tc>
          <w:tcPr>
            <w:tcW w:w="820" w:type="dxa"/>
            <w:vAlign w:val="bottom"/>
          </w:tcPr>
          <w:p>
            <w:pPr>
              <w:jc w:val="right"/>
              <w:ind w:right="101"/>
              <w:spacing w:after="0" w:line="157" w:lineRule="exact"/>
              <w:rPr>
                <w:sz w:val="20"/>
                <w:szCs w:val="20"/>
                <w:color w:val="auto"/>
              </w:rPr>
            </w:pPr>
            <w:r>
              <w:rPr>
                <w:rFonts w:ascii="Arial" w:cs="Arial" w:eastAsia="Arial" w:hAnsi="Arial"/>
                <w:sz w:val="14"/>
                <w:szCs w:val="14"/>
                <w:b w:val="1"/>
                <w:bCs w:val="1"/>
                <w:color w:val="002856"/>
              </w:rPr>
              <w:t>Total</w:t>
            </w:r>
          </w:p>
        </w:tc>
      </w:tr>
      <w:tr>
        <w:trPr>
          <w:trHeight w:val="194"/>
        </w:trPr>
        <w:tc>
          <w:tcPr>
            <w:tcW w:w="236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1520" w:type="dxa"/>
            <w:vAlign w:val="bottom"/>
            <w:tcBorders>
              <w:bottom w:val="single" w:sz="8" w:color="C6093B"/>
            </w:tcBorders>
          </w:tcPr>
          <w:p>
            <w:pPr>
              <w:ind w:left="1000"/>
              <w:spacing w:after="0"/>
              <w:rPr>
                <w:sz w:val="20"/>
                <w:szCs w:val="20"/>
                <w:color w:val="auto"/>
              </w:rPr>
            </w:pPr>
            <w:r>
              <w:rPr>
                <w:rFonts w:ascii="Arial" w:cs="Arial" w:eastAsia="Arial" w:hAnsi="Arial"/>
                <w:sz w:val="14"/>
                <w:szCs w:val="14"/>
                <w:b w:val="1"/>
                <w:bCs w:val="1"/>
                <w:color w:val="002856"/>
              </w:rPr>
              <w:t>Year</w:t>
            </w:r>
          </w:p>
        </w:tc>
        <w:tc>
          <w:tcPr>
            <w:tcW w:w="1500" w:type="dxa"/>
            <w:vAlign w:val="bottom"/>
            <w:tcBorders>
              <w:bottom w:val="single" w:sz="8" w:color="C6093B"/>
            </w:tcBorders>
          </w:tcPr>
          <w:p>
            <w:pPr>
              <w:jc w:val="center"/>
              <w:spacing w:after="0" w:line="187" w:lineRule="exact"/>
              <w:rPr>
                <w:sz w:val="20"/>
                <w:szCs w:val="20"/>
                <w:color w:val="auto"/>
              </w:rPr>
            </w:pPr>
            <w:r>
              <w:rPr>
                <w:rFonts w:ascii="Arial" w:cs="Arial" w:eastAsia="Arial" w:hAnsi="Arial"/>
                <w:sz w:val="14"/>
                <w:szCs w:val="14"/>
                <w:b w:val="1"/>
                <w:bCs w:val="1"/>
                <w:color w:val="002856"/>
                <w:w w:val="93"/>
              </w:rPr>
              <w:t>($)</w:t>
            </w:r>
            <w:r>
              <w:rPr>
                <w:rFonts w:ascii="Arial" w:cs="Arial" w:eastAsia="Arial" w:hAnsi="Arial"/>
                <w:sz w:val="21"/>
                <w:szCs w:val="21"/>
                <w:b w:val="1"/>
                <w:bCs w:val="1"/>
                <w:color w:val="002856"/>
                <w:w w:val="93"/>
                <w:vertAlign w:val="superscript"/>
              </w:rPr>
              <w:t>(1)</w:t>
            </w:r>
          </w:p>
        </w:tc>
        <w:tc>
          <w:tcPr>
            <w:tcW w:w="1220" w:type="dxa"/>
            <w:vAlign w:val="bottom"/>
            <w:tcBorders>
              <w:bottom w:val="single" w:sz="8" w:color="C6093B"/>
            </w:tcBorders>
          </w:tcPr>
          <w:p>
            <w:pPr>
              <w:jc w:val="center"/>
              <w:spacing w:after="0" w:line="187"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21"/>
                <w:szCs w:val="21"/>
                <w:b w:val="1"/>
                <w:bCs w:val="1"/>
                <w:color w:val="002856"/>
                <w:w w:val="87"/>
                <w:vertAlign w:val="superscript"/>
              </w:rPr>
              <w:t>(2)</w:t>
            </w:r>
          </w:p>
        </w:tc>
        <w:tc>
          <w:tcPr>
            <w:tcW w:w="140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000" w:type="dxa"/>
            <w:vAlign w:val="bottom"/>
            <w:tcBorders>
              <w:bottom w:val="single" w:sz="8" w:color="C6093B"/>
            </w:tcBorders>
          </w:tcPr>
          <w:p>
            <w:pPr>
              <w:jc w:val="center"/>
              <w:spacing w:after="0" w:line="187" w:lineRule="exact"/>
              <w:rPr>
                <w:sz w:val="20"/>
                <w:szCs w:val="20"/>
                <w:color w:val="auto"/>
              </w:rPr>
            </w:pPr>
            <w:r>
              <w:rPr>
                <w:rFonts w:ascii="Arial" w:cs="Arial" w:eastAsia="Arial" w:hAnsi="Arial"/>
                <w:sz w:val="14"/>
                <w:szCs w:val="14"/>
                <w:b w:val="1"/>
                <w:bCs w:val="1"/>
                <w:color w:val="002856"/>
                <w:w w:val="87"/>
              </w:rPr>
              <w:t>($)</w:t>
            </w:r>
            <w:r>
              <w:rPr>
                <w:rFonts w:ascii="Arial" w:cs="Arial" w:eastAsia="Arial" w:hAnsi="Arial"/>
                <w:sz w:val="21"/>
                <w:szCs w:val="21"/>
                <w:b w:val="1"/>
                <w:bCs w:val="1"/>
                <w:color w:val="002856"/>
                <w:w w:val="87"/>
                <w:vertAlign w:val="superscript"/>
              </w:rPr>
              <w:t>(3)</w:t>
            </w:r>
          </w:p>
        </w:tc>
        <w:tc>
          <w:tcPr>
            <w:tcW w:w="1100" w:type="dxa"/>
            <w:vAlign w:val="bottom"/>
            <w:tcBorders>
              <w:bottom w:val="single" w:sz="8" w:color="C6093B"/>
            </w:tcBorders>
          </w:tcPr>
          <w:p>
            <w:pPr>
              <w:jc w:val="right"/>
              <w:ind w:right="401"/>
              <w:spacing w:after="0"/>
              <w:rPr>
                <w:sz w:val="20"/>
                <w:szCs w:val="20"/>
                <w:color w:val="auto"/>
              </w:rPr>
            </w:pPr>
            <w:r>
              <w:rPr>
                <w:rFonts w:ascii="Arial" w:cs="Arial" w:eastAsia="Arial" w:hAnsi="Arial"/>
                <w:sz w:val="14"/>
                <w:szCs w:val="14"/>
                <w:b w:val="1"/>
                <w:bCs w:val="1"/>
                <w:color w:val="002856"/>
              </w:rPr>
              <w:t>($)</w:t>
            </w:r>
          </w:p>
        </w:tc>
        <w:tc>
          <w:tcPr>
            <w:tcW w:w="820" w:type="dxa"/>
            <w:vAlign w:val="bottom"/>
            <w:tcBorders>
              <w:bottom w:val="single" w:sz="8" w:color="C6093B"/>
            </w:tcBorders>
          </w:tcPr>
          <w:p>
            <w:pPr>
              <w:jc w:val="right"/>
              <w:ind w:right="181"/>
              <w:spacing w:after="0"/>
              <w:rPr>
                <w:sz w:val="20"/>
                <w:szCs w:val="20"/>
                <w:color w:val="auto"/>
              </w:rPr>
            </w:pPr>
            <w:r>
              <w:rPr>
                <w:rFonts w:ascii="Arial" w:cs="Arial" w:eastAsia="Arial" w:hAnsi="Arial"/>
                <w:sz w:val="14"/>
                <w:szCs w:val="14"/>
                <w:b w:val="1"/>
                <w:bCs w:val="1"/>
                <w:color w:val="002856"/>
              </w:rPr>
              <w:t>($)</w:t>
            </w:r>
          </w:p>
        </w:tc>
      </w:tr>
      <w:tr>
        <w:trPr>
          <w:trHeight w:val="293"/>
        </w:trPr>
        <w:tc>
          <w:tcPr>
            <w:tcW w:w="2360" w:type="dxa"/>
            <w:vAlign w:val="bottom"/>
          </w:tcPr>
          <w:p>
            <w:pPr>
              <w:ind w:left="80"/>
              <w:spacing w:after="0"/>
              <w:rPr>
                <w:sz w:val="20"/>
                <w:szCs w:val="20"/>
                <w:color w:val="auto"/>
              </w:rPr>
            </w:pPr>
            <w:r>
              <w:rPr>
                <w:rFonts w:ascii="Arial" w:cs="Arial" w:eastAsia="Arial" w:hAnsi="Arial"/>
                <w:sz w:val="16"/>
                <w:szCs w:val="16"/>
                <w:b w:val="1"/>
                <w:bCs w:val="1"/>
                <w:color w:val="1D4F90"/>
              </w:rPr>
              <w:t>J. Powell Brown</w:t>
            </w:r>
          </w:p>
        </w:tc>
        <w:tc>
          <w:tcPr>
            <w:tcW w:w="1520" w:type="dxa"/>
            <w:vAlign w:val="bottom"/>
          </w:tcPr>
          <w:p>
            <w:pPr>
              <w:ind w:left="1000"/>
              <w:spacing w:after="0"/>
              <w:rPr>
                <w:sz w:val="20"/>
                <w:szCs w:val="20"/>
                <w:color w:val="auto"/>
              </w:rPr>
            </w:pPr>
            <w:r>
              <w:rPr>
                <w:rFonts w:ascii="Arial" w:cs="Arial" w:eastAsia="Arial" w:hAnsi="Arial"/>
                <w:sz w:val="16"/>
                <w:szCs w:val="16"/>
                <w:color w:val="auto"/>
              </w:rPr>
              <w:t>2023</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5,908</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59</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13,200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289,170</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36,267</w:t>
            </w:r>
            <w:r>
              <w:rPr>
                <w:rFonts w:ascii="Arial" w:cs="Arial" w:eastAsia="Arial" w:hAnsi="Arial"/>
                <w:sz w:val="24"/>
                <w:szCs w:val="24"/>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344,884</w:t>
            </w:r>
          </w:p>
        </w:tc>
      </w:tr>
      <w:tr>
        <w:trPr>
          <w:trHeight w:val="211"/>
        </w:trPr>
        <w:tc>
          <w:tcPr>
            <w:tcW w:w="2360" w:type="dxa"/>
            <w:vAlign w:val="bottom"/>
          </w:tcPr>
          <w:p>
            <w:pPr>
              <w:spacing w:after="0"/>
              <w:rPr>
                <w:sz w:val="18"/>
                <w:szCs w:val="18"/>
                <w:color w:val="auto"/>
              </w:rPr>
            </w:pPr>
          </w:p>
        </w:tc>
        <w:tc>
          <w:tcPr>
            <w:tcW w:w="1520" w:type="dxa"/>
            <w:vAlign w:val="bottom"/>
          </w:tcPr>
          <w:p>
            <w:pPr>
              <w:ind w:left="1000"/>
              <w:spacing w:after="0"/>
              <w:rPr>
                <w:sz w:val="20"/>
                <w:szCs w:val="20"/>
                <w:color w:val="auto"/>
              </w:rPr>
            </w:pPr>
            <w:r>
              <w:rPr>
                <w:rFonts w:ascii="Arial" w:cs="Arial" w:eastAsia="Arial" w:hAnsi="Arial"/>
                <w:sz w:val="16"/>
                <w:szCs w:val="16"/>
                <w:color w:val="auto"/>
              </w:rPr>
              <w:t>2022</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4,119</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59</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12,200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270,607</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286,985</w:t>
            </w:r>
          </w:p>
        </w:tc>
      </w:tr>
      <w:tr>
        <w:trPr>
          <w:trHeight w:val="244"/>
        </w:trPr>
        <w:tc>
          <w:tcPr>
            <w:tcW w:w="2360" w:type="dxa"/>
            <w:vAlign w:val="bottom"/>
            <w:tcBorders>
              <w:bottom w:val="single" w:sz="8" w:color="4C4C4C"/>
            </w:tcBorders>
          </w:tcPr>
          <w:p>
            <w:pPr>
              <w:spacing w:after="0"/>
              <w:rPr>
                <w:sz w:val="21"/>
                <w:szCs w:val="21"/>
                <w:color w:val="auto"/>
              </w:rPr>
            </w:pPr>
          </w:p>
        </w:tc>
        <w:tc>
          <w:tcPr>
            <w:tcW w:w="152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1,365</w:t>
            </w:r>
          </w:p>
        </w:tc>
        <w:tc>
          <w:tcPr>
            <w:tcW w:w="122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5,395</w:t>
            </w:r>
          </w:p>
        </w:tc>
        <w:tc>
          <w:tcPr>
            <w:tcW w:w="1400" w:type="dxa"/>
            <w:vAlign w:val="bottom"/>
            <w:tcBorders>
              <w:bottom w:val="single" w:sz="8" w:color="4C4C4C"/>
            </w:tcBorders>
          </w:tcPr>
          <w:p>
            <w:pPr>
              <w:jc w:val="right"/>
              <w:ind w:right="162"/>
              <w:spacing w:after="0"/>
              <w:rPr>
                <w:sz w:val="20"/>
                <w:szCs w:val="20"/>
                <w:color w:val="auto"/>
              </w:rPr>
            </w:pPr>
            <w:r>
              <w:rPr>
                <w:rFonts w:ascii="Arial" w:cs="Arial" w:eastAsia="Arial" w:hAnsi="Arial"/>
                <w:sz w:val="16"/>
                <w:szCs w:val="16"/>
                <w:color w:val="auto"/>
              </w:rPr>
              <w:t>11,600</w:t>
            </w:r>
          </w:p>
        </w:tc>
        <w:tc>
          <w:tcPr>
            <w:tcW w:w="100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242,658</w:t>
            </w:r>
          </w:p>
        </w:tc>
        <w:tc>
          <w:tcPr>
            <w:tcW w:w="110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261,018</w:t>
            </w:r>
          </w:p>
        </w:tc>
      </w:tr>
      <w:tr>
        <w:trPr>
          <w:trHeight w:val="254"/>
        </w:trPr>
        <w:tc>
          <w:tcPr>
            <w:tcW w:w="2360" w:type="dxa"/>
            <w:vAlign w:val="bottom"/>
          </w:tcPr>
          <w:p>
            <w:pPr>
              <w:ind w:left="80"/>
              <w:spacing w:after="0"/>
              <w:rPr>
                <w:sz w:val="20"/>
                <w:szCs w:val="20"/>
                <w:color w:val="auto"/>
              </w:rPr>
            </w:pPr>
            <w:r>
              <w:rPr>
                <w:rFonts w:ascii="Arial" w:cs="Arial" w:eastAsia="Arial" w:hAnsi="Arial"/>
                <w:sz w:val="16"/>
                <w:szCs w:val="16"/>
                <w:b w:val="1"/>
                <w:bCs w:val="1"/>
                <w:color w:val="1D4F90"/>
              </w:rPr>
              <w:t>R. Andrew Watts</w:t>
            </w:r>
          </w:p>
        </w:tc>
        <w:tc>
          <w:tcPr>
            <w:tcW w:w="1520" w:type="dxa"/>
            <w:vAlign w:val="bottom"/>
          </w:tcPr>
          <w:p>
            <w:pPr>
              <w:ind w:left="1000"/>
              <w:spacing w:after="0"/>
              <w:rPr>
                <w:sz w:val="20"/>
                <w:szCs w:val="20"/>
                <w:color w:val="auto"/>
              </w:rPr>
            </w:pPr>
            <w:r>
              <w:rPr>
                <w:rFonts w:ascii="Arial" w:cs="Arial" w:eastAsia="Arial" w:hAnsi="Arial"/>
                <w:sz w:val="16"/>
                <w:szCs w:val="16"/>
                <w:color w:val="auto"/>
              </w:rPr>
              <w:t>2023</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16,675</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2,616</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13,200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48,670</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81,161</w:t>
            </w:r>
          </w:p>
        </w:tc>
      </w:tr>
      <w:tr>
        <w:trPr>
          <w:trHeight w:val="244"/>
        </w:trPr>
        <w:tc>
          <w:tcPr>
            <w:tcW w:w="236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6"/>
                <w:szCs w:val="16"/>
                <w:color w:val="auto"/>
              </w:rPr>
              <w:t>2022</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18,052</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2,335</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12,200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45,872</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78,459</w:t>
            </w:r>
          </w:p>
        </w:tc>
      </w:tr>
      <w:tr>
        <w:trPr>
          <w:trHeight w:val="244"/>
        </w:trPr>
        <w:tc>
          <w:tcPr>
            <w:tcW w:w="2360" w:type="dxa"/>
            <w:vAlign w:val="bottom"/>
            <w:tcBorders>
              <w:bottom w:val="single" w:sz="8" w:color="4C4C4C"/>
            </w:tcBorders>
          </w:tcPr>
          <w:p>
            <w:pPr>
              <w:spacing w:after="0"/>
              <w:rPr>
                <w:sz w:val="21"/>
                <w:szCs w:val="21"/>
                <w:color w:val="auto"/>
              </w:rPr>
            </w:pPr>
          </w:p>
        </w:tc>
        <w:tc>
          <w:tcPr>
            <w:tcW w:w="152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16,675</w:t>
            </w:r>
          </w:p>
        </w:tc>
        <w:tc>
          <w:tcPr>
            <w:tcW w:w="122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2,169</w:t>
            </w:r>
          </w:p>
        </w:tc>
        <w:tc>
          <w:tcPr>
            <w:tcW w:w="1400" w:type="dxa"/>
            <w:vAlign w:val="bottom"/>
            <w:tcBorders>
              <w:bottom w:val="single" w:sz="8" w:color="4C4C4C"/>
            </w:tcBorders>
          </w:tcPr>
          <w:p>
            <w:pPr>
              <w:jc w:val="right"/>
              <w:ind w:right="162"/>
              <w:spacing w:after="0"/>
              <w:rPr>
                <w:sz w:val="20"/>
                <w:szCs w:val="20"/>
                <w:color w:val="auto"/>
              </w:rPr>
            </w:pPr>
            <w:r>
              <w:rPr>
                <w:rFonts w:ascii="Arial" w:cs="Arial" w:eastAsia="Arial" w:hAnsi="Arial"/>
                <w:sz w:val="16"/>
                <w:szCs w:val="16"/>
                <w:color w:val="auto"/>
              </w:rPr>
              <w:t>11,600</w:t>
            </w:r>
          </w:p>
        </w:tc>
        <w:tc>
          <w:tcPr>
            <w:tcW w:w="100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35,659</w:t>
            </w:r>
          </w:p>
        </w:tc>
        <w:tc>
          <w:tcPr>
            <w:tcW w:w="110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66,103</w:t>
            </w:r>
          </w:p>
        </w:tc>
      </w:tr>
      <w:tr>
        <w:trPr>
          <w:trHeight w:val="254"/>
        </w:trPr>
        <w:tc>
          <w:tcPr>
            <w:tcW w:w="2360" w:type="dxa"/>
            <w:vAlign w:val="bottom"/>
          </w:tcPr>
          <w:p>
            <w:pPr>
              <w:ind w:left="80"/>
              <w:spacing w:after="0"/>
              <w:rPr>
                <w:sz w:val="20"/>
                <w:szCs w:val="20"/>
                <w:color w:val="auto"/>
              </w:rPr>
            </w:pPr>
            <w:r>
              <w:rPr>
                <w:rFonts w:ascii="Arial" w:cs="Arial" w:eastAsia="Arial" w:hAnsi="Arial"/>
                <w:sz w:val="16"/>
                <w:szCs w:val="16"/>
                <w:b w:val="1"/>
                <w:bCs w:val="1"/>
                <w:color w:val="1D4F90"/>
              </w:rPr>
              <w:t>P. Barrett Brown</w:t>
            </w:r>
          </w:p>
        </w:tc>
        <w:tc>
          <w:tcPr>
            <w:tcW w:w="1520" w:type="dxa"/>
            <w:vAlign w:val="bottom"/>
          </w:tcPr>
          <w:p>
            <w:pPr>
              <w:ind w:left="1000"/>
              <w:spacing w:after="0"/>
              <w:rPr>
                <w:sz w:val="20"/>
                <w:szCs w:val="20"/>
                <w:color w:val="auto"/>
              </w:rPr>
            </w:pPr>
            <w:r>
              <w:rPr>
                <w:rFonts w:ascii="Arial" w:cs="Arial" w:eastAsia="Arial" w:hAnsi="Arial"/>
                <w:sz w:val="16"/>
                <w:szCs w:val="16"/>
                <w:color w:val="auto"/>
              </w:rPr>
              <w:t>2023</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13,200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34,275</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47,475</w:t>
            </w:r>
          </w:p>
        </w:tc>
      </w:tr>
      <w:tr>
        <w:trPr>
          <w:trHeight w:val="287"/>
        </w:trPr>
        <w:tc>
          <w:tcPr>
            <w:tcW w:w="2360" w:type="dxa"/>
            <w:vAlign w:val="bottom"/>
          </w:tcPr>
          <w:p>
            <w:pPr>
              <w:spacing w:after="0"/>
              <w:rPr>
                <w:sz w:val="24"/>
                <w:szCs w:val="24"/>
                <w:color w:val="auto"/>
              </w:rPr>
            </w:pPr>
          </w:p>
        </w:tc>
        <w:tc>
          <w:tcPr>
            <w:tcW w:w="1520" w:type="dxa"/>
            <w:vAlign w:val="bottom"/>
          </w:tcPr>
          <w:p>
            <w:pPr>
              <w:ind w:left="1000"/>
              <w:spacing w:after="0"/>
              <w:rPr>
                <w:sz w:val="20"/>
                <w:szCs w:val="20"/>
                <w:color w:val="auto"/>
              </w:rPr>
            </w:pPr>
            <w:r>
              <w:rPr>
                <w:rFonts w:ascii="Arial" w:cs="Arial" w:eastAsia="Arial" w:hAnsi="Arial"/>
                <w:sz w:val="16"/>
                <w:szCs w:val="16"/>
                <w:color w:val="auto"/>
              </w:rPr>
              <w:t>2022</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12,200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32,525</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286,409</w:t>
            </w:r>
            <w:r>
              <w:rPr>
                <w:rFonts w:ascii="Arial" w:cs="Arial" w:eastAsia="Arial" w:hAnsi="Arial"/>
                <w:sz w:val="24"/>
                <w:szCs w:val="24"/>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6"/>
                <w:szCs w:val="16"/>
                <w:color w:val="auto"/>
              </w:rPr>
              <w:t>331,134</w:t>
            </w:r>
          </w:p>
        </w:tc>
      </w:tr>
      <w:tr>
        <w:trPr>
          <w:trHeight w:val="201"/>
        </w:trPr>
        <w:tc>
          <w:tcPr>
            <w:tcW w:w="2360" w:type="dxa"/>
            <w:vAlign w:val="bottom"/>
            <w:tcBorders>
              <w:bottom w:val="single" w:sz="8" w:color="4C4C4C"/>
            </w:tcBorders>
          </w:tcPr>
          <w:p>
            <w:pPr>
              <w:spacing w:after="0"/>
              <w:rPr>
                <w:sz w:val="17"/>
                <w:szCs w:val="17"/>
                <w:color w:val="auto"/>
              </w:rPr>
            </w:pPr>
          </w:p>
        </w:tc>
        <w:tc>
          <w:tcPr>
            <w:tcW w:w="152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C4C4C"/>
            </w:tcBorders>
          </w:tcPr>
          <w:p>
            <w:pPr>
              <w:jc w:val="right"/>
              <w:ind w:right="162"/>
              <w:spacing w:after="0"/>
              <w:rPr>
                <w:sz w:val="20"/>
                <w:szCs w:val="20"/>
                <w:color w:val="auto"/>
              </w:rPr>
            </w:pPr>
            <w:r>
              <w:rPr>
                <w:rFonts w:ascii="Arial" w:cs="Arial" w:eastAsia="Arial" w:hAnsi="Arial"/>
                <w:sz w:val="16"/>
                <w:szCs w:val="16"/>
                <w:color w:val="auto"/>
              </w:rPr>
              <w:t>11,600</w:t>
            </w:r>
          </w:p>
        </w:tc>
        <w:tc>
          <w:tcPr>
            <w:tcW w:w="100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22,254</w:t>
            </w:r>
          </w:p>
        </w:tc>
        <w:tc>
          <w:tcPr>
            <w:tcW w:w="110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33,854</w:t>
            </w:r>
          </w:p>
        </w:tc>
      </w:tr>
      <w:tr>
        <w:trPr>
          <w:trHeight w:val="254"/>
        </w:trPr>
        <w:tc>
          <w:tcPr>
            <w:tcW w:w="2360" w:type="dxa"/>
            <w:vAlign w:val="bottom"/>
          </w:tcPr>
          <w:p>
            <w:pPr>
              <w:ind w:left="80"/>
              <w:spacing w:after="0"/>
              <w:rPr>
                <w:sz w:val="20"/>
                <w:szCs w:val="20"/>
                <w:color w:val="auto"/>
              </w:rPr>
            </w:pPr>
            <w:r>
              <w:rPr>
                <w:rFonts w:ascii="Arial" w:cs="Arial" w:eastAsia="Arial" w:hAnsi="Arial"/>
                <w:sz w:val="16"/>
                <w:szCs w:val="16"/>
                <w:b w:val="1"/>
                <w:bCs w:val="1"/>
                <w:color w:val="1D4F90"/>
              </w:rPr>
              <w:t>J. Scott Penny</w:t>
            </w:r>
          </w:p>
        </w:tc>
        <w:tc>
          <w:tcPr>
            <w:tcW w:w="1520" w:type="dxa"/>
            <w:vAlign w:val="bottom"/>
          </w:tcPr>
          <w:p>
            <w:pPr>
              <w:ind w:left="1000"/>
              <w:spacing w:after="0"/>
              <w:rPr>
                <w:sz w:val="20"/>
                <w:szCs w:val="20"/>
                <w:color w:val="auto"/>
              </w:rPr>
            </w:pPr>
            <w:r>
              <w:rPr>
                <w:rFonts w:ascii="Arial" w:cs="Arial" w:eastAsia="Arial" w:hAnsi="Arial"/>
                <w:sz w:val="16"/>
                <w:szCs w:val="16"/>
                <w:color w:val="auto"/>
              </w:rPr>
              <w:t>2023</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16,675</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15,144</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13,200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41,923</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86,942</w:t>
            </w:r>
          </w:p>
        </w:tc>
      </w:tr>
      <w:tr>
        <w:trPr>
          <w:trHeight w:val="244"/>
        </w:trPr>
        <w:tc>
          <w:tcPr>
            <w:tcW w:w="236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6"/>
                <w:szCs w:val="16"/>
                <w:color w:val="auto"/>
              </w:rPr>
              <w:t>2022</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16,675</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12,473</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12,200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48,235</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89,583</w:t>
            </w:r>
          </w:p>
        </w:tc>
      </w:tr>
      <w:tr>
        <w:trPr>
          <w:trHeight w:val="244"/>
        </w:trPr>
        <w:tc>
          <w:tcPr>
            <w:tcW w:w="2360" w:type="dxa"/>
            <w:vAlign w:val="bottom"/>
            <w:tcBorders>
              <w:bottom w:val="single" w:sz="8" w:color="4C4C4C"/>
            </w:tcBorders>
          </w:tcPr>
          <w:p>
            <w:pPr>
              <w:spacing w:after="0"/>
              <w:rPr>
                <w:sz w:val="21"/>
                <w:szCs w:val="21"/>
                <w:color w:val="auto"/>
              </w:rPr>
            </w:pPr>
          </w:p>
        </w:tc>
        <w:tc>
          <w:tcPr>
            <w:tcW w:w="152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4C4C4C"/>
            </w:tcBorders>
          </w:tcPr>
          <w:p>
            <w:pPr>
              <w:jc w:val="right"/>
              <w:ind w:right="182"/>
              <w:spacing w:after="0"/>
              <w:rPr>
                <w:sz w:val="20"/>
                <w:szCs w:val="20"/>
                <w:color w:val="auto"/>
              </w:rPr>
            </w:pPr>
            <w:r>
              <w:rPr>
                <w:rFonts w:ascii="Arial" w:cs="Arial" w:eastAsia="Arial" w:hAnsi="Arial"/>
                <w:sz w:val="16"/>
                <w:szCs w:val="16"/>
                <w:color w:val="auto"/>
              </w:rPr>
              <w:t>16,675</w:t>
            </w:r>
          </w:p>
        </w:tc>
        <w:tc>
          <w:tcPr>
            <w:tcW w:w="122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C4C4C"/>
            </w:tcBorders>
          </w:tcPr>
          <w:p>
            <w:pPr>
              <w:jc w:val="right"/>
              <w:ind w:right="162"/>
              <w:spacing w:after="0"/>
              <w:rPr>
                <w:sz w:val="20"/>
                <w:szCs w:val="20"/>
                <w:color w:val="auto"/>
              </w:rPr>
            </w:pPr>
            <w:r>
              <w:rPr>
                <w:rFonts w:ascii="Arial" w:cs="Arial" w:eastAsia="Arial" w:hAnsi="Arial"/>
                <w:sz w:val="16"/>
                <w:szCs w:val="16"/>
                <w:color w:val="auto"/>
              </w:rPr>
              <w:t>11,600</w:t>
            </w:r>
          </w:p>
        </w:tc>
        <w:tc>
          <w:tcPr>
            <w:tcW w:w="100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33,119</w:t>
            </w:r>
          </w:p>
        </w:tc>
        <w:tc>
          <w:tcPr>
            <w:tcW w:w="110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61,394</w:t>
            </w:r>
          </w:p>
        </w:tc>
      </w:tr>
      <w:tr>
        <w:trPr>
          <w:trHeight w:val="254"/>
        </w:trPr>
        <w:tc>
          <w:tcPr>
            <w:tcW w:w="2360" w:type="dxa"/>
            <w:vAlign w:val="bottom"/>
          </w:tcPr>
          <w:p>
            <w:pPr>
              <w:ind w:left="80"/>
              <w:spacing w:after="0"/>
              <w:rPr>
                <w:sz w:val="20"/>
                <w:szCs w:val="20"/>
                <w:color w:val="auto"/>
              </w:rPr>
            </w:pPr>
            <w:r>
              <w:rPr>
                <w:rFonts w:ascii="Arial" w:cs="Arial" w:eastAsia="Arial" w:hAnsi="Arial"/>
                <w:sz w:val="16"/>
                <w:szCs w:val="16"/>
                <w:b w:val="1"/>
                <w:bCs w:val="1"/>
                <w:color w:val="1D4F90"/>
              </w:rPr>
              <w:t>Chris L. Walker</w:t>
            </w:r>
          </w:p>
        </w:tc>
        <w:tc>
          <w:tcPr>
            <w:tcW w:w="1520" w:type="dxa"/>
            <w:vAlign w:val="bottom"/>
          </w:tcPr>
          <w:p>
            <w:pPr>
              <w:ind w:left="1000"/>
              <w:spacing w:after="0"/>
              <w:rPr>
                <w:sz w:val="20"/>
                <w:szCs w:val="20"/>
                <w:color w:val="auto"/>
              </w:rPr>
            </w:pPr>
            <w:r>
              <w:rPr>
                <w:rFonts w:ascii="Arial" w:cs="Arial" w:eastAsia="Arial" w:hAnsi="Arial"/>
                <w:sz w:val="16"/>
                <w:szCs w:val="16"/>
                <w:color w:val="auto"/>
              </w:rPr>
              <w:t>2023</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4,736</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25,497</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30,233</w:t>
            </w:r>
          </w:p>
        </w:tc>
      </w:tr>
      <w:tr>
        <w:trPr>
          <w:trHeight w:val="244"/>
        </w:trPr>
        <w:tc>
          <w:tcPr>
            <w:tcW w:w="236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6"/>
                <w:szCs w:val="16"/>
                <w:color w:val="auto"/>
              </w:rPr>
              <w:t>2022</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12,670</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28,996</w:t>
            </w: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41,666</w:t>
            </w:r>
          </w:p>
        </w:tc>
      </w:tr>
      <w:tr>
        <w:trPr>
          <w:trHeight w:val="251"/>
        </w:trPr>
        <w:tc>
          <w:tcPr>
            <w:tcW w:w="2360" w:type="dxa"/>
            <w:vAlign w:val="bottom"/>
            <w:tcBorders>
              <w:bottom w:val="single" w:sz="8" w:color="C6093B"/>
            </w:tcBorders>
          </w:tcPr>
          <w:p>
            <w:pPr>
              <w:spacing w:after="0"/>
              <w:rPr>
                <w:sz w:val="21"/>
                <w:szCs w:val="21"/>
                <w:color w:val="auto"/>
              </w:rPr>
            </w:pPr>
          </w:p>
        </w:tc>
        <w:tc>
          <w:tcPr>
            <w:tcW w:w="1520" w:type="dxa"/>
            <w:vAlign w:val="bottom"/>
            <w:tcBorders>
              <w:bottom w:val="single" w:sz="8" w:color="C6093B"/>
            </w:tcBorders>
          </w:tcPr>
          <w:p>
            <w:pPr>
              <w:ind w:left="1000"/>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C6093B"/>
            </w:tcBorders>
          </w:tcPr>
          <w:p>
            <w:pPr>
              <w:jc w:val="right"/>
              <w:ind w:right="182"/>
              <w:spacing w:after="0"/>
              <w:rPr>
                <w:sz w:val="20"/>
                <w:szCs w:val="20"/>
                <w:color w:val="auto"/>
              </w:rPr>
            </w:pPr>
            <w:r>
              <w:rPr>
                <w:rFonts w:ascii="Arial" w:cs="Arial" w:eastAsia="Arial" w:hAnsi="Arial"/>
                <w:sz w:val="16"/>
                <w:szCs w:val="16"/>
                <w:color w:val="auto"/>
              </w:rPr>
              <w:t>22,020</w:t>
            </w:r>
          </w:p>
        </w:tc>
        <w:tc>
          <w:tcPr>
            <w:tcW w:w="1220" w:type="dxa"/>
            <w:vAlign w:val="bottom"/>
            <w:tcBorders>
              <w:bottom w:val="single" w:sz="8" w:color="C6093B"/>
            </w:tcBorders>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6093B"/>
            </w:tcBorders>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6093B"/>
            </w:tcBorders>
          </w:tcPr>
          <w:p>
            <w:pPr>
              <w:jc w:val="right"/>
              <w:ind w:right="141"/>
              <w:spacing w:after="0"/>
              <w:rPr>
                <w:sz w:val="20"/>
                <w:szCs w:val="20"/>
                <w:color w:val="auto"/>
              </w:rPr>
            </w:pPr>
            <w:r>
              <w:rPr>
                <w:rFonts w:ascii="Arial" w:cs="Arial" w:eastAsia="Arial" w:hAnsi="Arial"/>
                <w:sz w:val="16"/>
                <w:szCs w:val="16"/>
                <w:color w:val="auto"/>
              </w:rPr>
              <w:t>29,385</w:t>
            </w:r>
          </w:p>
        </w:tc>
        <w:tc>
          <w:tcPr>
            <w:tcW w:w="1100" w:type="dxa"/>
            <w:vAlign w:val="bottom"/>
            <w:tcBorders>
              <w:bottom w:val="single" w:sz="8" w:color="C6093B"/>
            </w:tcBorders>
          </w:tcPr>
          <w:p>
            <w:pPr>
              <w:jc w:val="right"/>
              <w:ind w:right="2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51,405</w:t>
            </w:r>
          </w:p>
        </w:tc>
      </w:tr>
    </w:tbl>
    <w:p>
      <w:pPr>
        <w:spacing w:after="0" w:line="62" w:lineRule="exact"/>
        <w:rPr>
          <w:sz w:val="20"/>
          <w:szCs w:val="20"/>
          <w:color w:val="auto"/>
        </w:rPr>
      </w:pPr>
    </w:p>
    <w:p>
      <w:pPr>
        <w:ind w:left="220" w:right="20" w:hanging="213"/>
        <w:spacing w:after="0" w:line="201" w:lineRule="auto"/>
        <w:tabs>
          <w:tab w:leader="none" w:pos="22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These amounts include the reimbursement of the cost of certain financial and tax planning services and reimbursement of certain club membership dues and car service expenses. For additional information, see “Compensation Discussion and Analysis – Other Compensation.”</w:t>
      </w:r>
    </w:p>
    <w:p>
      <w:pPr>
        <w:spacing w:after="0" w:line="49" w:lineRule="exact"/>
        <w:rPr>
          <w:rFonts w:ascii="Arial" w:cs="Arial" w:eastAsia="Arial" w:hAnsi="Arial"/>
          <w:sz w:val="19"/>
          <w:szCs w:val="19"/>
          <w:color w:val="auto"/>
          <w:vertAlign w:val="superscript"/>
        </w:rPr>
      </w:pPr>
    </w:p>
    <w:p>
      <w:pPr>
        <w:ind w:left="220" w:right="660" w:hanging="213"/>
        <w:spacing w:after="0" w:line="201" w:lineRule="auto"/>
        <w:tabs>
          <w:tab w:leader="none" w:pos="22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These amounts include amounts earned by the Company and reimbursed to these employees for personal lines insurance purchased by these employees through the Company or its subsidiaries.</w:t>
      </w:r>
    </w:p>
    <w:p>
      <w:pPr>
        <w:ind w:left="220" w:hanging="213"/>
        <w:spacing w:after="0" w:line="235" w:lineRule="auto"/>
        <w:tabs>
          <w:tab w:leader="none" w:pos="22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These amounts represent cash dividends paid on granted PSP, 2010 SIP and 2019 SIP shares for which conditions of vesting other than time-based conditions have been satisfied.</w:t>
      </w:r>
    </w:p>
    <w:p>
      <w:pPr>
        <w:spacing w:after="0" w:line="61" w:lineRule="exact"/>
        <w:rPr>
          <w:rFonts w:ascii="Arial" w:cs="Arial" w:eastAsia="Arial" w:hAnsi="Arial"/>
          <w:sz w:val="19"/>
          <w:szCs w:val="19"/>
          <w:color w:val="auto"/>
          <w:vertAlign w:val="superscript"/>
        </w:rPr>
      </w:pPr>
    </w:p>
    <w:p>
      <w:pPr>
        <w:ind w:left="220" w:right="200" w:hanging="213"/>
        <w:spacing w:after="0" w:line="192" w:lineRule="auto"/>
        <w:tabs>
          <w:tab w:leader="none" w:pos="22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Amount reflects costs associated with the temporary relocation of Mr. Powell Brown to London, England from July 2023 to September 2023, including approximately $30,279 for housing costs and $5,988 for airline fare costs.</w:t>
      </w:r>
    </w:p>
    <w:p>
      <w:pPr>
        <w:spacing w:after="0" w:line="50" w:lineRule="exact"/>
        <w:rPr>
          <w:rFonts w:ascii="Arial" w:cs="Arial" w:eastAsia="Arial" w:hAnsi="Arial"/>
          <w:sz w:val="19"/>
          <w:szCs w:val="19"/>
          <w:color w:val="auto"/>
          <w:vertAlign w:val="superscript"/>
        </w:rPr>
      </w:pPr>
    </w:p>
    <w:p>
      <w:pPr>
        <w:ind w:left="220" w:right="300" w:hanging="213"/>
        <w:spacing w:after="0" w:line="201" w:lineRule="auto"/>
        <w:tabs>
          <w:tab w:leader="none" w:pos="220" w:val="left"/>
        </w:tabs>
        <w:numPr>
          <w:ilvl w:val="0"/>
          <w:numId w:val="42"/>
        </w:numPr>
        <w:rPr>
          <w:rFonts w:ascii="Arial" w:cs="Arial" w:eastAsia="Arial" w:hAnsi="Arial"/>
          <w:sz w:val="19"/>
          <w:szCs w:val="19"/>
          <w:color w:val="auto"/>
          <w:vertAlign w:val="superscript"/>
        </w:rPr>
      </w:pPr>
      <w:r>
        <w:rPr>
          <w:rFonts w:ascii="Arial" w:cs="Arial" w:eastAsia="Arial" w:hAnsi="Arial"/>
          <w:sz w:val="12"/>
          <w:szCs w:val="12"/>
          <w:color w:val="auto"/>
        </w:rPr>
        <w:t>Amount reflects costs associated with the temporary relocation of Mr. Barrett Brown and his family to London, England from June 2022 to August 2022, including approximately $238,487 for housing costs; $10,825 for transportation costs, including car service and rental cars; $27,844 for airline fares costs and $8,893 for tax gross ups.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49</w:t>
      </w:r>
    </w:p>
    <w:p>
      <w:pPr>
        <w:sectPr>
          <w:pgSz w:w="11900" w:h="16838" w:orient="portrait"/>
          <w:cols w:equalWidth="0" w:num="1">
            <w:col w:w="10920"/>
          </w:cols>
          <w:pgMar w:left="480" w:top="304" w:right="49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Grants of Plan-Based Awards in Fiscal 2023</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following table provides information about the range of possible annual incentive cash payouts in respect of 2023 performance, the range of shares that may be earned pursuant to the stock grants made to our Named Executive Officers under our 2019 SIP in 2023 and the grant date fair value of these stock grants computed under Statement of Financial Accounting Standards ASC Topic 718 (formerly “SFAS 123(R)”).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002856"/>
              </w:rPr>
              <w:t>Estimated Future Payouts</w:t>
            </w:r>
          </w:p>
        </w:tc>
        <w:tc>
          <w:tcPr>
            <w:tcW w:w="2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002856"/>
              </w:rPr>
              <w:t>Estimated Future Payouts</w:t>
            </w:r>
          </w:p>
        </w:tc>
        <w:tc>
          <w:tcPr>
            <w:tcW w:w="1120" w:type="dxa"/>
            <w:vAlign w:val="bottom"/>
          </w:tcPr>
          <w:p>
            <w:pPr>
              <w:spacing w:after="0"/>
              <w:rPr>
                <w:sz w:val="14"/>
                <w:szCs w:val="14"/>
                <w:color w:val="auto"/>
              </w:rPr>
            </w:pPr>
          </w:p>
        </w:tc>
      </w:tr>
      <w:tr>
        <w:trPr>
          <w:trHeight w:val="157"/>
        </w:trPr>
        <w:tc>
          <w:tcPr>
            <w:tcW w:w="2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20" w:type="dxa"/>
            <w:vAlign w:val="bottom"/>
            <w:gridSpan w:val="4"/>
          </w:tcPr>
          <w:p>
            <w:pPr>
              <w:jc w:val="center"/>
              <w:ind w:right="240"/>
              <w:spacing w:after="0" w:line="157" w:lineRule="exact"/>
              <w:rPr>
                <w:sz w:val="20"/>
                <w:szCs w:val="20"/>
                <w:color w:val="auto"/>
              </w:rPr>
            </w:pPr>
            <w:r>
              <w:rPr>
                <w:rFonts w:ascii="Arial" w:cs="Arial" w:eastAsia="Arial" w:hAnsi="Arial"/>
                <w:sz w:val="14"/>
                <w:szCs w:val="14"/>
                <w:b w:val="1"/>
                <w:bCs w:val="1"/>
                <w:color w:val="002856"/>
              </w:rPr>
              <w:t>Under Non-Equity Incentive</w:t>
            </w:r>
          </w:p>
        </w:tc>
        <w:tc>
          <w:tcPr>
            <w:tcW w:w="2540" w:type="dxa"/>
            <w:vAlign w:val="bottom"/>
            <w:gridSpan w:val="4"/>
          </w:tcPr>
          <w:p>
            <w:pPr>
              <w:jc w:val="center"/>
              <w:ind w:right="120"/>
              <w:spacing w:after="0" w:line="157" w:lineRule="exact"/>
              <w:rPr>
                <w:sz w:val="20"/>
                <w:szCs w:val="20"/>
                <w:color w:val="auto"/>
              </w:rPr>
            </w:pPr>
            <w:r>
              <w:rPr>
                <w:rFonts w:ascii="Arial" w:cs="Arial" w:eastAsia="Arial" w:hAnsi="Arial"/>
                <w:sz w:val="14"/>
                <w:szCs w:val="14"/>
                <w:b w:val="1"/>
                <w:bCs w:val="1"/>
                <w:color w:val="002856"/>
              </w:rPr>
              <w:t>Under Equity Incentive</w:t>
            </w:r>
          </w:p>
        </w:tc>
        <w:tc>
          <w:tcPr>
            <w:tcW w:w="1120" w:type="dxa"/>
            <w:vAlign w:val="bottom"/>
          </w:tcPr>
          <w:p>
            <w:pPr>
              <w:jc w:val="center"/>
              <w:ind w:left="2"/>
              <w:spacing w:after="0" w:line="157" w:lineRule="exact"/>
              <w:rPr>
                <w:sz w:val="20"/>
                <w:szCs w:val="20"/>
                <w:color w:val="auto"/>
              </w:rPr>
            </w:pPr>
            <w:r>
              <w:rPr>
                <w:rFonts w:ascii="Arial" w:cs="Arial" w:eastAsia="Arial" w:hAnsi="Arial"/>
                <w:sz w:val="14"/>
                <w:szCs w:val="14"/>
                <w:b w:val="1"/>
                <w:bCs w:val="1"/>
                <w:color w:val="002856"/>
              </w:rPr>
              <w:t>Grant Date</w:t>
            </w:r>
          </w:p>
        </w:tc>
      </w:tr>
      <w:tr>
        <w:trPr>
          <w:trHeight w:val="174"/>
        </w:trPr>
        <w:tc>
          <w:tcPr>
            <w:tcW w:w="2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0" w:type="dxa"/>
            <w:vAlign w:val="bottom"/>
            <w:tcBorders>
              <w:bottom w:val="single" w:sz="8" w:color="C6093B"/>
            </w:tcBorders>
          </w:tcPr>
          <w:p>
            <w:pPr>
              <w:spacing w:after="0"/>
              <w:rPr>
                <w:sz w:val="15"/>
                <w:szCs w:val="15"/>
                <w:color w:val="auto"/>
              </w:rPr>
            </w:pPr>
          </w:p>
        </w:tc>
        <w:tc>
          <w:tcPr>
            <w:tcW w:w="1160" w:type="dxa"/>
            <w:vAlign w:val="bottom"/>
            <w:tcBorders>
              <w:bottom w:val="single" w:sz="8" w:color="C6093B"/>
            </w:tcBorders>
          </w:tcPr>
          <w:p>
            <w:pPr>
              <w:jc w:val="center"/>
              <w:spacing w:after="0" w:line="174" w:lineRule="exact"/>
              <w:rPr>
                <w:sz w:val="20"/>
                <w:szCs w:val="20"/>
                <w:color w:val="auto"/>
              </w:rPr>
            </w:pPr>
            <w:r>
              <w:rPr>
                <w:rFonts w:ascii="Arial" w:cs="Arial" w:eastAsia="Arial" w:hAnsi="Arial"/>
                <w:sz w:val="14"/>
                <w:szCs w:val="14"/>
                <w:b w:val="1"/>
                <w:bCs w:val="1"/>
                <w:color w:val="002856"/>
                <w:w w:val="97"/>
              </w:rPr>
              <w:t>Plan Awards</w:t>
            </w:r>
            <w:r>
              <w:rPr>
                <w:rFonts w:ascii="Arial" w:cs="Arial" w:eastAsia="Arial" w:hAnsi="Arial"/>
                <w:sz w:val="20"/>
                <w:szCs w:val="20"/>
                <w:b w:val="1"/>
                <w:bCs w:val="1"/>
                <w:color w:val="002856"/>
                <w:w w:val="97"/>
                <w:vertAlign w:val="superscript"/>
              </w:rPr>
              <w:t>(1)</w:t>
            </w:r>
          </w:p>
        </w:tc>
        <w:tc>
          <w:tcPr>
            <w:tcW w:w="800" w:type="dxa"/>
            <w:vAlign w:val="bottom"/>
            <w:tcBorders>
              <w:bottom w:val="single" w:sz="8" w:color="C6093B"/>
            </w:tcBorders>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bottom w:val="single" w:sz="8" w:color="C6093B"/>
            </w:tcBorders>
          </w:tcPr>
          <w:p>
            <w:pPr>
              <w:spacing w:after="0"/>
              <w:rPr>
                <w:sz w:val="15"/>
                <w:szCs w:val="15"/>
                <w:color w:val="auto"/>
              </w:rPr>
            </w:pPr>
          </w:p>
        </w:tc>
        <w:tc>
          <w:tcPr>
            <w:tcW w:w="1020" w:type="dxa"/>
            <w:vAlign w:val="bottom"/>
            <w:tcBorders>
              <w:bottom w:val="single" w:sz="8" w:color="C6093B"/>
            </w:tcBorders>
          </w:tcPr>
          <w:p>
            <w:pPr>
              <w:jc w:val="center"/>
              <w:spacing w:after="0" w:line="174" w:lineRule="exact"/>
              <w:rPr>
                <w:sz w:val="20"/>
                <w:szCs w:val="20"/>
                <w:color w:val="auto"/>
              </w:rPr>
            </w:pPr>
            <w:r>
              <w:rPr>
                <w:rFonts w:ascii="Arial" w:cs="Arial" w:eastAsia="Arial" w:hAnsi="Arial"/>
                <w:sz w:val="14"/>
                <w:szCs w:val="14"/>
                <w:b w:val="1"/>
                <w:bCs w:val="1"/>
                <w:color w:val="002856"/>
                <w:w w:val="97"/>
              </w:rPr>
              <w:t>Plan Awards</w:t>
            </w:r>
            <w:r>
              <w:rPr>
                <w:rFonts w:ascii="Arial" w:cs="Arial" w:eastAsia="Arial" w:hAnsi="Arial"/>
                <w:sz w:val="20"/>
                <w:szCs w:val="20"/>
                <w:b w:val="1"/>
                <w:bCs w:val="1"/>
                <w:color w:val="002856"/>
                <w:w w:val="97"/>
                <w:vertAlign w:val="superscript"/>
              </w:rPr>
              <w:t>(2)</w:t>
            </w:r>
          </w:p>
        </w:tc>
        <w:tc>
          <w:tcPr>
            <w:tcW w:w="700" w:type="dxa"/>
            <w:vAlign w:val="bottom"/>
            <w:tcBorders>
              <w:bottom w:val="single" w:sz="8" w:color="C6093B"/>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2"/>
              <w:spacing w:after="0"/>
              <w:rPr>
                <w:sz w:val="20"/>
                <w:szCs w:val="20"/>
                <w:color w:val="auto"/>
              </w:rPr>
            </w:pPr>
            <w:r>
              <w:rPr>
                <w:rFonts w:ascii="Arial" w:cs="Arial" w:eastAsia="Arial" w:hAnsi="Arial"/>
                <w:sz w:val="14"/>
                <w:szCs w:val="14"/>
                <w:b w:val="1"/>
                <w:bCs w:val="1"/>
                <w:color w:val="002856"/>
                <w:w w:val="99"/>
              </w:rPr>
              <w:t>Fair Value of</w:t>
            </w:r>
          </w:p>
        </w:tc>
      </w:tr>
      <w:tr>
        <w:trPr>
          <w:trHeight w:val="141"/>
        </w:trPr>
        <w:tc>
          <w:tcPr>
            <w:tcW w:w="2400" w:type="dxa"/>
            <w:vAlign w:val="bottom"/>
          </w:tcPr>
          <w:p>
            <w:pPr>
              <w:spacing w:after="0"/>
              <w:rPr>
                <w:sz w:val="12"/>
                <w:szCs w:val="12"/>
                <w:color w:val="auto"/>
              </w:rPr>
            </w:pPr>
          </w:p>
        </w:tc>
        <w:tc>
          <w:tcPr>
            <w:tcW w:w="1840" w:type="dxa"/>
            <w:vAlign w:val="bottom"/>
          </w:tcPr>
          <w:p>
            <w:pPr>
              <w:jc w:val="right"/>
              <w:ind w:right="281"/>
              <w:spacing w:after="0" w:line="141" w:lineRule="exact"/>
              <w:rPr>
                <w:sz w:val="20"/>
                <w:szCs w:val="20"/>
                <w:color w:val="auto"/>
              </w:rPr>
            </w:pPr>
            <w:r>
              <w:rPr>
                <w:rFonts w:ascii="Arial" w:cs="Arial" w:eastAsia="Arial" w:hAnsi="Arial"/>
                <w:sz w:val="14"/>
                <w:szCs w:val="14"/>
                <w:b w:val="1"/>
                <w:bCs w:val="1"/>
                <w:color w:val="002856"/>
              </w:rPr>
              <w:t>Grant</w:t>
            </w:r>
          </w:p>
        </w:tc>
        <w:tc>
          <w:tcPr>
            <w:tcW w:w="800" w:type="dxa"/>
            <w:vAlign w:val="bottom"/>
          </w:tcPr>
          <w:p>
            <w:pPr>
              <w:jc w:val="right"/>
              <w:ind w:right="24"/>
              <w:spacing w:after="0" w:line="141" w:lineRule="exact"/>
              <w:rPr>
                <w:sz w:val="20"/>
                <w:szCs w:val="20"/>
                <w:color w:val="auto"/>
              </w:rPr>
            </w:pPr>
            <w:r>
              <w:rPr>
                <w:rFonts w:ascii="Arial" w:cs="Arial" w:eastAsia="Arial" w:hAnsi="Arial"/>
                <w:sz w:val="14"/>
                <w:szCs w:val="14"/>
                <w:b w:val="1"/>
                <w:bCs w:val="1"/>
                <w:color w:val="002856"/>
              </w:rPr>
              <w:t>Threshold</w:t>
            </w:r>
          </w:p>
        </w:tc>
        <w:tc>
          <w:tcPr>
            <w:tcW w:w="1160" w:type="dxa"/>
            <w:vAlign w:val="bottom"/>
          </w:tcPr>
          <w:p>
            <w:pPr>
              <w:jc w:val="right"/>
              <w:ind w:right="323"/>
              <w:spacing w:after="0" w:line="141" w:lineRule="exact"/>
              <w:rPr>
                <w:sz w:val="20"/>
                <w:szCs w:val="20"/>
                <w:color w:val="auto"/>
              </w:rPr>
            </w:pPr>
            <w:r>
              <w:rPr>
                <w:rFonts w:ascii="Arial" w:cs="Arial" w:eastAsia="Arial" w:hAnsi="Arial"/>
                <w:sz w:val="14"/>
                <w:szCs w:val="14"/>
                <w:b w:val="1"/>
                <w:bCs w:val="1"/>
                <w:color w:val="002856"/>
              </w:rPr>
              <w:t>Target</w:t>
            </w:r>
          </w:p>
        </w:tc>
        <w:tc>
          <w:tcPr>
            <w:tcW w:w="800" w:type="dxa"/>
            <w:vAlign w:val="bottom"/>
          </w:tcPr>
          <w:p>
            <w:pPr>
              <w:ind w:left="80"/>
              <w:spacing w:after="0" w:line="141" w:lineRule="exact"/>
              <w:rPr>
                <w:sz w:val="20"/>
                <w:szCs w:val="20"/>
                <w:color w:val="auto"/>
              </w:rPr>
            </w:pPr>
            <w:r>
              <w:rPr>
                <w:rFonts w:ascii="Arial" w:cs="Arial" w:eastAsia="Arial" w:hAnsi="Arial"/>
                <w:sz w:val="14"/>
                <w:szCs w:val="14"/>
                <w:b w:val="1"/>
                <w:bCs w:val="1"/>
                <w:color w:val="002856"/>
              </w:rPr>
              <w:t>Maximum</w:t>
            </w:r>
          </w:p>
        </w:tc>
        <w:tc>
          <w:tcPr>
            <w:tcW w:w="26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b w:val="1"/>
                <w:bCs w:val="1"/>
                <w:color w:val="002856"/>
                <w:w w:val="97"/>
              </w:rPr>
              <w:t>Threshold</w:t>
            </w:r>
          </w:p>
        </w:tc>
        <w:tc>
          <w:tcPr>
            <w:tcW w:w="1020" w:type="dxa"/>
            <w:vAlign w:val="bottom"/>
          </w:tcPr>
          <w:p>
            <w:pPr>
              <w:jc w:val="center"/>
              <w:spacing w:after="0" w:line="141" w:lineRule="exact"/>
              <w:rPr>
                <w:sz w:val="20"/>
                <w:szCs w:val="20"/>
                <w:color w:val="auto"/>
              </w:rPr>
            </w:pPr>
            <w:r>
              <w:rPr>
                <w:rFonts w:ascii="Arial" w:cs="Arial" w:eastAsia="Arial" w:hAnsi="Arial"/>
                <w:sz w:val="14"/>
                <w:szCs w:val="14"/>
                <w:b w:val="1"/>
                <w:bCs w:val="1"/>
                <w:color w:val="002856"/>
              </w:rPr>
              <w:t>Target</w:t>
            </w:r>
          </w:p>
        </w:tc>
        <w:tc>
          <w:tcPr>
            <w:tcW w:w="82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002856"/>
              </w:rPr>
              <w:t>Maximum</w:t>
            </w:r>
          </w:p>
        </w:tc>
        <w:tc>
          <w:tcPr>
            <w:tcW w:w="1120" w:type="dxa"/>
            <w:vAlign w:val="bottom"/>
          </w:tcPr>
          <w:p>
            <w:pPr>
              <w:jc w:val="center"/>
              <w:ind w:left="2"/>
              <w:spacing w:after="0" w:line="141" w:lineRule="exact"/>
              <w:rPr>
                <w:sz w:val="20"/>
                <w:szCs w:val="20"/>
                <w:color w:val="auto"/>
              </w:rPr>
            </w:pPr>
            <w:r>
              <w:rPr>
                <w:rFonts w:ascii="Arial" w:cs="Arial" w:eastAsia="Arial" w:hAnsi="Arial"/>
                <w:sz w:val="14"/>
                <w:szCs w:val="14"/>
                <w:b w:val="1"/>
                <w:bCs w:val="1"/>
                <w:color w:val="002856"/>
                <w:w w:val="99"/>
              </w:rPr>
              <w:t>Stock Awards</w:t>
            </w:r>
          </w:p>
        </w:tc>
      </w:tr>
      <w:tr>
        <w:trPr>
          <w:trHeight w:val="194"/>
        </w:trPr>
        <w:tc>
          <w:tcPr>
            <w:tcW w:w="24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1840" w:type="dxa"/>
            <w:vAlign w:val="bottom"/>
            <w:tcBorders>
              <w:bottom w:val="single" w:sz="8" w:color="C6093B"/>
            </w:tcBorders>
          </w:tcPr>
          <w:p>
            <w:pPr>
              <w:jc w:val="right"/>
              <w:ind w:right="321"/>
              <w:spacing w:after="0"/>
              <w:rPr>
                <w:sz w:val="20"/>
                <w:szCs w:val="20"/>
                <w:color w:val="auto"/>
              </w:rPr>
            </w:pPr>
            <w:r>
              <w:rPr>
                <w:rFonts w:ascii="Arial" w:cs="Arial" w:eastAsia="Arial" w:hAnsi="Arial"/>
                <w:sz w:val="14"/>
                <w:szCs w:val="14"/>
                <w:b w:val="1"/>
                <w:bCs w:val="1"/>
                <w:color w:val="002856"/>
              </w:rPr>
              <w:t>Date</w:t>
            </w:r>
          </w:p>
        </w:tc>
        <w:tc>
          <w:tcPr>
            <w:tcW w:w="800" w:type="dxa"/>
            <w:vAlign w:val="bottom"/>
            <w:tcBorders>
              <w:bottom w:val="single" w:sz="8" w:color="C6093B"/>
            </w:tcBorders>
          </w:tcPr>
          <w:p>
            <w:pPr>
              <w:jc w:val="right"/>
              <w:ind w:right="224"/>
              <w:spacing w:after="0" w:line="18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1"/>
                <w:szCs w:val="21"/>
                <w:b w:val="1"/>
                <w:bCs w:val="1"/>
                <w:color w:val="002856"/>
                <w:vertAlign w:val="superscript"/>
              </w:rPr>
              <w:t>(3)</w:t>
            </w:r>
          </w:p>
        </w:tc>
        <w:tc>
          <w:tcPr>
            <w:tcW w:w="1160" w:type="dxa"/>
            <w:vAlign w:val="bottom"/>
            <w:tcBorders>
              <w:bottom w:val="single" w:sz="8" w:color="C6093B"/>
            </w:tcBorders>
          </w:tcPr>
          <w:p>
            <w:pPr>
              <w:jc w:val="right"/>
              <w:ind w:right="443"/>
              <w:spacing w:after="0"/>
              <w:rPr>
                <w:sz w:val="20"/>
                <w:szCs w:val="20"/>
                <w:color w:val="auto"/>
              </w:rPr>
            </w:pPr>
            <w:r>
              <w:rPr>
                <w:rFonts w:ascii="Arial" w:cs="Arial" w:eastAsia="Arial" w:hAnsi="Arial"/>
                <w:sz w:val="14"/>
                <w:szCs w:val="14"/>
                <w:b w:val="1"/>
                <w:bCs w:val="1"/>
                <w:color w:val="002856"/>
              </w:rPr>
              <w:t>($)</w:t>
            </w:r>
          </w:p>
        </w:tc>
        <w:tc>
          <w:tcPr>
            <w:tcW w:w="800" w:type="dxa"/>
            <w:vAlign w:val="bottom"/>
            <w:tcBorders>
              <w:bottom w:val="single" w:sz="8" w:color="C6093B"/>
            </w:tcBorders>
          </w:tcPr>
          <w:p>
            <w:pPr>
              <w:ind w:left="260"/>
              <w:spacing w:after="0" w:line="187"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1"/>
                <w:szCs w:val="21"/>
                <w:b w:val="1"/>
                <w:bCs w:val="1"/>
                <w:color w:val="002856"/>
                <w:vertAlign w:val="superscript"/>
              </w:rPr>
              <w:t>(4)</w:t>
            </w:r>
          </w:p>
        </w:tc>
        <w:tc>
          <w:tcPr>
            <w:tcW w:w="260" w:type="dxa"/>
            <w:vAlign w:val="bottom"/>
            <w:tcBorders>
              <w:bottom w:val="single" w:sz="8" w:color="C6093B"/>
            </w:tcBorders>
          </w:tcPr>
          <w:p>
            <w:pPr>
              <w:spacing w:after="0"/>
              <w:rPr>
                <w:sz w:val="16"/>
                <w:szCs w:val="16"/>
                <w:color w:val="auto"/>
              </w:rPr>
            </w:pPr>
          </w:p>
        </w:tc>
        <w:tc>
          <w:tcPr>
            <w:tcW w:w="700" w:type="dxa"/>
            <w:vAlign w:val="bottom"/>
            <w:tcBorders>
              <w:bottom w:val="single" w:sz="8" w:color="C6093B"/>
            </w:tcBorders>
          </w:tcPr>
          <w:p>
            <w:pPr>
              <w:jc w:val="right"/>
              <w:ind w:right="182"/>
              <w:spacing w:after="0"/>
              <w:rPr>
                <w:sz w:val="20"/>
                <w:szCs w:val="20"/>
                <w:color w:val="auto"/>
              </w:rPr>
            </w:pPr>
            <w:r>
              <w:rPr>
                <w:rFonts w:ascii="Arial" w:cs="Arial" w:eastAsia="Arial" w:hAnsi="Arial"/>
                <w:sz w:val="14"/>
                <w:szCs w:val="14"/>
                <w:b w:val="1"/>
                <w:bCs w:val="1"/>
                <w:color w:val="002856"/>
              </w:rPr>
              <w:t>(#)</w:t>
            </w:r>
          </w:p>
        </w:tc>
        <w:tc>
          <w:tcPr>
            <w:tcW w:w="10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w:t>
            </w:r>
          </w:p>
        </w:tc>
        <w:tc>
          <w:tcPr>
            <w:tcW w:w="700" w:type="dxa"/>
            <w:vAlign w:val="bottom"/>
            <w:tcBorders>
              <w:bottom w:val="single" w:sz="8" w:color="C6093B"/>
            </w:tcBorders>
          </w:tcPr>
          <w:p>
            <w:pPr>
              <w:jc w:val="right"/>
              <w:ind w:right="181"/>
              <w:spacing w:after="0"/>
              <w:rPr>
                <w:sz w:val="20"/>
                <w:szCs w:val="20"/>
                <w:color w:val="auto"/>
              </w:rPr>
            </w:pPr>
            <w:r>
              <w:rPr>
                <w:rFonts w:ascii="Arial" w:cs="Arial" w:eastAsia="Arial" w:hAnsi="Arial"/>
                <w:sz w:val="14"/>
                <w:szCs w:val="14"/>
                <w:b w:val="1"/>
                <w:bCs w:val="1"/>
                <w:color w:val="002856"/>
              </w:rPr>
              <w:t>(#)</w:t>
            </w:r>
          </w:p>
        </w:tc>
        <w:tc>
          <w:tcPr>
            <w:tcW w:w="120" w:type="dxa"/>
            <w:vAlign w:val="bottom"/>
            <w:tcBorders>
              <w:bottom w:val="single" w:sz="8" w:color="C6093B"/>
            </w:tcBorders>
          </w:tcPr>
          <w:p>
            <w:pPr>
              <w:spacing w:after="0"/>
              <w:rPr>
                <w:sz w:val="16"/>
                <w:szCs w:val="16"/>
                <w:color w:val="auto"/>
              </w:rPr>
            </w:pPr>
          </w:p>
        </w:tc>
        <w:tc>
          <w:tcPr>
            <w:tcW w:w="1120" w:type="dxa"/>
            <w:vAlign w:val="bottom"/>
            <w:tcBorders>
              <w:bottom w:val="single" w:sz="8" w:color="C6093B"/>
            </w:tcBorders>
          </w:tcPr>
          <w:p>
            <w:pPr>
              <w:jc w:val="center"/>
              <w:ind w:left="2"/>
              <w:spacing w:after="0" w:line="187" w:lineRule="exact"/>
              <w:rPr>
                <w:sz w:val="20"/>
                <w:szCs w:val="20"/>
                <w:color w:val="auto"/>
              </w:rPr>
            </w:pPr>
            <w:r>
              <w:rPr>
                <w:rFonts w:ascii="Arial" w:cs="Arial" w:eastAsia="Arial" w:hAnsi="Arial"/>
                <w:sz w:val="14"/>
                <w:szCs w:val="14"/>
                <w:b w:val="1"/>
                <w:bCs w:val="1"/>
                <w:color w:val="002856"/>
                <w:w w:val="93"/>
              </w:rPr>
              <w:t>($)</w:t>
            </w:r>
            <w:r>
              <w:rPr>
                <w:rFonts w:ascii="Arial" w:cs="Arial" w:eastAsia="Arial" w:hAnsi="Arial"/>
                <w:sz w:val="21"/>
                <w:szCs w:val="21"/>
                <w:b w:val="1"/>
                <w:bCs w:val="1"/>
                <w:color w:val="002856"/>
                <w:w w:val="93"/>
                <w:vertAlign w:val="superscript"/>
              </w:rPr>
              <w:t>(5)</w:t>
            </w:r>
          </w:p>
        </w:tc>
      </w:tr>
      <w:tr>
        <w:trPr>
          <w:trHeight w:val="261"/>
        </w:trPr>
        <w:tc>
          <w:tcPr>
            <w:tcW w:w="2400" w:type="dxa"/>
            <w:vAlign w:val="bottom"/>
          </w:tcPr>
          <w:p>
            <w:pPr>
              <w:ind w:left="80"/>
              <w:spacing w:after="0"/>
              <w:rPr>
                <w:sz w:val="20"/>
                <w:szCs w:val="20"/>
                <w:color w:val="auto"/>
              </w:rPr>
            </w:pPr>
            <w:r>
              <w:rPr>
                <w:rFonts w:ascii="Arial" w:cs="Arial" w:eastAsia="Arial" w:hAnsi="Arial"/>
                <w:sz w:val="16"/>
                <w:szCs w:val="16"/>
                <w:b w:val="1"/>
                <w:bCs w:val="1"/>
                <w:color w:val="1D4F90"/>
              </w:rPr>
              <w:t>J. Powell Brown</w:t>
            </w: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3,000,000</w:t>
            </w: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6,000,000</w:t>
            </w: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4"/>
        </w:trPr>
        <w:tc>
          <w:tcPr>
            <w:tcW w:w="2400" w:type="dxa"/>
            <w:vAlign w:val="bottom"/>
          </w:tcPr>
          <w:p>
            <w:pPr>
              <w:spacing w:after="0"/>
              <w:rPr>
                <w:sz w:val="21"/>
                <w:szCs w:val="21"/>
                <w:color w:val="auto"/>
              </w:rPr>
            </w:pP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39,015</w:t>
            </w:r>
          </w:p>
        </w:tc>
        <w:tc>
          <w:tcPr>
            <w:tcW w:w="700" w:type="dxa"/>
            <w:vAlign w:val="bottom"/>
          </w:tcPr>
          <w:p>
            <w:pPr>
              <w:jc w:val="right"/>
              <w:spacing w:after="0"/>
              <w:rPr>
                <w:sz w:val="20"/>
                <w:szCs w:val="20"/>
                <w:color w:val="auto"/>
              </w:rPr>
            </w:pPr>
            <w:r>
              <w:rPr>
                <w:rFonts w:ascii="Arial" w:cs="Arial" w:eastAsia="Arial" w:hAnsi="Arial"/>
                <w:sz w:val="16"/>
                <w:szCs w:val="16"/>
                <w:color w:val="auto"/>
              </w:rPr>
              <w:t>78,030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2,191,863</w:t>
            </w:r>
          </w:p>
        </w:tc>
      </w:tr>
      <w:tr>
        <w:trPr>
          <w:trHeight w:val="244"/>
        </w:trPr>
        <w:tc>
          <w:tcPr>
            <w:tcW w:w="2400" w:type="dxa"/>
            <w:vAlign w:val="bottom"/>
            <w:tcBorders>
              <w:bottom w:val="single" w:sz="8" w:color="4C4C4C"/>
            </w:tcBorders>
          </w:tcPr>
          <w:p>
            <w:pPr>
              <w:spacing w:after="0"/>
              <w:rPr>
                <w:sz w:val="21"/>
                <w:szCs w:val="21"/>
                <w:color w:val="auto"/>
              </w:rPr>
            </w:pPr>
          </w:p>
        </w:tc>
        <w:tc>
          <w:tcPr>
            <w:tcW w:w="184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Borders>
              <w:bottom w:val="single" w:sz="8" w:color="4C4C4C"/>
            </w:tcBorders>
          </w:tcPr>
          <w:p>
            <w:pPr>
              <w:spacing w:after="0"/>
              <w:rPr>
                <w:sz w:val="21"/>
                <w:szCs w:val="21"/>
                <w:color w:val="auto"/>
              </w:rPr>
            </w:pPr>
          </w:p>
        </w:tc>
        <w:tc>
          <w:tcPr>
            <w:tcW w:w="116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spacing w:after="0"/>
              <w:rPr>
                <w:sz w:val="21"/>
                <w:szCs w:val="21"/>
                <w:color w:val="auto"/>
              </w:rPr>
            </w:pPr>
          </w:p>
        </w:tc>
        <w:tc>
          <w:tcPr>
            <w:tcW w:w="260" w:type="dxa"/>
            <w:vAlign w:val="bottom"/>
            <w:tcBorders>
              <w:bottom w:val="single" w:sz="8" w:color="4C4C4C"/>
            </w:tcBorders>
          </w:tcPr>
          <w:p>
            <w:pPr>
              <w:spacing w:after="0"/>
              <w:rPr>
                <w:sz w:val="21"/>
                <w:szCs w:val="21"/>
                <w:color w:val="auto"/>
              </w:rPr>
            </w:pPr>
          </w:p>
        </w:tc>
        <w:tc>
          <w:tcPr>
            <w:tcW w:w="7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42"/>
              <w:spacing w:after="0"/>
              <w:rPr>
                <w:sz w:val="20"/>
                <w:szCs w:val="20"/>
                <w:color w:val="auto"/>
              </w:rPr>
            </w:pPr>
            <w:r>
              <w:rPr>
                <w:rFonts w:ascii="Arial" w:cs="Arial" w:eastAsia="Arial" w:hAnsi="Arial"/>
                <w:sz w:val="16"/>
                <w:szCs w:val="16"/>
                <w:color w:val="auto"/>
              </w:rPr>
              <w:t>13,005</w:t>
            </w:r>
          </w:p>
        </w:tc>
        <w:tc>
          <w:tcPr>
            <w:tcW w:w="7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13,005</w:t>
            </w:r>
          </w:p>
        </w:tc>
        <w:tc>
          <w:tcPr>
            <w:tcW w:w="120" w:type="dxa"/>
            <w:vAlign w:val="bottom"/>
            <w:tcBorders>
              <w:bottom w:val="single" w:sz="8" w:color="4C4C4C"/>
            </w:tcBorders>
          </w:tcPr>
          <w:p>
            <w:pPr>
              <w:spacing w:after="0"/>
              <w:rPr>
                <w:sz w:val="21"/>
                <w:szCs w:val="21"/>
                <w:color w:val="auto"/>
              </w:rPr>
            </w:pPr>
          </w:p>
        </w:tc>
        <w:tc>
          <w:tcPr>
            <w:tcW w:w="11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749,998</w:t>
            </w:r>
          </w:p>
        </w:tc>
      </w:tr>
      <w:tr>
        <w:trPr>
          <w:trHeight w:val="254"/>
        </w:trPr>
        <w:tc>
          <w:tcPr>
            <w:tcW w:w="2400" w:type="dxa"/>
            <w:vAlign w:val="bottom"/>
          </w:tcPr>
          <w:p>
            <w:pPr>
              <w:ind w:left="80"/>
              <w:spacing w:after="0"/>
              <w:rPr>
                <w:sz w:val="20"/>
                <w:szCs w:val="20"/>
                <w:color w:val="auto"/>
              </w:rPr>
            </w:pPr>
            <w:r>
              <w:rPr>
                <w:rFonts w:ascii="Arial" w:cs="Arial" w:eastAsia="Arial" w:hAnsi="Arial"/>
                <w:sz w:val="16"/>
                <w:szCs w:val="16"/>
                <w:b w:val="1"/>
                <w:bCs w:val="1"/>
                <w:color w:val="1D4F90"/>
              </w:rPr>
              <w:t>R. Andrew Watts</w:t>
            </w: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850,000</w:t>
            </w: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1,700,000</w:t>
            </w: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4"/>
        </w:trPr>
        <w:tc>
          <w:tcPr>
            <w:tcW w:w="2400" w:type="dxa"/>
            <w:vAlign w:val="bottom"/>
          </w:tcPr>
          <w:p>
            <w:pPr>
              <w:spacing w:after="0"/>
              <w:rPr>
                <w:sz w:val="21"/>
                <w:szCs w:val="21"/>
                <w:color w:val="auto"/>
              </w:rPr>
            </w:pP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13,005</w:t>
            </w:r>
          </w:p>
        </w:tc>
        <w:tc>
          <w:tcPr>
            <w:tcW w:w="700" w:type="dxa"/>
            <w:vAlign w:val="bottom"/>
          </w:tcPr>
          <w:p>
            <w:pPr>
              <w:jc w:val="right"/>
              <w:spacing w:after="0"/>
              <w:rPr>
                <w:sz w:val="20"/>
                <w:szCs w:val="20"/>
                <w:color w:val="auto"/>
              </w:rPr>
            </w:pPr>
            <w:r>
              <w:rPr>
                <w:rFonts w:ascii="Arial" w:cs="Arial" w:eastAsia="Arial" w:hAnsi="Arial"/>
                <w:sz w:val="16"/>
                <w:szCs w:val="16"/>
                <w:color w:val="auto"/>
              </w:rPr>
              <w:t>26,010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730,621</w:t>
            </w:r>
          </w:p>
        </w:tc>
      </w:tr>
      <w:tr>
        <w:trPr>
          <w:trHeight w:val="244"/>
        </w:trPr>
        <w:tc>
          <w:tcPr>
            <w:tcW w:w="2400" w:type="dxa"/>
            <w:vAlign w:val="bottom"/>
            <w:tcBorders>
              <w:bottom w:val="single" w:sz="8" w:color="4C4C4C"/>
            </w:tcBorders>
          </w:tcPr>
          <w:p>
            <w:pPr>
              <w:spacing w:after="0"/>
              <w:rPr>
                <w:sz w:val="21"/>
                <w:szCs w:val="21"/>
                <w:color w:val="auto"/>
              </w:rPr>
            </w:pPr>
          </w:p>
        </w:tc>
        <w:tc>
          <w:tcPr>
            <w:tcW w:w="184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Borders>
              <w:bottom w:val="single" w:sz="8" w:color="4C4C4C"/>
            </w:tcBorders>
          </w:tcPr>
          <w:p>
            <w:pPr>
              <w:spacing w:after="0"/>
              <w:rPr>
                <w:sz w:val="21"/>
                <w:szCs w:val="21"/>
                <w:color w:val="auto"/>
              </w:rPr>
            </w:pPr>
          </w:p>
        </w:tc>
        <w:tc>
          <w:tcPr>
            <w:tcW w:w="116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spacing w:after="0"/>
              <w:rPr>
                <w:sz w:val="21"/>
                <w:szCs w:val="21"/>
                <w:color w:val="auto"/>
              </w:rPr>
            </w:pPr>
          </w:p>
        </w:tc>
        <w:tc>
          <w:tcPr>
            <w:tcW w:w="260" w:type="dxa"/>
            <w:vAlign w:val="bottom"/>
            <w:tcBorders>
              <w:bottom w:val="single" w:sz="8" w:color="4C4C4C"/>
            </w:tcBorders>
          </w:tcPr>
          <w:p>
            <w:pPr>
              <w:spacing w:after="0"/>
              <w:rPr>
                <w:sz w:val="21"/>
                <w:szCs w:val="21"/>
                <w:color w:val="auto"/>
              </w:rPr>
            </w:pPr>
          </w:p>
        </w:tc>
        <w:tc>
          <w:tcPr>
            <w:tcW w:w="7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42"/>
              <w:spacing w:after="0"/>
              <w:rPr>
                <w:sz w:val="20"/>
                <w:szCs w:val="20"/>
                <w:color w:val="auto"/>
              </w:rPr>
            </w:pPr>
            <w:r>
              <w:rPr>
                <w:rFonts w:ascii="Arial" w:cs="Arial" w:eastAsia="Arial" w:hAnsi="Arial"/>
                <w:sz w:val="16"/>
                <w:szCs w:val="16"/>
                <w:color w:val="auto"/>
              </w:rPr>
              <w:t>4,335</w:t>
            </w:r>
          </w:p>
        </w:tc>
        <w:tc>
          <w:tcPr>
            <w:tcW w:w="8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6"/>
                <w:szCs w:val="16"/>
                <w:color w:val="auto"/>
              </w:rPr>
              <w:t>4,335</w:t>
            </w:r>
          </w:p>
        </w:tc>
        <w:tc>
          <w:tcPr>
            <w:tcW w:w="11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249,999</w:t>
            </w:r>
          </w:p>
        </w:tc>
      </w:tr>
      <w:tr>
        <w:trPr>
          <w:trHeight w:val="254"/>
        </w:trPr>
        <w:tc>
          <w:tcPr>
            <w:tcW w:w="2400" w:type="dxa"/>
            <w:vAlign w:val="bottom"/>
          </w:tcPr>
          <w:p>
            <w:pPr>
              <w:ind w:left="80"/>
              <w:spacing w:after="0"/>
              <w:rPr>
                <w:sz w:val="20"/>
                <w:szCs w:val="20"/>
                <w:color w:val="auto"/>
              </w:rPr>
            </w:pPr>
            <w:r>
              <w:rPr>
                <w:rFonts w:ascii="Arial" w:cs="Arial" w:eastAsia="Arial" w:hAnsi="Arial"/>
                <w:sz w:val="16"/>
                <w:szCs w:val="16"/>
                <w:b w:val="1"/>
                <w:bCs w:val="1"/>
                <w:color w:val="1D4F90"/>
              </w:rPr>
              <w:t>P. Barrett Brown</w:t>
            </w: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1,400,000</w:t>
            </w: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2,800,000</w:t>
            </w: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4"/>
        </w:trPr>
        <w:tc>
          <w:tcPr>
            <w:tcW w:w="2400" w:type="dxa"/>
            <w:vAlign w:val="bottom"/>
          </w:tcPr>
          <w:p>
            <w:pPr>
              <w:spacing w:after="0"/>
              <w:rPr>
                <w:sz w:val="21"/>
                <w:szCs w:val="21"/>
                <w:color w:val="auto"/>
              </w:rPr>
            </w:pP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6,502</w:t>
            </w:r>
          </w:p>
        </w:tc>
        <w:tc>
          <w:tcPr>
            <w:tcW w:w="700" w:type="dxa"/>
            <w:vAlign w:val="bottom"/>
          </w:tcPr>
          <w:p>
            <w:pPr>
              <w:jc w:val="right"/>
              <w:spacing w:after="0"/>
              <w:rPr>
                <w:sz w:val="20"/>
                <w:szCs w:val="20"/>
                <w:color w:val="auto"/>
              </w:rPr>
            </w:pPr>
            <w:r>
              <w:rPr>
                <w:rFonts w:ascii="Arial" w:cs="Arial" w:eastAsia="Arial" w:hAnsi="Arial"/>
                <w:sz w:val="16"/>
                <w:szCs w:val="16"/>
                <w:color w:val="auto"/>
              </w:rPr>
              <w:t>13,004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365,282</w:t>
            </w:r>
          </w:p>
        </w:tc>
      </w:tr>
      <w:tr>
        <w:trPr>
          <w:trHeight w:val="244"/>
        </w:trPr>
        <w:tc>
          <w:tcPr>
            <w:tcW w:w="2400" w:type="dxa"/>
            <w:vAlign w:val="bottom"/>
            <w:tcBorders>
              <w:bottom w:val="single" w:sz="8" w:color="4C4C4C"/>
            </w:tcBorders>
          </w:tcPr>
          <w:p>
            <w:pPr>
              <w:spacing w:after="0"/>
              <w:rPr>
                <w:sz w:val="21"/>
                <w:szCs w:val="21"/>
                <w:color w:val="auto"/>
              </w:rPr>
            </w:pPr>
          </w:p>
        </w:tc>
        <w:tc>
          <w:tcPr>
            <w:tcW w:w="184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Borders>
              <w:bottom w:val="single" w:sz="8" w:color="4C4C4C"/>
            </w:tcBorders>
          </w:tcPr>
          <w:p>
            <w:pPr>
              <w:spacing w:after="0"/>
              <w:rPr>
                <w:sz w:val="21"/>
                <w:szCs w:val="21"/>
                <w:color w:val="auto"/>
              </w:rPr>
            </w:pPr>
          </w:p>
        </w:tc>
        <w:tc>
          <w:tcPr>
            <w:tcW w:w="116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spacing w:after="0"/>
              <w:rPr>
                <w:sz w:val="21"/>
                <w:szCs w:val="21"/>
                <w:color w:val="auto"/>
              </w:rPr>
            </w:pPr>
          </w:p>
        </w:tc>
        <w:tc>
          <w:tcPr>
            <w:tcW w:w="260" w:type="dxa"/>
            <w:vAlign w:val="bottom"/>
            <w:tcBorders>
              <w:bottom w:val="single" w:sz="8" w:color="4C4C4C"/>
            </w:tcBorders>
          </w:tcPr>
          <w:p>
            <w:pPr>
              <w:spacing w:after="0"/>
              <w:rPr>
                <w:sz w:val="21"/>
                <w:szCs w:val="21"/>
                <w:color w:val="auto"/>
              </w:rPr>
            </w:pPr>
          </w:p>
        </w:tc>
        <w:tc>
          <w:tcPr>
            <w:tcW w:w="7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42"/>
              <w:spacing w:after="0"/>
              <w:rPr>
                <w:sz w:val="20"/>
                <w:szCs w:val="20"/>
                <w:color w:val="auto"/>
              </w:rPr>
            </w:pPr>
            <w:r>
              <w:rPr>
                <w:rFonts w:ascii="Arial" w:cs="Arial" w:eastAsia="Arial" w:hAnsi="Arial"/>
                <w:sz w:val="16"/>
                <w:szCs w:val="16"/>
                <w:color w:val="auto"/>
              </w:rPr>
              <w:t>2,167</w:t>
            </w:r>
          </w:p>
        </w:tc>
        <w:tc>
          <w:tcPr>
            <w:tcW w:w="8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124,971</w:t>
            </w:r>
          </w:p>
        </w:tc>
      </w:tr>
      <w:tr>
        <w:trPr>
          <w:trHeight w:val="254"/>
        </w:trPr>
        <w:tc>
          <w:tcPr>
            <w:tcW w:w="2400" w:type="dxa"/>
            <w:vAlign w:val="bottom"/>
          </w:tcPr>
          <w:p>
            <w:pPr>
              <w:ind w:left="80"/>
              <w:spacing w:after="0"/>
              <w:rPr>
                <w:sz w:val="20"/>
                <w:szCs w:val="20"/>
                <w:color w:val="auto"/>
              </w:rPr>
            </w:pPr>
            <w:r>
              <w:rPr>
                <w:rFonts w:ascii="Arial" w:cs="Arial" w:eastAsia="Arial" w:hAnsi="Arial"/>
                <w:sz w:val="16"/>
                <w:szCs w:val="16"/>
                <w:b w:val="1"/>
                <w:bCs w:val="1"/>
                <w:color w:val="1D4F90"/>
              </w:rPr>
              <w:t>J. Scott Penny</w:t>
            </w: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900,000</w:t>
            </w: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1,800,000</w:t>
            </w: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4"/>
        </w:trPr>
        <w:tc>
          <w:tcPr>
            <w:tcW w:w="2400" w:type="dxa"/>
            <w:vAlign w:val="bottom"/>
          </w:tcPr>
          <w:p>
            <w:pPr>
              <w:spacing w:after="0"/>
              <w:rPr>
                <w:sz w:val="21"/>
                <w:szCs w:val="21"/>
                <w:color w:val="auto"/>
              </w:rPr>
            </w:pP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6,502</w:t>
            </w:r>
          </w:p>
        </w:tc>
        <w:tc>
          <w:tcPr>
            <w:tcW w:w="700" w:type="dxa"/>
            <w:vAlign w:val="bottom"/>
          </w:tcPr>
          <w:p>
            <w:pPr>
              <w:jc w:val="right"/>
              <w:spacing w:after="0"/>
              <w:rPr>
                <w:sz w:val="20"/>
                <w:szCs w:val="20"/>
                <w:color w:val="auto"/>
              </w:rPr>
            </w:pPr>
            <w:r>
              <w:rPr>
                <w:rFonts w:ascii="Arial" w:cs="Arial" w:eastAsia="Arial" w:hAnsi="Arial"/>
                <w:sz w:val="16"/>
                <w:szCs w:val="16"/>
                <w:color w:val="auto"/>
              </w:rPr>
              <w:t>13,004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365,282</w:t>
            </w:r>
          </w:p>
        </w:tc>
      </w:tr>
      <w:tr>
        <w:trPr>
          <w:trHeight w:val="244"/>
        </w:trPr>
        <w:tc>
          <w:tcPr>
            <w:tcW w:w="2400" w:type="dxa"/>
            <w:vAlign w:val="bottom"/>
            <w:tcBorders>
              <w:bottom w:val="single" w:sz="8" w:color="4C4C4C"/>
            </w:tcBorders>
          </w:tcPr>
          <w:p>
            <w:pPr>
              <w:spacing w:after="0"/>
              <w:rPr>
                <w:sz w:val="21"/>
                <w:szCs w:val="21"/>
                <w:color w:val="auto"/>
              </w:rPr>
            </w:pPr>
          </w:p>
        </w:tc>
        <w:tc>
          <w:tcPr>
            <w:tcW w:w="1840" w:type="dxa"/>
            <w:vAlign w:val="bottom"/>
            <w:tcBorders>
              <w:bottom w:val="single" w:sz="8" w:color="4C4C4C"/>
            </w:tcBorders>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Borders>
              <w:bottom w:val="single" w:sz="8" w:color="4C4C4C"/>
            </w:tcBorders>
          </w:tcPr>
          <w:p>
            <w:pPr>
              <w:spacing w:after="0"/>
              <w:rPr>
                <w:sz w:val="21"/>
                <w:szCs w:val="21"/>
                <w:color w:val="auto"/>
              </w:rPr>
            </w:pPr>
          </w:p>
        </w:tc>
        <w:tc>
          <w:tcPr>
            <w:tcW w:w="116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spacing w:after="0"/>
              <w:rPr>
                <w:sz w:val="21"/>
                <w:szCs w:val="21"/>
                <w:color w:val="auto"/>
              </w:rPr>
            </w:pPr>
          </w:p>
        </w:tc>
        <w:tc>
          <w:tcPr>
            <w:tcW w:w="260" w:type="dxa"/>
            <w:vAlign w:val="bottom"/>
            <w:tcBorders>
              <w:bottom w:val="single" w:sz="8" w:color="4C4C4C"/>
            </w:tcBorders>
          </w:tcPr>
          <w:p>
            <w:pPr>
              <w:spacing w:after="0"/>
              <w:rPr>
                <w:sz w:val="21"/>
                <w:szCs w:val="21"/>
                <w:color w:val="auto"/>
              </w:rPr>
            </w:pPr>
          </w:p>
        </w:tc>
        <w:tc>
          <w:tcPr>
            <w:tcW w:w="7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ind w:right="142"/>
              <w:spacing w:after="0"/>
              <w:rPr>
                <w:sz w:val="20"/>
                <w:szCs w:val="20"/>
                <w:color w:val="auto"/>
              </w:rPr>
            </w:pPr>
            <w:r>
              <w:rPr>
                <w:rFonts w:ascii="Arial" w:cs="Arial" w:eastAsia="Arial" w:hAnsi="Arial"/>
                <w:sz w:val="16"/>
                <w:szCs w:val="16"/>
                <w:color w:val="auto"/>
              </w:rPr>
              <w:t>2,167</w:t>
            </w:r>
          </w:p>
        </w:tc>
        <w:tc>
          <w:tcPr>
            <w:tcW w:w="8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124,971</w:t>
            </w:r>
          </w:p>
        </w:tc>
      </w:tr>
      <w:tr>
        <w:trPr>
          <w:trHeight w:val="254"/>
        </w:trPr>
        <w:tc>
          <w:tcPr>
            <w:tcW w:w="2400" w:type="dxa"/>
            <w:vAlign w:val="bottom"/>
          </w:tcPr>
          <w:p>
            <w:pPr>
              <w:ind w:left="80"/>
              <w:spacing w:after="0"/>
              <w:rPr>
                <w:sz w:val="20"/>
                <w:szCs w:val="20"/>
                <w:color w:val="auto"/>
              </w:rPr>
            </w:pPr>
            <w:r>
              <w:rPr>
                <w:rFonts w:ascii="Arial" w:cs="Arial" w:eastAsia="Arial" w:hAnsi="Arial"/>
                <w:sz w:val="16"/>
                <w:szCs w:val="16"/>
                <w:b w:val="1"/>
                <w:bCs w:val="1"/>
                <w:color w:val="1D4F90"/>
              </w:rPr>
              <w:t>Chris L. Walker</w:t>
            </w: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43"/>
              <w:spacing w:after="0"/>
              <w:rPr>
                <w:sz w:val="20"/>
                <w:szCs w:val="20"/>
                <w:color w:val="auto"/>
              </w:rPr>
            </w:pPr>
            <w:r>
              <w:rPr>
                <w:rFonts w:ascii="Arial" w:cs="Arial" w:eastAsia="Arial" w:hAnsi="Arial"/>
                <w:sz w:val="16"/>
                <w:szCs w:val="16"/>
                <w:color w:val="auto"/>
              </w:rPr>
              <w:t>1,000,000</w:t>
            </w:r>
          </w:p>
        </w:tc>
        <w:tc>
          <w:tcPr>
            <w:tcW w:w="1060" w:type="dxa"/>
            <w:vAlign w:val="bottom"/>
            <w:gridSpan w:val="2"/>
          </w:tcPr>
          <w:p>
            <w:pPr>
              <w:ind w:left="80"/>
              <w:spacing w:after="0"/>
              <w:rPr>
                <w:sz w:val="20"/>
                <w:szCs w:val="20"/>
                <w:color w:val="auto"/>
              </w:rPr>
            </w:pPr>
            <w:r>
              <w:rPr>
                <w:rFonts w:ascii="Arial" w:cs="Arial" w:eastAsia="Arial" w:hAnsi="Arial"/>
                <w:sz w:val="16"/>
                <w:szCs w:val="16"/>
                <w:color w:val="auto"/>
              </w:rPr>
              <w:t>2,000,000</w:t>
            </w: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4"/>
        </w:trPr>
        <w:tc>
          <w:tcPr>
            <w:tcW w:w="2400" w:type="dxa"/>
            <w:vAlign w:val="bottom"/>
          </w:tcPr>
          <w:p>
            <w:pPr>
              <w:spacing w:after="0"/>
              <w:rPr>
                <w:sz w:val="21"/>
                <w:szCs w:val="21"/>
                <w:color w:val="auto"/>
              </w:rPr>
            </w:pPr>
          </w:p>
        </w:tc>
        <w:tc>
          <w:tcPr>
            <w:tcW w:w="1840" w:type="dxa"/>
            <w:vAlign w:val="bottom"/>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6,502</w:t>
            </w:r>
          </w:p>
        </w:tc>
        <w:tc>
          <w:tcPr>
            <w:tcW w:w="700" w:type="dxa"/>
            <w:vAlign w:val="bottom"/>
          </w:tcPr>
          <w:p>
            <w:pPr>
              <w:jc w:val="right"/>
              <w:spacing w:after="0"/>
              <w:rPr>
                <w:sz w:val="20"/>
                <w:szCs w:val="20"/>
                <w:color w:val="auto"/>
              </w:rPr>
            </w:pPr>
            <w:r>
              <w:rPr>
                <w:rFonts w:ascii="Arial" w:cs="Arial" w:eastAsia="Arial" w:hAnsi="Arial"/>
                <w:sz w:val="16"/>
                <w:szCs w:val="16"/>
                <w:color w:val="auto"/>
              </w:rPr>
              <w:t>13,004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365,282</w:t>
            </w:r>
          </w:p>
        </w:tc>
      </w:tr>
      <w:tr>
        <w:trPr>
          <w:trHeight w:val="251"/>
        </w:trPr>
        <w:tc>
          <w:tcPr>
            <w:tcW w:w="2400" w:type="dxa"/>
            <w:vAlign w:val="bottom"/>
            <w:tcBorders>
              <w:bottom w:val="single" w:sz="8" w:color="C6093B"/>
            </w:tcBorders>
          </w:tcPr>
          <w:p>
            <w:pPr>
              <w:spacing w:after="0"/>
              <w:rPr>
                <w:sz w:val="21"/>
                <w:szCs w:val="21"/>
                <w:color w:val="auto"/>
              </w:rPr>
            </w:pPr>
          </w:p>
        </w:tc>
        <w:tc>
          <w:tcPr>
            <w:tcW w:w="1840" w:type="dxa"/>
            <w:vAlign w:val="bottom"/>
            <w:tcBorders>
              <w:bottom w:val="single" w:sz="8" w:color="C6093B"/>
            </w:tcBorders>
          </w:tcPr>
          <w:p>
            <w:pPr>
              <w:jc w:val="right"/>
              <w:ind w:right="161"/>
              <w:spacing w:after="0"/>
              <w:rPr>
                <w:sz w:val="20"/>
                <w:szCs w:val="20"/>
                <w:color w:val="auto"/>
              </w:rPr>
            </w:pPr>
            <w:r>
              <w:rPr>
                <w:rFonts w:ascii="Arial" w:cs="Arial" w:eastAsia="Arial" w:hAnsi="Arial"/>
                <w:sz w:val="16"/>
                <w:szCs w:val="16"/>
                <w:color w:val="auto"/>
              </w:rPr>
              <w:t>2/20/23</w:t>
            </w:r>
          </w:p>
        </w:tc>
        <w:tc>
          <w:tcPr>
            <w:tcW w:w="800" w:type="dxa"/>
            <w:vAlign w:val="bottom"/>
            <w:tcBorders>
              <w:bottom w:val="single" w:sz="8" w:color="C6093B"/>
            </w:tcBorders>
          </w:tcPr>
          <w:p>
            <w:pPr>
              <w:spacing w:after="0"/>
              <w:rPr>
                <w:sz w:val="21"/>
                <w:szCs w:val="21"/>
                <w:color w:val="auto"/>
              </w:rPr>
            </w:pPr>
          </w:p>
        </w:tc>
        <w:tc>
          <w:tcPr>
            <w:tcW w:w="1160" w:type="dxa"/>
            <w:vAlign w:val="bottom"/>
            <w:tcBorders>
              <w:bottom w:val="single" w:sz="8" w:color="C6093B"/>
            </w:tcBorders>
          </w:tcPr>
          <w:p>
            <w:pPr>
              <w:spacing w:after="0"/>
              <w:rPr>
                <w:sz w:val="21"/>
                <w:szCs w:val="21"/>
                <w:color w:val="auto"/>
              </w:rPr>
            </w:pPr>
          </w:p>
        </w:tc>
        <w:tc>
          <w:tcPr>
            <w:tcW w:w="800" w:type="dxa"/>
            <w:vAlign w:val="bottom"/>
            <w:tcBorders>
              <w:bottom w:val="single" w:sz="8" w:color="C6093B"/>
            </w:tcBorders>
          </w:tcPr>
          <w:p>
            <w:pPr>
              <w:spacing w:after="0"/>
              <w:rPr>
                <w:sz w:val="21"/>
                <w:szCs w:val="21"/>
                <w:color w:val="auto"/>
              </w:rPr>
            </w:pPr>
          </w:p>
        </w:tc>
        <w:tc>
          <w:tcPr>
            <w:tcW w:w="260" w:type="dxa"/>
            <w:vAlign w:val="bottom"/>
            <w:tcBorders>
              <w:bottom w:val="single" w:sz="8" w:color="C6093B"/>
            </w:tcBorders>
          </w:tcPr>
          <w:p>
            <w:pPr>
              <w:spacing w:after="0"/>
              <w:rPr>
                <w:sz w:val="21"/>
                <w:szCs w:val="21"/>
                <w:color w:val="auto"/>
              </w:rPr>
            </w:pPr>
          </w:p>
        </w:tc>
        <w:tc>
          <w:tcPr>
            <w:tcW w:w="70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6093B"/>
            </w:tcBorders>
          </w:tcPr>
          <w:p>
            <w:pPr>
              <w:jc w:val="right"/>
              <w:ind w:right="142"/>
              <w:spacing w:after="0"/>
              <w:rPr>
                <w:sz w:val="20"/>
                <w:szCs w:val="20"/>
                <w:color w:val="auto"/>
              </w:rPr>
            </w:pPr>
            <w:r>
              <w:rPr>
                <w:rFonts w:ascii="Arial" w:cs="Arial" w:eastAsia="Arial" w:hAnsi="Arial"/>
                <w:sz w:val="16"/>
                <w:szCs w:val="16"/>
                <w:color w:val="auto"/>
              </w:rPr>
              <w:t>2,167</w:t>
            </w:r>
          </w:p>
        </w:tc>
        <w:tc>
          <w:tcPr>
            <w:tcW w:w="820" w:type="dxa"/>
            <w:vAlign w:val="bottom"/>
            <w:tcBorders>
              <w:bottom w:val="single" w:sz="8" w:color="C6093B"/>
            </w:tcBorders>
            <w:gridSpan w:val="2"/>
          </w:tcPr>
          <w:p>
            <w:pPr>
              <w:jc w:val="right"/>
              <w:ind w:right="120"/>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124,971</w:t>
            </w:r>
          </w:p>
        </w:tc>
      </w:tr>
    </w:tbl>
    <w:p>
      <w:pPr>
        <w:spacing w:after="0" w:line="9" w:lineRule="exact"/>
        <w:rPr>
          <w:sz w:val="20"/>
          <w:szCs w:val="20"/>
          <w:color w:val="auto"/>
        </w:rPr>
      </w:pPr>
    </w:p>
    <w:p>
      <w:pPr>
        <w:ind w:left="220" w:hanging="213"/>
        <w:spacing w:after="0"/>
        <w:tabs>
          <w:tab w:leader="none" w:pos="22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For additional information related to the annual cash incentive awards including performance targets and measures, see “Compensation Discussion and Analysis.”</w:t>
      </w:r>
    </w:p>
    <w:p>
      <w:pPr>
        <w:spacing w:after="0" w:line="90" w:lineRule="exact"/>
        <w:rPr>
          <w:rFonts w:ascii="Arial" w:cs="Arial" w:eastAsia="Arial" w:hAnsi="Arial"/>
          <w:sz w:val="19"/>
          <w:szCs w:val="19"/>
          <w:color w:val="auto"/>
          <w:vertAlign w:val="superscript"/>
        </w:rPr>
      </w:pPr>
    </w:p>
    <w:p>
      <w:pPr>
        <w:ind w:left="220" w:right="180" w:hanging="213"/>
        <w:spacing w:after="0" w:line="200" w:lineRule="auto"/>
        <w:tabs>
          <w:tab w:leader="none" w:pos="22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The “Estimated Future Payouts Under Equity Incentive Plan Awards” column shows the range of shares that may be earned pursuant to the stock awards granted under our 2019 SIP in 2023. For additional information related to these grants, see “Compensation Discussion and Analysis.”</w:t>
      </w:r>
    </w:p>
    <w:p>
      <w:pPr>
        <w:spacing w:after="0" w:line="36" w:lineRule="exact"/>
        <w:rPr>
          <w:rFonts w:ascii="Arial" w:cs="Arial" w:eastAsia="Arial" w:hAnsi="Arial"/>
          <w:sz w:val="19"/>
          <w:szCs w:val="19"/>
          <w:color w:val="auto"/>
          <w:vertAlign w:val="superscript"/>
        </w:rPr>
      </w:pPr>
    </w:p>
    <w:p>
      <w:pPr>
        <w:ind w:left="220" w:hanging="213"/>
        <w:spacing w:after="0"/>
        <w:tabs>
          <w:tab w:leader="none" w:pos="22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For additional information related to the annual cash incentive awards including performance targets and measures, see “Compensation Discussion and Analysis.”</w:t>
      </w:r>
    </w:p>
    <w:p>
      <w:pPr>
        <w:spacing w:after="0" w:line="90" w:lineRule="exact"/>
        <w:rPr>
          <w:rFonts w:ascii="Arial" w:cs="Arial" w:eastAsia="Arial" w:hAnsi="Arial"/>
          <w:sz w:val="19"/>
          <w:szCs w:val="19"/>
          <w:color w:val="auto"/>
          <w:vertAlign w:val="superscript"/>
        </w:rPr>
      </w:pPr>
    </w:p>
    <w:p>
      <w:pPr>
        <w:ind w:left="220" w:hanging="213"/>
        <w:spacing w:after="0" w:line="189" w:lineRule="auto"/>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2"/>
          <w:szCs w:val="12"/>
          <w:color w:val="auto"/>
        </w:rPr>
        <w:t>For additional information related to the annual cash incentive awards including performance targets and measures, see “Compensation Discussion and Analysis.”</w:t>
      </w:r>
    </w:p>
    <w:p>
      <w:pPr>
        <w:spacing w:after="0" w:line="91" w:lineRule="exact"/>
        <w:rPr>
          <w:rFonts w:ascii="Arial" w:cs="Arial" w:eastAsia="Arial" w:hAnsi="Arial"/>
          <w:sz w:val="18"/>
          <w:szCs w:val="18"/>
          <w:color w:val="auto"/>
          <w:vertAlign w:val="superscript"/>
        </w:rPr>
      </w:pPr>
    </w:p>
    <w:p>
      <w:pPr>
        <w:ind w:left="220" w:right="180" w:hanging="213"/>
        <w:spacing w:after="0" w:line="214" w:lineRule="auto"/>
        <w:tabs>
          <w:tab w:leader="none" w:pos="22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The “Grant Date Fair Value of Stock Awards” column shows the full grant date fair value of the shares granted to our Named Executive Officers under our 2019 SIP in 2023. The grant date fair value of the awards is determined under Statement of Financial Accounting Standards ASC Topic 718 (formerly “SFAS 123(R)”) and represents the amount we would expense in our financial statements over the vesting schedule for the grants. In accordance with SEC rules, the amounts in this column reflect the actual ASC 718 accounting cost without reduction for estimates of forfeitures related to service-based vesting conditions. The amounts reflect our accounting for these grants and do not correspond to the actual values that may be realized by the grantees.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50</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Outstanding Equity Awards at Fiscal Year-End –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820" w:type="dxa"/>
            <w:vAlign w:val="bottom"/>
            <w:tcBorders>
              <w:bottom w:val="single" w:sz="8" w:color="C6093B"/>
            </w:tcBorders>
          </w:tcPr>
          <w:p>
            <w:pPr>
              <w:spacing w:after="0"/>
              <w:rPr>
                <w:sz w:val="14"/>
                <w:szCs w:val="14"/>
                <w:color w:val="auto"/>
              </w:rPr>
            </w:pPr>
          </w:p>
        </w:tc>
        <w:tc>
          <w:tcPr>
            <w:tcW w:w="1940" w:type="dxa"/>
            <w:vAlign w:val="bottom"/>
            <w:tcBorders>
              <w:bottom w:val="single" w:sz="8" w:color="C6093B"/>
            </w:tcBorders>
            <w:gridSpan w:val="2"/>
          </w:tcPr>
          <w:p>
            <w:pPr>
              <w:ind w:left="720"/>
              <w:spacing w:after="0"/>
              <w:rPr>
                <w:sz w:val="20"/>
                <w:szCs w:val="20"/>
                <w:color w:val="auto"/>
              </w:rPr>
            </w:pPr>
            <w:r>
              <w:rPr>
                <w:rFonts w:ascii="Arial" w:cs="Arial" w:eastAsia="Arial" w:hAnsi="Arial"/>
                <w:sz w:val="14"/>
                <w:szCs w:val="14"/>
                <w:b w:val="1"/>
                <w:bCs w:val="1"/>
                <w:color w:val="002856"/>
              </w:rPr>
              <w:t>Option Awards</w:t>
            </w:r>
          </w:p>
        </w:tc>
        <w:tc>
          <w:tcPr>
            <w:tcW w:w="660" w:type="dxa"/>
            <w:vAlign w:val="bottom"/>
            <w:tcBorders>
              <w:bottom w:val="single" w:sz="8" w:color="C6093B"/>
            </w:tcBorders>
          </w:tcPr>
          <w:p>
            <w:pPr>
              <w:spacing w:after="0"/>
              <w:rPr>
                <w:sz w:val="14"/>
                <w:szCs w:val="14"/>
                <w:color w:val="auto"/>
              </w:rPr>
            </w:pPr>
          </w:p>
        </w:tc>
        <w:tc>
          <w:tcPr>
            <w:tcW w:w="700" w:type="dxa"/>
            <w:vAlign w:val="bottom"/>
            <w:tcBorders>
              <w:bottom w:val="single" w:sz="8" w:color="C6093B"/>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C6093B"/>
            </w:tcBorders>
          </w:tcPr>
          <w:p>
            <w:pPr>
              <w:spacing w:after="0"/>
              <w:rPr>
                <w:sz w:val="14"/>
                <w:szCs w:val="14"/>
                <w:color w:val="auto"/>
              </w:rPr>
            </w:pPr>
          </w:p>
        </w:tc>
        <w:tc>
          <w:tcPr>
            <w:tcW w:w="1020" w:type="dxa"/>
            <w:vAlign w:val="bottom"/>
            <w:tcBorders>
              <w:bottom w:val="single" w:sz="8" w:color="C6093B"/>
            </w:tcBorders>
          </w:tcPr>
          <w:p>
            <w:pPr>
              <w:spacing w:after="0"/>
              <w:rPr>
                <w:sz w:val="14"/>
                <w:szCs w:val="14"/>
                <w:color w:val="auto"/>
              </w:rPr>
            </w:pPr>
          </w:p>
        </w:tc>
        <w:tc>
          <w:tcPr>
            <w:tcW w:w="2300" w:type="dxa"/>
            <w:vAlign w:val="bottom"/>
            <w:tcBorders>
              <w:bottom w:val="single" w:sz="8" w:color="C6093B"/>
            </w:tcBorders>
            <w:gridSpan w:val="2"/>
          </w:tcPr>
          <w:p>
            <w:pPr>
              <w:jc w:val="right"/>
              <w:ind w:right="1050"/>
              <w:spacing w:after="0"/>
              <w:rPr>
                <w:sz w:val="20"/>
                <w:szCs w:val="20"/>
                <w:color w:val="auto"/>
              </w:rPr>
            </w:pPr>
            <w:r>
              <w:rPr>
                <w:rFonts w:ascii="Arial" w:cs="Arial" w:eastAsia="Arial" w:hAnsi="Arial"/>
                <w:sz w:val="14"/>
                <w:szCs w:val="14"/>
                <w:b w:val="1"/>
                <w:bCs w:val="1"/>
                <w:color w:val="002856"/>
              </w:rPr>
              <w:t>Stock Awards</w:t>
            </w:r>
          </w:p>
        </w:tc>
        <w:tc>
          <w:tcPr>
            <w:tcW w:w="980" w:type="dxa"/>
            <w:vAlign w:val="bottom"/>
            <w:tcBorders>
              <w:bottom w:val="single" w:sz="8" w:color="C6093B"/>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Equity</w:t>
            </w: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vMerge w:val="restart"/>
          </w:tcPr>
          <w:p>
            <w:pPr>
              <w:jc w:val="center"/>
              <w:ind w:right="130"/>
              <w:spacing w:after="0"/>
              <w:rPr>
                <w:sz w:val="20"/>
                <w:szCs w:val="20"/>
                <w:color w:val="auto"/>
              </w:rPr>
            </w:pPr>
            <w:r>
              <w:rPr>
                <w:rFonts w:ascii="Arial" w:cs="Arial" w:eastAsia="Arial" w:hAnsi="Arial"/>
                <w:sz w:val="12"/>
                <w:szCs w:val="12"/>
                <w:b w:val="1"/>
                <w:bCs w:val="1"/>
                <w:color w:val="002856"/>
              </w:rPr>
              <w:t>Equity</w:t>
            </w:r>
          </w:p>
        </w:tc>
        <w:tc>
          <w:tcPr>
            <w:tcW w:w="980" w:type="dxa"/>
            <w:vAlign w:val="bottom"/>
          </w:tcPr>
          <w:p>
            <w:pPr>
              <w:jc w:val="center"/>
              <w:ind w:left="10"/>
              <w:spacing w:after="0" w:line="109" w:lineRule="exact"/>
              <w:rPr>
                <w:sz w:val="20"/>
                <w:szCs w:val="20"/>
                <w:color w:val="auto"/>
              </w:rPr>
            </w:pPr>
            <w:r>
              <w:rPr>
                <w:rFonts w:ascii="Arial" w:cs="Arial" w:eastAsia="Arial" w:hAnsi="Arial"/>
                <w:sz w:val="12"/>
                <w:szCs w:val="12"/>
                <w:b w:val="1"/>
                <w:bCs w:val="1"/>
                <w:color w:val="002856"/>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Incentive</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Incentive</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jc w:val="center"/>
              <w:ind w:right="130"/>
              <w:spacing w:after="0" w:line="134" w:lineRule="exact"/>
              <w:rPr>
                <w:sz w:val="20"/>
                <w:szCs w:val="20"/>
                <w:color w:val="auto"/>
              </w:rPr>
            </w:pPr>
            <w:r>
              <w:rPr>
                <w:rFonts w:ascii="Arial" w:cs="Arial" w:eastAsia="Arial" w:hAnsi="Arial"/>
                <w:sz w:val="12"/>
                <w:szCs w:val="12"/>
                <w:b w:val="1"/>
                <w:bCs w:val="1"/>
                <w:color w:val="002856"/>
              </w:rPr>
              <w:t>Incentive</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Plan Awards: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Plan Awards: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vMerge w:val="restart"/>
          </w:tcPr>
          <w:p>
            <w:pPr>
              <w:jc w:val="center"/>
              <w:ind w:right="144"/>
              <w:spacing w:after="0"/>
              <w:rPr>
                <w:sz w:val="20"/>
                <w:szCs w:val="20"/>
                <w:color w:val="auto"/>
              </w:rPr>
            </w:pPr>
            <w:r>
              <w:rPr>
                <w:rFonts w:ascii="Arial" w:cs="Arial" w:eastAsia="Arial" w:hAnsi="Arial"/>
                <w:sz w:val="12"/>
                <w:szCs w:val="12"/>
                <w:b w:val="1"/>
                <w:bCs w:val="1"/>
                <w:color w:val="002856"/>
              </w:rPr>
              <w:t>Number</w:t>
            </w:r>
          </w:p>
        </w:tc>
        <w:tc>
          <w:tcPr>
            <w:tcW w:w="1000" w:type="dxa"/>
            <w:vAlign w:val="bottom"/>
          </w:tcPr>
          <w:p>
            <w:pPr>
              <w:spacing w:after="0"/>
              <w:rPr>
                <w:sz w:val="11"/>
                <w:szCs w:val="11"/>
                <w:color w:val="auto"/>
              </w:rPr>
            </w:pPr>
          </w:p>
        </w:tc>
        <w:tc>
          <w:tcPr>
            <w:tcW w:w="1300" w:type="dxa"/>
            <w:vAlign w:val="bottom"/>
          </w:tcPr>
          <w:p>
            <w:pPr>
              <w:jc w:val="center"/>
              <w:ind w:right="130"/>
              <w:spacing w:after="0" w:line="134" w:lineRule="exact"/>
              <w:rPr>
                <w:sz w:val="20"/>
                <w:szCs w:val="20"/>
                <w:color w:val="auto"/>
              </w:rPr>
            </w:pPr>
            <w:r>
              <w:rPr>
                <w:rFonts w:ascii="Arial" w:cs="Arial" w:eastAsia="Arial" w:hAnsi="Arial"/>
                <w:sz w:val="12"/>
                <w:szCs w:val="12"/>
                <w:b w:val="1"/>
                <w:bCs w:val="1"/>
                <w:color w:val="002856"/>
              </w:rPr>
              <w:t>Plan Awards: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Market or</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002856"/>
              </w:rPr>
              <w:t>Number of</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Number of</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Number of</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Market Value</w:t>
            </w: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Number of</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Payout Value</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Securities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center"/>
              <w:ind w:right="144"/>
              <w:spacing w:after="0" w:line="134" w:lineRule="exact"/>
              <w:rPr>
                <w:sz w:val="20"/>
                <w:szCs w:val="20"/>
                <w:color w:val="auto"/>
              </w:rPr>
            </w:pPr>
            <w:r>
              <w:rPr>
                <w:rFonts w:ascii="Arial" w:cs="Arial" w:eastAsia="Arial" w:hAnsi="Arial"/>
                <w:sz w:val="12"/>
                <w:szCs w:val="12"/>
                <w:b w:val="1"/>
                <w:bCs w:val="1"/>
                <w:color w:val="002856"/>
              </w:rPr>
              <w:t>of Shares</w:t>
            </w:r>
          </w:p>
        </w:tc>
        <w:tc>
          <w:tcPr>
            <w:tcW w:w="1000" w:type="dxa"/>
            <w:vAlign w:val="bottom"/>
            <w:vMerge w:val="continue"/>
          </w:tcPr>
          <w:p>
            <w:pPr>
              <w:spacing w:after="0"/>
              <w:rPr>
                <w:sz w:val="11"/>
                <w:szCs w:val="11"/>
                <w:color w:val="auto"/>
              </w:rPr>
            </w:pP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Unearned</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of Unearned</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jc w:val="center"/>
              <w:ind w:right="32"/>
              <w:spacing w:after="0" w:line="134" w:lineRule="exact"/>
              <w:rPr>
                <w:sz w:val="20"/>
                <w:szCs w:val="20"/>
                <w:color w:val="auto"/>
              </w:rPr>
            </w:pPr>
            <w:r>
              <w:rPr>
                <w:rFonts w:ascii="Arial" w:cs="Arial" w:eastAsia="Arial" w:hAnsi="Arial"/>
                <w:sz w:val="12"/>
                <w:szCs w:val="12"/>
                <w:b w:val="1"/>
                <w:bCs w:val="1"/>
                <w:color w:val="002856"/>
              </w:rPr>
              <w:t>Securities</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Securities</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Underlying</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Option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center"/>
              <w:ind w:right="124"/>
              <w:spacing w:after="0" w:line="134" w:lineRule="exact"/>
              <w:rPr>
                <w:sz w:val="20"/>
                <w:szCs w:val="20"/>
                <w:color w:val="auto"/>
              </w:rPr>
            </w:pPr>
            <w:r>
              <w:rPr>
                <w:rFonts w:ascii="Arial" w:cs="Arial" w:eastAsia="Arial" w:hAnsi="Arial"/>
                <w:sz w:val="12"/>
                <w:szCs w:val="12"/>
                <w:b w:val="1"/>
                <w:bCs w:val="1"/>
                <w:color w:val="002856"/>
              </w:rPr>
              <w:t>or Units of</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of Shares or</w:t>
            </w: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Shares, Units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Shares, Units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jc w:val="center"/>
              <w:ind w:right="12"/>
              <w:spacing w:after="0" w:line="134" w:lineRule="exact"/>
              <w:rPr>
                <w:sz w:val="20"/>
                <w:szCs w:val="20"/>
                <w:color w:val="auto"/>
              </w:rPr>
            </w:pPr>
            <w:r>
              <w:rPr>
                <w:rFonts w:ascii="Arial" w:cs="Arial" w:eastAsia="Arial" w:hAnsi="Arial"/>
                <w:sz w:val="12"/>
                <w:szCs w:val="12"/>
                <w:b w:val="1"/>
                <w:bCs w:val="1"/>
                <w:color w:val="002856"/>
              </w:rPr>
              <w:t>Underlying</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Underlying</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Unexercised</w:t>
            </w:r>
          </w:p>
        </w:tc>
        <w:tc>
          <w:tcPr>
            <w:tcW w:w="660" w:type="dxa"/>
            <w:vAlign w:val="bottom"/>
            <w:vMerge w:val="continue"/>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002856"/>
              </w:rPr>
              <w:t>Option</w:t>
            </w:r>
          </w:p>
        </w:tc>
        <w:tc>
          <w:tcPr>
            <w:tcW w:w="840" w:type="dxa"/>
            <w:vAlign w:val="bottom"/>
          </w:tcPr>
          <w:p>
            <w:pPr>
              <w:spacing w:after="0"/>
              <w:rPr>
                <w:sz w:val="11"/>
                <w:szCs w:val="11"/>
                <w:color w:val="auto"/>
              </w:rPr>
            </w:pPr>
          </w:p>
        </w:tc>
        <w:tc>
          <w:tcPr>
            <w:tcW w:w="1020" w:type="dxa"/>
            <w:vAlign w:val="bottom"/>
          </w:tcPr>
          <w:p>
            <w:pPr>
              <w:jc w:val="center"/>
              <w:ind w:right="144"/>
              <w:spacing w:after="0" w:line="134" w:lineRule="exact"/>
              <w:rPr>
                <w:sz w:val="20"/>
                <w:szCs w:val="20"/>
                <w:color w:val="auto"/>
              </w:rPr>
            </w:pPr>
            <w:r>
              <w:rPr>
                <w:rFonts w:ascii="Arial" w:cs="Arial" w:eastAsia="Arial" w:hAnsi="Arial"/>
                <w:sz w:val="12"/>
                <w:szCs w:val="12"/>
                <w:b w:val="1"/>
                <w:bCs w:val="1"/>
                <w:color w:val="002856"/>
              </w:rPr>
              <w:t>Stock That</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Units of Stock</w:t>
            </w: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or Other Rights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or Other Rights</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jc w:val="center"/>
              <w:ind w:right="12"/>
              <w:spacing w:after="0" w:line="134" w:lineRule="exact"/>
              <w:rPr>
                <w:sz w:val="20"/>
                <w:szCs w:val="20"/>
                <w:color w:val="auto"/>
              </w:rPr>
            </w:pPr>
            <w:r>
              <w:rPr>
                <w:rFonts w:ascii="Arial" w:cs="Arial" w:eastAsia="Arial" w:hAnsi="Arial"/>
                <w:sz w:val="12"/>
                <w:szCs w:val="12"/>
                <w:b w:val="1"/>
                <w:bCs w:val="1"/>
                <w:color w:val="002856"/>
              </w:rPr>
              <w:t>Unexercised</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Unexercised</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Unearned</w:t>
            </w:r>
          </w:p>
        </w:tc>
        <w:tc>
          <w:tcPr>
            <w:tcW w:w="6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002856"/>
              </w:rPr>
              <w:t>Exercise</w:t>
            </w:r>
          </w:p>
        </w:tc>
        <w:tc>
          <w:tcPr>
            <w:tcW w:w="84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jc w:val="center"/>
              <w:ind w:right="124"/>
              <w:spacing w:after="0" w:line="134" w:lineRule="exact"/>
              <w:rPr>
                <w:sz w:val="20"/>
                <w:szCs w:val="20"/>
                <w:color w:val="auto"/>
              </w:rPr>
            </w:pPr>
            <w:r>
              <w:rPr>
                <w:rFonts w:ascii="Arial" w:cs="Arial" w:eastAsia="Arial" w:hAnsi="Arial"/>
                <w:sz w:val="12"/>
                <w:szCs w:val="12"/>
                <w:b w:val="1"/>
                <w:bCs w:val="1"/>
                <w:color w:val="002856"/>
              </w:rPr>
              <w:t>Have Not</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That Have</w:t>
            </w: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That Have Not</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That Have Not</w:t>
            </w: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820" w:type="dxa"/>
            <w:vAlign w:val="bottom"/>
          </w:tcPr>
          <w:p>
            <w:pPr>
              <w:jc w:val="center"/>
              <w:ind w:right="12"/>
              <w:spacing w:after="0" w:line="134" w:lineRule="exact"/>
              <w:rPr>
                <w:sz w:val="20"/>
                <w:szCs w:val="20"/>
                <w:color w:val="auto"/>
              </w:rPr>
            </w:pPr>
            <w:r>
              <w:rPr>
                <w:rFonts w:ascii="Arial" w:cs="Arial" w:eastAsia="Arial" w:hAnsi="Arial"/>
                <w:sz w:val="12"/>
                <w:szCs w:val="12"/>
                <w:b w:val="1"/>
                <w:bCs w:val="1"/>
                <w:color w:val="002856"/>
              </w:rPr>
              <w:t>Options (#)</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Options (#)</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Options</w:t>
            </w:r>
          </w:p>
        </w:tc>
        <w:tc>
          <w:tcPr>
            <w:tcW w:w="66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Price</w:t>
            </w:r>
          </w:p>
        </w:tc>
        <w:tc>
          <w:tcPr>
            <w:tcW w:w="840" w:type="dxa"/>
            <w:vAlign w:val="bottom"/>
            <w:gridSpan w:val="2"/>
          </w:tcPr>
          <w:p>
            <w:pPr>
              <w:jc w:val="right"/>
              <w:ind w:right="160"/>
              <w:spacing w:after="0" w:line="134" w:lineRule="exact"/>
              <w:rPr>
                <w:sz w:val="20"/>
                <w:szCs w:val="20"/>
                <w:color w:val="auto"/>
              </w:rPr>
            </w:pPr>
            <w:r>
              <w:rPr>
                <w:rFonts w:ascii="Arial" w:cs="Arial" w:eastAsia="Arial" w:hAnsi="Arial"/>
                <w:sz w:val="12"/>
                <w:szCs w:val="12"/>
                <w:b w:val="1"/>
                <w:bCs w:val="1"/>
                <w:color w:val="002856"/>
              </w:rPr>
              <w:t>Expiration</w:t>
            </w:r>
          </w:p>
        </w:tc>
        <w:tc>
          <w:tcPr>
            <w:tcW w:w="840" w:type="dxa"/>
            <w:vAlign w:val="bottom"/>
          </w:tcPr>
          <w:p>
            <w:pPr>
              <w:spacing w:after="0"/>
              <w:rPr>
                <w:sz w:val="11"/>
                <w:szCs w:val="11"/>
                <w:color w:val="auto"/>
              </w:rPr>
            </w:pPr>
          </w:p>
        </w:tc>
        <w:tc>
          <w:tcPr>
            <w:tcW w:w="1020" w:type="dxa"/>
            <w:vAlign w:val="bottom"/>
          </w:tcPr>
          <w:p>
            <w:pPr>
              <w:jc w:val="center"/>
              <w:ind w:right="144"/>
              <w:spacing w:after="0" w:line="134" w:lineRule="exact"/>
              <w:rPr>
                <w:sz w:val="20"/>
                <w:szCs w:val="20"/>
                <w:color w:val="auto"/>
              </w:rPr>
            </w:pPr>
            <w:r>
              <w:rPr>
                <w:rFonts w:ascii="Arial" w:cs="Arial" w:eastAsia="Arial" w:hAnsi="Arial"/>
                <w:sz w:val="12"/>
                <w:szCs w:val="12"/>
                <w:b w:val="1"/>
                <w:bCs w:val="1"/>
                <w:color w:val="002856"/>
              </w:rPr>
              <w:t>Vested</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Not Vested</w:t>
            </w:r>
          </w:p>
        </w:tc>
        <w:tc>
          <w:tcPr>
            <w:tcW w:w="1300" w:type="dxa"/>
            <w:vAlign w:val="bottom"/>
          </w:tcPr>
          <w:p>
            <w:pPr>
              <w:jc w:val="center"/>
              <w:ind w:right="150"/>
              <w:spacing w:after="0" w:line="134" w:lineRule="exact"/>
              <w:rPr>
                <w:sz w:val="20"/>
                <w:szCs w:val="20"/>
                <w:color w:val="auto"/>
              </w:rPr>
            </w:pPr>
            <w:r>
              <w:rPr>
                <w:rFonts w:ascii="Arial" w:cs="Arial" w:eastAsia="Arial" w:hAnsi="Arial"/>
                <w:sz w:val="12"/>
                <w:szCs w:val="12"/>
                <w:b w:val="1"/>
                <w:bCs w:val="1"/>
                <w:color w:val="002856"/>
              </w:rPr>
              <w:t>Vested</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Vested</w:t>
            </w:r>
          </w:p>
        </w:tc>
        <w:tc>
          <w:tcPr>
            <w:tcW w:w="0" w:type="dxa"/>
            <w:vAlign w:val="bottom"/>
          </w:tcPr>
          <w:p>
            <w:pPr>
              <w:spacing w:after="0"/>
              <w:rPr>
                <w:sz w:val="1"/>
                <w:szCs w:val="1"/>
                <w:color w:val="auto"/>
              </w:rPr>
            </w:pPr>
          </w:p>
        </w:tc>
      </w:tr>
      <w:tr>
        <w:trPr>
          <w:trHeight w:val="172"/>
        </w:trPr>
        <w:tc>
          <w:tcPr>
            <w:tcW w:w="1460" w:type="dxa"/>
            <w:vAlign w:val="bottom"/>
            <w:tcBorders>
              <w:bottom w:val="single" w:sz="8" w:color="C6093B"/>
            </w:tcBorders>
          </w:tcPr>
          <w:p>
            <w:pPr>
              <w:ind w:left="80"/>
              <w:spacing w:after="0"/>
              <w:rPr>
                <w:sz w:val="20"/>
                <w:szCs w:val="20"/>
                <w:color w:val="auto"/>
              </w:rPr>
            </w:pPr>
            <w:r>
              <w:rPr>
                <w:rFonts w:ascii="Arial" w:cs="Arial" w:eastAsia="Arial" w:hAnsi="Arial"/>
                <w:sz w:val="12"/>
                <w:szCs w:val="12"/>
                <w:b w:val="1"/>
                <w:bCs w:val="1"/>
                <w:color w:val="002856"/>
              </w:rPr>
              <w:t>Name</w:t>
            </w:r>
          </w:p>
        </w:tc>
        <w:tc>
          <w:tcPr>
            <w:tcW w:w="820" w:type="dxa"/>
            <w:vAlign w:val="bottom"/>
            <w:tcBorders>
              <w:bottom w:val="single" w:sz="8" w:color="C6093B"/>
            </w:tcBorders>
          </w:tcPr>
          <w:p>
            <w:pPr>
              <w:jc w:val="center"/>
              <w:ind w:right="12"/>
              <w:spacing w:after="0"/>
              <w:rPr>
                <w:sz w:val="20"/>
                <w:szCs w:val="20"/>
                <w:color w:val="auto"/>
              </w:rPr>
            </w:pPr>
            <w:r>
              <w:rPr>
                <w:rFonts w:ascii="Arial" w:cs="Arial" w:eastAsia="Arial" w:hAnsi="Arial"/>
                <w:sz w:val="12"/>
                <w:szCs w:val="12"/>
                <w:b w:val="1"/>
                <w:bCs w:val="1"/>
                <w:color w:val="002856"/>
              </w:rPr>
              <w:t>Exercisable</w:t>
            </w:r>
          </w:p>
        </w:tc>
        <w:tc>
          <w:tcPr>
            <w:tcW w:w="1000" w:type="dxa"/>
            <w:vAlign w:val="bottom"/>
            <w:tcBorders>
              <w:bottom w:val="single" w:sz="8" w:color="C6093B"/>
            </w:tcBorders>
          </w:tcPr>
          <w:p>
            <w:pPr>
              <w:jc w:val="center"/>
              <w:spacing w:after="0"/>
              <w:rPr>
                <w:sz w:val="20"/>
                <w:szCs w:val="20"/>
                <w:color w:val="auto"/>
              </w:rPr>
            </w:pPr>
            <w:r>
              <w:rPr>
                <w:rFonts w:ascii="Arial" w:cs="Arial" w:eastAsia="Arial" w:hAnsi="Arial"/>
                <w:sz w:val="12"/>
                <w:szCs w:val="12"/>
                <w:b w:val="1"/>
                <w:bCs w:val="1"/>
                <w:color w:val="002856"/>
              </w:rPr>
              <w:t>Unexercisable</w:t>
            </w:r>
          </w:p>
        </w:tc>
        <w:tc>
          <w:tcPr>
            <w:tcW w:w="940" w:type="dxa"/>
            <w:vAlign w:val="bottom"/>
            <w:tcBorders>
              <w:bottom w:val="single" w:sz="8" w:color="C6093B"/>
            </w:tcBorders>
          </w:tcPr>
          <w:p>
            <w:pPr>
              <w:jc w:val="center"/>
              <w:spacing w:after="0"/>
              <w:rPr>
                <w:sz w:val="20"/>
                <w:szCs w:val="20"/>
                <w:color w:val="auto"/>
              </w:rPr>
            </w:pPr>
            <w:r>
              <w:rPr>
                <w:rFonts w:ascii="Arial" w:cs="Arial" w:eastAsia="Arial" w:hAnsi="Arial"/>
                <w:sz w:val="12"/>
                <w:szCs w:val="12"/>
                <w:b w:val="1"/>
                <w:bCs w:val="1"/>
                <w:color w:val="002856"/>
              </w:rPr>
              <w:t>(#)</w:t>
            </w:r>
          </w:p>
        </w:tc>
        <w:tc>
          <w:tcPr>
            <w:tcW w:w="660" w:type="dxa"/>
            <w:vAlign w:val="bottom"/>
            <w:tcBorders>
              <w:bottom w:val="single" w:sz="8" w:color="C6093B"/>
            </w:tcBorders>
          </w:tcPr>
          <w:p>
            <w:pPr>
              <w:jc w:val="center"/>
              <w:spacing w:after="0"/>
              <w:rPr>
                <w:sz w:val="20"/>
                <w:szCs w:val="20"/>
                <w:color w:val="auto"/>
              </w:rPr>
            </w:pPr>
            <w:r>
              <w:rPr>
                <w:rFonts w:ascii="Arial" w:cs="Arial" w:eastAsia="Arial" w:hAnsi="Arial"/>
                <w:sz w:val="12"/>
                <w:szCs w:val="12"/>
                <w:b w:val="1"/>
                <w:bCs w:val="1"/>
                <w:color w:val="002856"/>
                <w:w w:val="95"/>
              </w:rPr>
              <w:t>($)</w:t>
            </w:r>
          </w:p>
        </w:tc>
        <w:tc>
          <w:tcPr>
            <w:tcW w:w="840" w:type="dxa"/>
            <w:vAlign w:val="bottom"/>
            <w:tcBorders>
              <w:bottom w:val="single" w:sz="8" w:color="C6093B"/>
            </w:tcBorders>
            <w:gridSpan w:val="2"/>
          </w:tcPr>
          <w:p>
            <w:pPr>
              <w:jc w:val="center"/>
              <w:ind w:right="80"/>
              <w:spacing w:after="0"/>
              <w:rPr>
                <w:sz w:val="20"/>
                <w:szCs w:val="20"/>
                <w:color w:val="auto"/>
              </w:rPr>
            </w:pPr>
            <w:r>
              <w:rPr>
                <w:rFonts w:ascii="Arial" w:cs="Arial" w:eastAsia="Arial" w:hAnsi="Arial"/>
                <w:sz w:val="12"/>
                <w:szCs w:val="12"/>
                <w:b w:val="1"/>
                <w:bCs w:val="1"/>
                <w:color w:val="002856"/>
              </w:rPr>
              <w:t>Date</w:t>
            </w:r>
          </w:p>
        </w:tc>
        <w:tc>
          <w:tcPr>
            <w:tcW w:w="840" w:type="dxa"/>
            <w:vAlign w:val="bottom"/>
            <w:tcBorders>
              <w:bottom w:val="single" w:sz="8" w:color="C6093B"/>
            </w:tcBorders>
          </w:tcPr>
          <w:p>
            <w:pPr>
              <w:jc w:val="right"/>
              <w:ind w:right="60"/>
              <w:spacing w:after="0"/>
              <w:rPr>
                <w:sz w:val="20"/>
                <w:szCs w:val="20"/>
                <w:color w:val="auto"/>
              </w:rPr>
            </w:pPr>
            <w:r>
              <w:rPr>
                <w:rFonts w:ascii="Arial" w:cs="Arial" w:eastAsia="Arial" w:hAnsi="Arial"/>
                <w:sz w:val="12"/>
                <w:szCs w:val="12"/>
                <w:b w:val="1"/>
                <w:bCs w:val="1"/>
                <w:color w:val="002856"/>
              </w:rPr>
              <w:t>Grant Date</w:t>
            </w:r>
          </w:p>
        </w:tc>
        <w:tc>
          <w:tcPr>
            <w:tcW w:w="1020" w:type="dxa"/>
            <w:vAlign w:val="bottom"/>
            <w:tcBorders>
              <w:bottom w:val="single" w:sz="8" w:color="C6093B"/>
            </w:tcBorders>
          </w:tcPr>
          <w:p>
            <w:pPr>
              <w:jc w:val="center"/>
              <w:ind w:right="144"/>
              <w:spacing w:after="0"/>
              <w:rPr>
                <w:sz w:val="20"/>
                <w:szCs w:val="20"/>
                <w:color w:val="auto"/>
              </w:rPr>
            </w:pPr>
            <w:r>
              <w:rPr>
                <w:rFonts w:ascii="Arial" w:cs="Arial" w:eastAsia="Arial" w:hAnsi="Arial"/>
                <w:sz w:val="12"/>
                <w:szCs w:val="12"/>
                <w:b w:val="1"/>
                <w:bCs w:val="1"/>
                <w:color w:val="002856"/>
              </w:rPr>
              <w:t>(#)</w:t>
            </w:r>
          </w:p>
        </w:tc>
        <w:tc>
          <w:tcPr>
            <w:tcW w:w="1000" w:type="dxa"/>
            <w:vAlign w:val="bottom"/>
            <w:tcBorders>
              <w:bottom w:val="single" w:sz="8" w:color="C6093B"/>
            </w:tcBorders>
          </w:tcPr>
          <w:p>
            <w:pPr>
              <w:jc w:val="center"/>
              <w:spacing w:after="0" w:line="165" w:lineRule="exact"/>
              <w:rPr>
                <w:sz w:val="20"/>
                <w:szCs w:val="20"/>
                <w:color w:val="auto"/>
              </w:rPr>
            </w:pPr>
            <w:r>
              <w:rPr>
                <w:rFonts w:ascii="Arial" w:cs="Arial" w:eastAsia="Arial" w:hAnsi="Arial"/>
                <w:sz w:val="12"/>
                <w:szCs w:val="12"/>
                <w:b w:val="1"/>
                <w:bCs w:val="1"/>
                <w:color w:val="002856"/>
                <w:w w:val="95"/>
              </w:rPr>
              <w:t>($)</w:t>
            </w:r>
            <w:r>
              <w:rPr>
                <w:rFonts w:ascii="Arial" w:cs="Arial" w:eastAsia="Arial" w:hAnsi="Arial"/>
                <w:sz w:val="18"/>
                <w:szCs w:val="18"/>
                <w:b w:val="1"/>
                <w:bCs w:val="1"/>
                <w:color w:val="002856"/>
                <w:w w:val="95"/>
                <w:vertAlign w:val="superscript"/>
              </w:rPr>
              <w:t>(1)</w:t>
            </w:r>
          </w:p>
        </w:tc>
        <w:tc>
          <w:tcPr>
            <w:tcW w:w="1300" w:type="dxa"/>
            <w:vAlign w:val="bottom"/>
            <w:tcBorders>
              <w:bottom w:val="single" w:sz="8" w:color="C6093B"/>
            </w:tcBorders>
          </w:tcPr>
          <w:p>
            <w:pPr>
              <w:jc w:val="center"/>
              <w:ind w:right="150"/>
              <w:spacing w:after="0"/>
              <w:rPr>
                <w:sz w:val="20"/>
                <w:szCs w:val="20"/>
                <w:color w:val="auto"/>
              </w:rPr>
            </w:pPr>
            <w:r>
              <w:rPr>
                <w:rFonts w:ascii="Arial" w:cs="Arial" w:eastAsia="Arial" w:hAnsi="Arial"/>
                <w:sz w:val="12"/>
                <w:szCs w:val="12"/>
                <w:b w:val="1"/>
                <w:bCs w:val="1"/>
                <w:color w:val="002856"/>
              </w:rPr>
              <w:t>(#)</w:t>
            </w:r>
          </w:p>
        </w:tc>
        <w:tc>
          <w:tcPr>
            <w:tcW w:w="980" w:type="dxa"/>
            <w:vAlign w:val="bottom"/>
            <w:tcBorders>
              <w:bottom w:val="single" w:sz="8" w:color="C6093B"/>
            </w:tcBorders>
          </w:tcPr>
          <w:p>
            <w:pPr>
              <w:jc w:val="center"/>
              <w:ind w:left="10"/>
              <w:spacing w:after="0" w:line="165" w:lineRule="exact"/>
              <w:rPr>
                <w:sz w:val="20"/>
                <w:szCs w:val="20"/>
                <w:color w:val="auto"/>
              </w:rPr>
            </w:pPr>
            <w:r>
              <w:rPr>
                <w:rFonts w:ascii="Arial" w:cs="Arial" w:eastAsia="Arial" w:hAnsi="Arial"/>
                <w:sz w:val="12"/>
                <w:szCs w:val="12"/>
                <w:b w:val="1"/>
                <w:bCs w:val="1"/>
                <w:color w:val="002856"/>
                <w:w w:val="88"/>
              </w:rPr>
              <w:t>($)</w:t>
            </w:r>
            <w:r>
              <w:rPr>
                <w:rFonts w:ascii="Arial" w:cs="Arial" w:eastAsia="Arial" w:hAnsi="Arial"/>
                <w:sz w:val="18"/>
                <w:szCs w:val="18"/>
                <w:b w:val="1"/>
                <w:bCs w:val="1"/>
                <w:color w:val="002856"/>
                <w:w w:val="88"/>
                <w:vertAlign w:val="superscript"/>
              </w:rPr>
              <w:t>(2)</w:t>
            </w:r>
          </w:p>
        </w:tc>
        <w:tc>
          <w:tcPr>
            <w:tcW w:w="60" w:type="dxa"/>
            <w:vAlign w:val="bottom"/>
            <w:tcBorders>
              <w:bottom w:val="single" w:sz="8" w:color="C6093B"/>
            </w:tcBorders>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460" w:type="dxa"/>
            <w:vAlign w:val="bottom"/>
          </w:tcPr>
          <w:p>
            <w:pPr>
              <w:ind w:left="80"/>
              <w:spacing w:after="0"/>
              <w:rPr>
                <w:sz w:val="20"/>
                <w:szCs w:val="20"/>
                <w:color w:val="auto"/>
              </w:rPr>
            </w:pPr>
            <w:r>
              <w:rPr>
                <w:rFonts w:ascii="Arial" w:cs="Arial" w:eastAsia="Arial" w:hAnsi="Arial"/>
                <w:sz w:val="16"/>
                <w:szCs w:val="16"/>
                <w:b w:val="1"/>
                <w:bCs w:val="1"/>
                <w:color w:val="1D4F90"/>
              </w:rPr>
              <w:t>J. Powell Brown</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7/21/2009</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32,000</w:t>
            </w:r>
            <w:r>
              <w:rPr>
                <w:rFonts w:ascii="Arial" w:cs="Arial" w:eastAsia="Arial" w:hAnsi="Arial"/>
                <w:sz w:val="24"/>
                <w:szCs w:val="24"/>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2,275,520</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7/21/2009</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299,264</w:t>
            </w:r>
            <w:r>
              <w:rPr>
                <w:rFonts w:ascii="Arial" w:cs="Arial" w:eastAsia="Arial" w:hAnsi="Arial"/>
                <w:sz w:val="24"/>
                <w:szCs w:val="24"/>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21,280,663</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16,943</w:t>
            </w:r>
            <w:r>
              <w:rPr>
                <w:rFonts w:ascii="Arial" w:cs="Arial" w:eastAsia="Arial" w:hAnsi="Arial"/>
                <w:sz w:val="24"/>
                <w:szCs w:val="24"/>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1,204,817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101,660</w:t>
            </w:r>
            <w:r>
              <w:rPr>
                <w:rFonts w:ascii="Arial" w:cs="Arial" w:eastAsia="Arial" w:hAnsi="Arial"/>
                <w:sz w:val="24"/>
                <w:szCs w:val="24"/>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6"/>
                <w:szCs w:val="16"/>
                <w:color w:val="auto"/>
              </w:rPr>
              <w:t>7,229,043</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15,460</w:t>
            </w:r>
            <w:r>
              <w:rPr>
                <w:rFonts w:ascii="Arial" w:cs="Arial" w:eastAsia="Arial" w:hAnsi="Arial"/>
                <w:sz w:val="24"/>
                <w:szCs w:val="24"/>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6"/>
                <w:szCs w:val="16"/>
                <w:color w:val="auto"/>
              </w:rPr>
              <w:t>1,099,361</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92,764</w:t>
            </w:r>
            <w:r>
              <w:rPr>
                <w:rFonts w:ascii="Arial" w:cs="Arial" w:eastAsia="Arial" w:hAnsi="Arial"/>
                <w:sz w:val="24"/>
                <w:szCs w:val="24"/>
                <w:color w:val="auto"/>
                <w:vertAlign w:val="superscript"/>
              </w:rPr>
              <w:t>(8)</w:t>
            </w:r>
          </w:p>
        </w:tc>
        <w:tc>
          <w:tcPr>
            <w:tcW w:w="1000" w:type="dxa"/>
            <w:vAlign w:val="bottom"/>
          </w:tcPr>
          <w:p>
            <w:pPr>
              <w:jc w:val="right"/>
              <w:spacing w:after="0"/>
              <w:rPr>
                <w:sz w:val="20"/>
                <w:szCs w:val="20"/>
                <w:color w:val="auto"/>
              </w:rPr>
            </w:pPr>
            <w:r>
              <w:rPr>
                <w:rFonts w:ascii="Arial" w:cs="Arial" w:eastAsia="Arial" w:hAnsi="Arial"/>
                <w:sz w:val="16"/>
                <w:szCs w:val="16"/>
                <w:color w:val="auto"/>
              </w:rPr>
              <w:t>6,596,448</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16,240</w:t>
            </w:r>
            <w:r>
              <w:rPr>
                <w:rFonts w:ascii="Arial" w:cs="Arial" w:eastAsia="Arial" w:hAnsi="Arial"/>
                <w:sz w:val="24"/>
                <w:szCs w:val="24"/>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6"/>
                <w:szCs w:val="16"/>
                <w:color w:val="auto"/>
              </w:rPr>
              <w:t>1,154,826</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jc w:val="right"/>
              <w:ind w:right="4"/>
              <w:spacing w:after="0" w:line="253" w:lineRule="exact"/>
              <w:rPr>
                <w:sz w:val="20"/>
                <w:szCs w:val="20"/>
                <w:color w:val="auto"/>
              </w:rPr>
            </w:pPr>
            <w:r>
              <w:rPr>
                <w:rFonts w:ascii="Arial" w:cs="Arial" w:eastAsia="Arial" w:hAnsi="Arial"/>
                <w:sz w:val="16"/>
                <w:szCs w:val="16"/>
                <w:color w:val="auto"/>
              </w:rPr>
              <w:t>11,339</w:t>
            </w:r>
            <w:r>
              <w:rPr>
                <w:rFonts w:ascii="Arial" w:cs="Arial" w:eastAsia="Arial" w:hAnsi="Arial"/>
                <w:sz w:val="24"/>
                <w:szCs w:val="24"/>
                <w:color w:val="auto"/>
                <w:vertAlign w:val="superscript"/>
              </w:rPr>
              <w:t>(10)</w:t>
            </w:r>
          </w:p>
        </w:tc>
        <w:tc>
          <w:tcPr>
            <w:tcW w:w="1000" w:type="dxa"/>
            <w:vAlign w:val="bottom"/>
          </w:tcPr>
          <w:p>
            <w:pPr>
              <w:jc w:val="right"/>
              <w:spacing w:after="0"/>
              <w:rPr>
                <w:sz w:val="20"/>
                <w:szCs w:val="20"/>
                <w:color w:val="auto"/>
              </w:rPr>
            </w:pPr>
            <w:r>
              <w:rPr>
                <w:rFonts w:ascii="Arial" w:cs="Arial" w:eastAsia="Arial" w:hAnsi="Arial"/>
                <w:sz w:val="16"/>
                <w:szCs w:val="16"/>
                <w:color w:val="auto"/>
              </w:rPr>
              <w:t>806,316</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Pr>
          <w:p>
            <w:pPr>
              <w:jc w:val="right"/>
              <w:ind w:right="24"/>
              <w:spacing w:after="0" w:line="253" w:lineRule="exact"/>
              <w:rPr>
                <w:sz w:val="20"/>
                <w:szCs w:val="20"/>
                <w:color w:val="auto"/>
              </w:rPr>
            </w:pPr>
            <w:r>
              <w:rPr>
                <w:rFonts w:ascii="Arial" w:cs="Arial" w:eastAsia="Arial" w:hAnsi="Arial"/>
                <w:sz w:val="16"/>
                <w:szCs w:val="16"/>
                <w:color w:val="auto"/>
              </w:rPr>
              <w:t>13,005</w:t>
            </w:r>
            <w:r>
              <w:rPr>
                <w:rFonts w:ascii="Arial" w:cs="Arial" w:eastAsia="Arial" w:hAnsi="Arial"/>
                <w:sz w:val="24"/>
                <w:szCs w:val="24"/>
                <w:color w:val="auto"/>
                <w:vertAlign w:val="superscript"/>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924,786</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97,444</w:t>
            </w:r>
            <w:r>
              <w:rPr>
                <w:rFonts w:ascii="Arial" w:cs="Arial" w:eastAsia="Arial" w:hAnsi="Arial"/>
                <w:sz w:val="24"/>
                <w:szCs w:val="24"/>
                <w:color w:val="auto"/>
                <w:vertAlign w:val="superscript"/>
              </w:rPr>
              <w:t>(12)</w:t>
            </w:r>
          </w:p>
        </w:tc>
        <w:tc>
          <w:tcPr>
            <w:tcW w:w="980" w:type="dxa"/>
            <w:vAlign w:val="bottom"/>
          </w:tcPr>
          <w:p>
            <w:pPr>
              <w:jc w:val="right"/>
              <w:spacing w:after="0"/>
              <w:rPr>
                <w:sz w:val="20"/>
                <w:szCs w:val="20"/>
                <w:color w:val="auto"/>
              </w:rPr>
            </w:pPr>
            <w:r>
              <w:rPr>
                <w:rFonts w:ascii="Arial" w:cs="Arial" w:eastAsia="Arial" w:hAnsi="Arial"/>
                <w:sz w:val="16"/>
                <w:szCs w:val="16"/>
                <w:color w:val="auto"/>
              </w:rPr>
              <w:t>6,929,243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68,036</w:t>
            </w:r>
            <w:r>
              <w:rPr>
                <w:rFonts w:ascii="Arial" w:cs="Arial" w:eastAsia="Arial" w:hAnsi="Arial"/>
                <w:sz w:val="24"/>
                <w:szCs w:val="24"/>
                <w:color w:val="auto"/>
                <w:vertAlign w:val="superscript"/>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4,838,040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460" w:type="dxa"/>
            <w:vAlign w:val="bottom"/>
            <w:tcBorders>
              <w:bottom w:val="single" w:sz="8" w:color="4C4C4C"/>
            </w:tcBorders>
          </w:tcPr>
          <w:p>
            <w:pPr>
              <w:spacing w:after="0"/>
              <w:rPr>
                <w:sz w:val="17"/>
                <w:szCs w:val="17"/>
                <w:color w:val="auto"/>
              </w:rPr>
            </w:pPr>
          </w:p>
        </w:tc>
        <w:tc>
          <w:tcPr>
            <w:tcW w:w="820" w:type="dxa"/>
            <w:vAlign w:val="bottom"/>
            <w:tcBorders>
              <w:bottom w:val="single" w:sz="8" w:color="4C4C4C"/>
            </w:tcBorders>
          </w:tcPr>
          <w:p>
            <w:pPr>
              <w:spacing w:after="0"/>
              <w:rPr>
                <w:sz w:val="17"/>
                <w:szCs w:val="17"/>
                <w:color w:val="auto"/>
              </w:rPr>
            </w:pPr>
          </w:p>
        </w:tc>
        <w:tc>
          <w:tcPr>
            <w:tcW w:w="1000" w:type="dxa"/>
            <w:vAlign w:val="bottom"/>
            <w:tcBorders>
              <w:bottom w:val="single" w:sz="8" w:color="4C4C4C"/>
            </w:tcBorders>
          </w:tcPr>
          <w:p>
            <w:pPr>
              <w:spacing w:after="0"/>
              <w:rPr>
                <w:sz w:val="17"/>
                <w:szCs w:val="17"/>
                <w:color w:val="auto"/>
              </w:rPr>
            </w:pPr>
          </w:p>
        </w:tc>
        <w:tc>
          <w:tcPr>
            <w:tcW w:w="940" w:type="dxa"/>
            <w:vAlign w:val="bottom"/>
            <w:tcBorders>
              <w:bottom w:val="single" w:sz="8" w:color="4C4C4C"/>
            </w:tcBorders>
          </w:tcPr>
          <w:p>
            <w:pPr>
              <w:spacing w:after="0"/>
              <w:rPr>
                <w:sz w:val="17"/>
                <w:szCs w:val="17"/>
                <w:color w:val="auto"/>
              </w:rPr>
            </w:pPr>
          </w:p>
        </w:tc>
        <w:tc>
          <w:tcPr>
            <w:tcW w:w="660" w:type="dxa"/>
            <w:vAlign w:val="bottom"/>
            <w:tcBorders>
              <w:bottom w:val="single" w:sz="8" w:color="4C4C4C"/>
            </w:tcBorders>
          </w:tcPr>
          <w:p>
            <w:pPr>
              <w:spacing w:after="0"/>
              <w:rPr>
                <w:sz w:val="17"/>
                <w:szCs w:val="17"/>
                <w:color w:val="auto"/>
              </w:rPr>
            </w:pPr>
          </w:p>
        </w:tc>
        <w:tc>
          <w:tcPr>
            <w:tcW w:w="700" w:type="dxa"/>
            <w:vAlign w:val="bottom"/>
            <w:tcBorders>
              <w:bottom w:val="single" w:sz="8" w:color="4C4C4C"/>
            </w:tcBorders>
          </w:tcPr>
          <w:p>
            <w:pPr>
              <w:spacing w:after="0"/>
              <w:rPr>
                <w:sz w:val="17"/>
                <w:szCs w:val="17"/>
                <w:color w:val="auto"/>
              </w:rPr>
            </w:pPr>
          </w:p>
        </w:tc>
        <w:tc>
          <w:tcPr>
            <w:tcW w:w="140" w:type="dxa"/>
            <w:vAlign w:val="bottom"/>
            <w:tcBorders>
              <w:bottom w:val="single" w:sz="8" w:color="4C4C4C"/>
            </w:tcBorders>
          </w:tcPr>
          <w:p>
            <w:pPr>
              <w:spacing w:after="0"/>
              <w:rPr>
                <w:sz w:val="17"/>
                <w:szCs w:val="17"/>
                <w:color w:val="auto"/>
              </w:rPr>
            </w:pP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Borders>
              <w:bottom w:val="single" w:sz="8" w:color="4C4C4C"/>
            </w:tcBorders>
          </w:tcPr>
          <w:p>
            <w:pPr>
              <w:spacing w:after="0"/>
              <w:rPr>
                <w:sz w:val="17"/>
                <w:szCs w:val="17"/>
                <w:color w:val="auto"/>
              </w:rPr>
            </w:pPr>
          </w:p>
        </w:tc>
        <w:tc>
          <w:tcPr>
            <w:tcW w:w="1000" w:type="dxa"/>
            <w:vAlign w:val="bottom"/>
            <w:tcBorders>
              <w:bottom w:val="single" w:sz="8" w:color="4C4C4C"/>
            </w:tcBorders>
          </w:tcPr>
          <w:p>
            <w:pPr>
              <w:spacing w:after="0"/>
              <w:rPr>
                <w:sz w:val="17"/>
                <w:szCs w:val="17"/>
                <w:color w:val="auto"/>
              </w:rPr>
            </w:pPr>
          </w:p>
        </w:tc>
        <w:tc>
          <w:tcPr>
            <w:tcW w:w="1300" w:type="dxa"/>
            <w:vAlign w:val="bottom"/>
            <w:tcBorders>
              <w:bottom w:val="single" w:sz="8" w:color="4C4C4C"/>
            </w:tcBorders>
          </w:tcPr>
          <w:p>
            <w:pPr>
              <w:jc w:val="right"/>
              <w:ind w:right="10"/>
              <w:spacing w:after="0" w:line="201" w:lineRule="exact"/>
              <w:rPr>
                <w:sz w:val="20"/>
                <w:szCs w:val="20"/>
                <w:color w:val="auto"/>
              </w:rPr>
            </w:pPr>
            <w:r>
              <w:rPr>
                <w:rFonts w:ascii="Arial" w:cs="Arial" w:eastAsia="Arial" w:hAnsi="Arial"/>
                <w:sz w:val="15"/>
                <w:szCs w:val="15"/>
                <w:color w:val="auto"/>
              </w:rPr>
              <w:t>78,030</w:t>
            </w:r>
            <w:r>
              <w:rPr>
                <w:rFonts w:ascii="Arial" w:cs="Arial" w:eastAsia="Arial" w:hAnsi="Arial"/>
                <w:sz w:val="23"/>
                <w:szCs w:val="23"/>
                <w:color w:val="auto"/>
                <w:vertAlign w:val="superscript"/>
              </w:rPr>
              <w:t>(14)</w:t>
            </w:r>
          </w:p>
        </w:tc>
        <w:tc>
          <w:tcPr>
            <w:tcW w:w="98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5,548,713</w:t>
            </w:r>
          </w:p>
        </w:tc>
        <w:tc>
          <w:tcPr>
            <w:tcW w:w="6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460" w:type="dxa"/>
            <w:vAlign w:val="bottom"/>
          </w:tcPr>
          <w:p>
            <w:pPr>
              <w:ind w:left="80"/>
              <w:spacing w:after="0"/>
              <w:rPr>
                <w:sz w:val="20"/>
                <w:szCs w:val="20"/>
                <w:color w:val="auto"/>
              </w:rPr>
            </w:pPr>
            <w:r>
              <w:rPr>
                <w:rFonts w:ascii="Arial" w:cs="Arial" w:eastAsia="Arial" w:hAnsi="Arial"/>
                <w:sz w:val="16"/>
                <w:szCs w:val="16"/>
                <w:b w:val="1"/>
                <w:bCs w:val="1"/>
                <w:color w:val="1D4F90"/>
              </w:rPr>
              <w:t>R. Andrew Watts</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5,083</w:t>
            </w:r>
            <w:r>
              <w:rPr>
                <w:rFonts w:ascii="Arial" w:cs="Arial" w:eastAsia="Arial" w:hAnsi="Arial"/>
                <w:sz w:val="24"/>
                <w:szCs w:val="24"/>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361,452</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30,498</w:t>
            </w:r>
            <w:r>
              <w:rPr>
                <w:rFonts w:ascii="Arial" w:cs="Arial" w:eastAsia="Arial" w:hAnsi="Arial"/>
                <w:sz w:val="24"/>
                <w:szCs w:val="24"/>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6"/>
                <w:szCs w:val="16"/>
                <w:color w:val="auto"/>
              </w:rPr>
              <w:t>2,168,713</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3,607</w:t>
            </w:r>
            <w:r>
              <w:rPr>
                <w:rFonts w:ascii="Arial" w:cs="Arial" w:eastAsia="Arial" w:hAnsi="Arial"/>
                <w:sz w:val="24"/>
                <w:szCs w:val="24"/>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6"/>
                <w:szCs w:val="16"/>
                <w:color w:val="auto"/>
              </w:rPr>
              <w:t>256,494</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21,644</w:t>
            </w:r>
            <w:r>
              <w:rPr>
                <w:rFonts w:ascii="Arial" w:cs="Arial" w:eastAsia="Arial" w:hAnsi="Arial"/>
                <w:sz w:val="24"/>
                <w:szCs w:val="24"/>
                <w:color w:val="auto"/>
                <w:vertAlign w:val="superscript"/>
              </w:rPr>
              <w:t>(8)</w:t>
            </w:r>
          </w:p>
        </w:tc>
        <w:tc>
          <w:tcPr>
            <w:tcW w:w="1000" w:type="dxa"/>
            <w:vAlign w:val="bottom"/>
          </w:tcPr>
          <w:p>
            <w:pPr>
              <w:jc w:val="right"/>
              <w:spacing w:after="0"/>
              <w:rPr>
                <w:sz w:val="20"/>
                <w:szCs w:val="20"/>
                <w:color w:val="auto"/>
              </w:rPr>
            </w:pPr>
            <w:r>
              <w:rPr>
                <w:rFonts w:ascii="Arial" w:cs="Arial" w:eastAsia="Arial" w:hAnsi="Arial"/>
                <w:sz w:val="16"/>
                <w:szCs w:val="16"/>
                <w:color w:val="auto"/>
              </w:rPr>
              <w:t>1,539,105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4,601</w:t>
            </w:r>
            <w:r>
              <w:rPr>
                <w:rFonts w:ascii="Arial" w:cs="Arial" w:eastAsia="Arial" w:hAnsi="Arial"/>
                <w:sz w:val="24"/>
                <w:szCs w:val="24"/>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6"/>
                <w:szCs w:val="16"/>
                <w:color w:val="auto"/>
              </w:rPr>
              <w:t>327,177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1/1/2022</w:t>
            </w:r>
          </w:p>
        </w:tc>
        <w:tc>
          <w:tcPr>
            <w:tcW w:w="1020" w:type="dxa"/>
            <w:vAlign w:val="bottom"/>
          </w:tcPr>
          <w:p>
            <w:pPr>
              <w:jc w:val="right"/>
              <w:ind w:right="4"/>
              <w:spacing w:after="0" w:line="253" w:lineRule="exact"/>
              <w:rPr>
                <w:sz w:val="20"/>
                <w:szCs w:val="20"/>
                <w:color w:val="auto"/>
              </w:rPr>
            </w:pPr>
            <w:r>
              <w:rPr>
                <w:rFonts w:ascii="Arial" w:cs="Arial" w:eastAsia="Arial" w:hAnsi="Arial"/>
                <w:sz w:val="16"/>
                <w:szCs w:val="16"/>
                <w:color w:val="auto"/>
              </w:rPr>
              <w:t>28,457</w:t>
            </w:r>
            <w:r>
              <w:rPr>
                <w:rFonts w:ascii="Arial" w:cs="Arial" w:eastAsia="Arial" w:hAnsi="Arial"/>
                <w:sz w:val="24"/>
                <w:szCs w:val="24"/>
                <w:color w:val="auto"/>
                <w:vertAlign w:val="superscript"/>
              </w:rPr>
              <w:t>(15)</w:t>
            </w:r>
          </w:p>
        </w:tc>
        <w:tc>
          <w:tcPr>
            <w:tcW w:w="1000" w:type="dxa"/>
            <w:vAlign w:val="bottom"/>
          </w:tcPr>
          <w:p>
            <w:pPr>
              <w:jc w:val="right"/>
              <w:spacing w:after="0"/>
              <w:rPr>
                <w:sz w:val="20"/>
                <w:szCs w:val="20"/>
                <w:color w:val="auto"/>
              </w:rPr>
            </w:pPr>
            <w:r>
              <w:rPr>
                <w:rFonts w:ascii="Arial" w:cs="Arial" w:eastAsia="Arial" w:hAnsi="Arial"/>
                <w:sz w:val="16"/>
                <w:szCs w:val="16"/>
                <w:color w:val="auto"/>
              </w:rPr>
              <w:t>2,023,577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jc w:val="right"/>
              <w:ind w:right="4"/>
              <w:spacing w:after="0" w:line="253" w:lineRule="exact"/>
              <w:rPr>
                <w:sz w:val="20"/>
                <w:szCs w:val="20"/>
                <w:color w:val="auto"/>
              </w:rPr>
            </w:pPr>
            <w:r>
              <w:rPr>
                <w:rFonts w:ascii="Arial" w:cs="Arial" w:eastAsia="Arial" w:hAnsi="Arial"/>
                <w:sz w:val="16"/>
                <w:szCs w:val="16"/>
                <w:color w:val="auto"/>
              </w:rPr>
              <w:t>2,645</w:t>
            </w:r>
            <w:r>
              <w:rPr>
                <w:rFonts w:ascii="Arial" w:cs="Arial" w:eastAsia="Arial" w:hAnsi="Arial"/>
                <w:sz w:val="24"/>
                <w:szCs w:val="24"/>
                <w:color w:val="auto"/>
                <w:vertAlign w:val="superscript"/>
              </w:rPr>
              <w:t>(10)</w:t>
            </w:r>
          </w:p>
        </w:tc>
        <w:tc>
          <w:tcPr>
            <w:tcW w:w="1000" w:type="dxa"/>
            <w:vAlign w:val="bottom"/>
          </w:tcPr>
          <w:p>
            <w:pPr>
              <w:jc w:val="right"/>
              <w:spacing w:after="0"/>
              <w:rPr>
                <w:sz w:val="20"/>
                <w:szCs w:val="20"/>
                <w:color w:val="auto"/>
              </w:rPr>
            </w:pPr>
            <w:r>
              <w:rPr>
                <w:rFonts w:ascii="Arial" w:cs="Arial" w:eastAsia="Arial" w:hAnsi="Arial"/>
                <w:sz w:val="16"/>
                <w:szCs w:val="16"/>
                <w:color w:val="auto"/>
              </w:rPr>
              <w:t>188,086</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Pr>
          <w:p>
            <w:pPr>
              <w:jc w:val="right"/>
              <w:ind w:right="24"/>
              <w:spacing w:after="0" w:line="253" w:lineRule="exact"/>
              <w:rPr>
                <w:sz w:val="20"/>
                <w:szCs w:val="20"/>
                <w:color w:val="auto"/>
              </w:rPr>
            </w:pPr>
            <w:r>
              <w:rPr>
                <w:rFonts w:ascii="Arial" w:cs="Arial" w:eastAsia="Arial" w:hAnsi="Arial"/>
                <w:sz w:val="16"/>
                <w:szCs w:val="16"/>
                <w:color w:val="auto"/>
              </w:rPr>
              <w:t>4,335</w:t>
            </w:r>
            <w:r>
              <w:rPr>
                <w:rFonts w:ascii="Arial" w:cs="Arial" w:eastAsia="Arial" w:hAnsi="Arial"/>
                <w:sz w:val="24"/>
                <w:szCs w:val="24"/>
                <w:color w:val="auto"/>
                <w:vertAlign w:val="superscript"/>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308,262</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27,608</w:t>
            </w:r>
            <w:r>
              <w:rPr>
                <w:rFonts w:ascii="Arial" w:cs="Arial" w:eastAsia="Arial" w:hAnsi="Arial"/>
                <w:sz w:val="24"/>
                <w:szCs w:val="24"/>
                <w:color w:val="auto"/>
                <w:vertAlign w:val="superscript"/>
              </w:rPr>
              <w:t>(12)</w:t>
            </w:r>
          </w:p>
        </w:tc>
        <w:tc>
          <w:tcPr>
            <w:tcW w:w="980" w:type="dxa"/>
            <w:vAlign w:val="bottom"/>
          </w:tcPr>
          <w:p>
            <w:pPr>
              <w:jc w:val="right"/>
              <w:spacing w:after="0"/>
              <w:rPr>
                <w:sz w:val="20"/>
                <w:szCs w:val="20"/>
                <w:color w:val="auto"/>
              </w:rPr>
            </w:pPr>
            <w:r>
              <w:rPr>
                <w:rFonts w:ascii="Arial" w:cs="Arial" w:eastAsia="Arial" w:hAnsi="Arial"/>
                <w:sz w:val="16"/>
                <w:szCs w:val="16"/>
                <w:color w:val="auto"/>
              </w:rPr>
              <w:t>1,963,205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15,874</w:t>
            </w:r>
            <w:r>
              <w:rPr>
                <w:rFonts w:ascii="Arial" w:cs="Arial" w:eastAsia="Arial" w:hAnsi="Arial"/>
                <w:sz w:val="24"/>
                <w:szCs w:val="24"/>
                <w:color w:val="auto"/>
                <w:vertAlign w:val="superscript"/>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1,128,800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460" w:type="dxa"/>
            <w:vAlign w:val="bottom"/>
            <w:tcBorders>
              <w:bottom w:val="single" w:sz="8" w:color="4C4C4C"/>
            </w:tcBorders>
          </w:tcPr>
          <w:p>
            <w:pPr>
              <w:spacing w:after="0"/>
              <w:rPr>
                <w:sz w:val="17"/>
                <w:szCs w:val="17"/>
                <w:color w:val="auto"/>
              </w:rPr>
            </w:pPr>
          </w:p>
        </w:tc>
        <w:tc>
          <w:tcPr>
            <w:tcW w:w="820" w:type="dxa"/>
            <w:vAlign w:val="bottom"/>
            <w:tcBorders>
              <w:bottom w:val="single" w:sz="8" w:color="4C4C4C"/>
            </w:tcBorders>
          </w:tcPr>
          <w:p>
            <w:pPr>
              <w:spacing w:after="0"/>
              <w:rPr>
                <w:sz w:val="17"/>
                <w:szCs w:val="17"/>
                <w:color w:val="auto"/>
              </w:rPr>
            </w:pPr>
          </w:p>
        </w:tc>
        <w:tc>
          <w:tcPr>
            <w:tcW w:w="1000" w:type="dxa"/>
            <w:vAlign w:val="bottom"/>
            <w:tcBorders>
              <w:bottom w:val="single" w:sz="8" w:color="4C4C4C"/>
            </w:tcBorders>
          </w:tcPr>
          <w:p>
            <w:pPr>
              <w:spacing w:after="0"/>
              <w:rPr>
                <w:sz w:val="17"/>
                <w:szCs w:val="17"/>
                <w:color w:val="auto"/>
              </w:rPr>
            </w:pPr>
          </w:p>
        </w:tc>
        <w:tc>
          <w:tcPr>
            <w:tcW w:w="940" w:type="dxa"/>
            <w:vAlign w:val="bottom"/>
            <w:tcBorders>
              <w:bottom w:val="single" w:sz="8" w:color="4C4C4C"/>
            </w:tcBorders>
          </w:tcPr>
          <w:p>
            <w:pPr>
              <w:spacing w:after="0"/>
              <w:rPr>
                <w:sz w:val="17"/>
                <w:szCs w:val="17"/>
                <w:color w:val="auto"/>
              </w:rPr>
            </w:pPr>
          </w:p>
        </w:tc>
        <w:tc>
          <w:tcPr>
            <w:tcW w:w="660" w:type="dxa"/>
            <w:vAlign w:val="bottom"/>
            <w:tcBorders>
              <w:bottom w:val="single" w:sz="8" w:color="4C4C4C"/>
            </w:tcBorders>
          </w:tcPr>
          <w:p>
            <w:pPr>
              <w:spacing w:after="0"/>
              <w:rPr>
                <w:sz w:val="17"/>
                <w:szCs w:val="17"/>
                <w:color w:val="auto"/>
              </w:rPr>
            </w:pPr>
          </w:p>
        </w:tc>
        <w:tc>
          <w:tcPr>
            <w:tcW w:w="700" w:type="dxa"/>
            <w:vAlign w:val="bottom"/>
            <w:tcBorders>
              <w:bottom w:val="single" w:sz="8" w:color="4C4C4C"/>
            </w:tcBorders>
          </w:tcPr>
          <w:p>
            <w:pPr>
              <w:spacing w:after="0"/>
              <w:rPr>
                <w:sz w:val="17"/>
                <w:szCs w:val="17"/>
                <w:color w:val="auto"/>
              </w:rPr>
            </w:pPr>
          </w:p>
        </w:tc>
        <w:tc>
          <w:tcPr>
            <w:tcW w:w="140" w:type="dxa"/>
            <w:vAlign w:val="bottom"/>
            <w:tcBorders>
              <w:bottom w:val="single" w:sz="8" w:color="4C4C4C"/>
            </w:tcBorders>
          </w:tcPr>
          <w:p>
            <w:pPr>
              <w:spacing w:after="0"/>
              <w:rPr>
                <w:sz w:val="17"/>
                <w:szCs w:val="17"/>
                <w:color w:val="auto"/>
              </w:rPr>
            </w:pP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Borders>
              <w:bottom w:val="single" w:sz="8" w:color="4C4C4C"/>
            </w:tcBorders>
          </w:tcPr>
          <w:p>
            <w:pPr>
              <w:spacing w:after="0"/>
              <w:rPr>
                <w:sz w:val="17"/>
                <w:szCs w:val="17"/>
                <w:color w:val="auto"/>
              </w:rPr>
            </w:pPr>
          </w:p>
        </w:tc>
        <w:tc>
          <w:tcPr>
            <w:tcW w:w="1000" w:type="dxa"/>
            <w:vAlign w:val="bottom"/>
            <w:tcBorders>
              <w:bottom w:val="single" w:sz="8" w:color="4C4C4C"/>
            </w:tcBorders>
          </w:tcPr>
          <w:p>
            <w:pPr>
              <w:spacing w:after="0"/>
              <w:rPr>
                <w:sz w:val="17"/>
                <w:szCs w:val="17"/>
                <w:color w:val="auto"/>
              </w:rPr>
            </w:pPr>
          </w:p>
        </w:tc>
        <w:tc>
          <w:tcPr>
            <w:tcW w:w="1300" w:type="dxa"/>
            <w:vAlign w:val="bottom"/>
            <w:tcBorders>
              <w:bottom w:val="single" w:sz="8" w:color="4C4C4C"/>
            </w:tcBorders>
          </w:tcPr>
          <w:p>
            <w:pPr>
              <w:jc w:val="right"/>
              <w:ind w:right="10"/>
              <w:spacing w:after="0" w:line="201" w:lineRule="exact"/>
              <w:rPr>
                <w:sz w:val="20"/>
                <w:szCs w:val="20"/>
                <w:color w:val="auto"/>
              </w:rPr>
            </w:pPr>
            <w:r>
              <w:rPr>
                <w:rFonts w:ascii="Arial" w:cs="Arial" w:eastAsia="Arial" w:hAnsi="Arial"/>
                <w:sz w:val="15"/>
                <w:szCs w:val="15"/>
                <w:color w:val="auto"/>
              </w:rPr>
              <w:t>26,010</w:t>
            </w:r>
            <w:r>
              <w:rPr>
                <w:rFonts w:ascii="Arial" w:cs="Arial" w:eastAsia="Arial" w:hAnsi="Arial"/>
                <w:sz w:val="23"/>
                <w:szCs w:val="23"/>
                <w:color w:val="auto"/>
                <w:vertAlign w:val="superscript"/>
              </w:rPr>
              <w:t>(14)</w:t>
            </w:r>
          </w:p>
        </w:tc>
        <w:tc>
          <w:tcPr>
            <w:tcW w:w="98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1,849,571</w:t>
            </w:r>
          </w:p>
        </w:tc>
        <w:tc>
          <w:tcPr>
            <w:tcW w:w="6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460" w:type="dxa"/>
            <w:vAlign w:val="bottom"/>
          </w:tcPr>
          <w:p>
            <w:pPr>
              <w:ind w:left="80"/>
              <w:spacing w:after="0"/>
              <w:rPr>
                <w:sz w:val="20"/>
                <w:szCs w:val="20"/>
                <w:color w:val="auto"/>
              </w:rPr>
            </w:pPr>
            <w:r>
              <w:rPr>
                <w:rFonts w:ascii="Arial" w:cs="Arial" w:eastAsia="Arial" w:hAnsi="Arial"/>
                <w:sz w:val="16"/>
                <w:szCs w:val="16"/>
                <w:b w:val="1"/>
                <w:bCs w:val="1"/>
                <w:color w:val="1D4F90"/>
              </w:rPr>
              <w:t>P. Barrett Brown</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2,541</w:t>
            </w:r>
            <w:r>
              <w:rPr>
                <w:rFonts w:ascii="Arial" w:cs="Arial" w:eastAsia="Arial" w:hAnsi="Arial"/>
                <w:sz w:val="24"/>
                <w:szCs w:val="24"/>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180,691</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2/25/2019</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15,248</w:t>
            </w:r>
            <w:r>
              <w:rPr>
                <w:rFonts w:ascii="Arial" w:cs="Arial" w:eastAsia="Arial" w:hAnsi="Arial"/>
                <w:sz w:val="24"/>
                <w:szCs w:val="24"/>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6"/>
                <w:szCs w:val="16"/>
                <w:color w:val="auto"/>
              </w:rPr>
              <w:t>1,084,285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2,576</w:t>
            </w:r>
            <w:r>
              <w:rPr>
                <w:rFonts w:ascii="Arial" w:cs="Arial" w:eastAsia="Arial" w:hAnsi="Arial"/>
                <w:sz w:val="24"/>
                <w:szCs w:val="24"/>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6"/>
                <w:szCs w:val="16"/>
                <w:color w:val="auto"/>
              </w:rPr>
              <w:t>183,179</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2/21/2020</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15,460</w:t>
            </w:r>
            <w:r>
              <w:rPr>
                <w:rFonts w:ascii="Arial" w:cs="Arial" w:eastAsia="Arial" w:hAnsi="Arial"/>
                <w:sz w:val="24"/>
                <w:szCs w:val="24"/>
                <w:color w:val="auto"/>
                <w:vertAlign w:val="superscript"/>
              </w:rPr>
              <w:t>(8)</w:t>
            </w:r>
          </w:p>
        </w:tc>
        <w:tc>
          <w:tcPr>
            <w:tcW w:w="1000" w:type="dxa"/>
            <w:vAlign w:val="bottom"/>
          </w:tcPr>
          <w:p>
            <w:pPr>
              <w:jc w:val="right"/>
              <w:spacing w:after="0"/>
              <w:rPr>
                <w:sz w:val="20"/>
                <w:szCs w:val="20"/>
                <w:color w:val="auto"/>
              </w:rPr>
            </w:pPr>
            <w:r>
              <w:rPr>
                <w:rFonts w:ascii="Arial" w:cs="Arial" w:eastAsia="Arial" w:hAnsi="Arial"/>
                <w:sz w:val="16"/>
                <w:szCs w:val="16"/>
                <w:color w:val="auto"/>
              </w:rPr>
              <w:t>1,099,361</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jc w:val="right"/>
              <w:ind w:right="64"/>
              <w:spacing w:after="0" w:line="253" w:lineRule="exact"/>
              <w:rPr>
                <w:sz w:val="20"/>
                <w:szCs w:val="20"/>
                <w:color w:val="auto"/>
              </w:rPr>
            </w:pPr>
            <w:r>
              <w:rPr>
                <w:rFonts w:ascii="Arial" w:cs="Arial" w:eastAsia="Arial" w:hAnsi="Arial"/>
                <w:sz w:val="16"/>
                <w:szCs w:val="16"/>
                <w:color w:val="auto"/>
              </w:rPr>
              <w:t>2,706</w:t>
            </w:r>
            <w:r>
              <w:rPr>
                <w:rFonts w:ascii="Arial" w:cs="Arial" w:eastAsia="Arial" w:hAnsi="Arial"/>
                <w:sz w:val="24"/>
                <w:szCs w:val="24"/>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6"/>
                <w:szCs w:val="16"/>
                <w:color w:val="auto"/>
              </w:rPr>
              <w:t>192,424</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1/1/2022</w:t>
            </w:r>
          </w:p>
        </w:tc>
        <w:tc>
          <w:tcPr>
            <w:tcW w:w="1020" w:type="dxa"/>
            <w:vAlign w:val="bottom"/>
          </w:tcPr>
          <w:p>
            <w:pPr>
              <w:jc w:val="right"/>
              <w:ind w:right="4"/>
              <w:spacing w:after="0" w:line="253" w:lineRule="exact"/>
              <w:rPr>
                <w:sz w:val="20"/>
                <w:szCs w:val="20"/>
                <w:color w:val="auto"/>
              </w:rPr>
            </w:pPr>
            <w:r>
              <w:rPr>
                <w:rFonts w:ascii="Arial" w:cs="Arial" w:eastAsia="Arial" w:hAnsi="Arial"/>
                <w:sz w:val="16"/>
                <w:szCs w:val="16"/>
                <w:color w:val="auto"/>
              </w:rPr>
              <w:t>28,457</w:t>
            </w:r>
            <w:r>
              <w:rPr>
                <w:rFonts w:ascii="Arial" w:cs="Arial" w:eastAsia="Arial" w:hAnsi="Arial"/>
                <w:sz w:val="24"/>
                <w:szCs w:val="24"/>
                <w:color w:val="auto"/>
                <w:vertAlign w:val="superscript"/>
              </w:rPr>
              <w:t>(15)</w:t>
            </w:r>
          </w:p>
        </w:tc>
        <w:tc>
          <w:tcPr>
            <w:tcW w:w="1000" w:type="dxa"/>
            <w:vAlign w:val="bottom"/>
          </w:tcPr>
          <w:p>
            <w:pPr>
              <w:jc w:val="right"/>
              <w:spacing w:after="0"/>
              <w:rPr>
                <w:sz w:val="20"/>
                <w:szCs w:val="20"/>
                <w:color w:val="auto"/>
              </w:rPr>
            </w:pPr>
            <w:r>
              <w:rPr>
                <w:rFonts w:ascii="Arial" w:cs="Arial" w:eastAsia="Arial" w:hAnsi="Arial"/>
                <w:sz w:val="16"/>
                <w:szCs w:val="16"/>
                <w:color w:val="auto"/>
              </w:rPr>
              <w:t>2,023,577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jc w:val="right"/>
              <w:ind w:right="4"/>
              <w:spacing w:after="0" w:line="253" w:lineRule="exact"/>
              <w:rPr>
                <w:sz w:val="20"/>
                <w:szCs w:val="20"/>
                <w:color w:val="auto"/>
              </w:rPr>
            </w:pPr>
            <w:r>
              <w:rPr>
                <w:rFonts w:ascii="Arial" w:cs="Arial" w:eastAsia="Arial" w:hAnsi="Arial"/>
                <w:sz w:val="16"/>
                <w:szCs w:val="16"/>
                <w:color w:val="auto"/>
              </w:rPr>
              <w:t>1,889</w:t>
            </w:r>
            <w:r>
              <w:rPr>
                <w:rFonts w:ascii="Arial" w:cs="Arial" w:eastAsia="Arial" w:hAnsi="Arial"/>
                <w:sz w:val="24"/>
                <w:szCs w:val="24"/>
                <w:color w:val="auto"/>
                <w:vertAlign w:val="superscript"/>
              </w:rPr>
              <w:t>(10)</w:t>
            </w:r>
          </w:p>
        </w:tc>
        <w:tc>
          <w:tcPr>
            <w:tcW w:w="1000" w:type="dxa"/>
            <w:vAlign w:val="bottom"/>
          </w:tcPr>
          <w:p>
            <w:pPr>
              <w:jc w:val="right"/>
              <w:spacing w:after="0"/>
              <w:rPr>
                <w:sz w:val="20"/>
                <w:szCs w:val="20"/>
                <w:color w:val="auto"/>
              </w:rPr>
            </w:pPr>
            <w:r>
              <w:rPr>
                <w:rFonts w:ascii="Arial" w:cs="Arial" w:eastAsia="Arial" w:hAnsi="Arial"/>
                <w:sz w:val="16"/>
                <w:szCs w:val="16"/>
                <w:color w:val="auto"/>
              </w:rPr>
              <w:t>134,327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Pr>
          <w:p>
            <w:pPr>
              <w:jc w:val="right"/>
              <w:ind w:right="24"/>
              <w:spacing w:after="0" w:line="253" w:lineRule="exact"/>
              <w:rPr>
                <w:sz w:val="20"/>
                <w:szCs w:val="20"/>
                <w:color w:val="auto"/>
              </w:rPr>
            </w:pPr>
            <w:r>
              <w:rPr>
                <w:rFonts w:ascii="Arial" w:cs="Arial" w:eastAsia="Arial" w:hAnsi="Arial"/>
                <w:sz w:val="16"/>
                <w:szCs w:val="16"/>
                <w:color w:val="auto"/>
              </w:rPr>
              <w:t>2,167</w:t>
            </w:r>
            <w:r>
              <w:rPr>
                <w:rFonts w:ascii="Arial" w:cs="Arial" w:eastAsia="Arial" w:hAnsi="Arial"/>
                <w:sz w:val="24"/>
                <w:szCs w:val="24"/>
                <w:color w:val="auto"/>
                <w:vertAlign w:val="superscript"/>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154,095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2/23/2021</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16,240</w:t>
            </w:r>
            <w:r>
              <w:rPr>
                <w:rFonts w:ascii="Arial" w:cs="Arial" w:eastAsia="Arial" w:hAnsi="Arial"/>
                <w:sz w:val="24"/>
                <w:szCs w:val="24"/>
                <w:color w:val="auto"/>
                <w:vertAlign w:val="superscript"/>
              </w:rPr>
              <w:t>(12)</w:t>
            </w:r>
          </w:p>
        </w:tc>
        <w:tc>
          <w:tcPr>
            <w:tcW w:w="980" w:type="dxa"/>
            <w:vAlign w:val="bottom"/>
          </w:tcPr>
          <w:p>
            <w:pPr>
              <w:jc w:val="right"/>
              <w:spacing w:after="0"/>
              <w:rPr>
                <w:sz w:val="20"/>
                <w:szCs w:val="20"/>
                <w:color w:val="auto"/>
              </w:rPr>
            </w:pPr>
            <w:r>
              <w:rPr>
                <w:rFonts w:ascii="Arial" w:cs="Arial" w:eastAsia="Arial" w:hAnsi="Arial"/>
                <w:sz w:val="16"/>
                <w:szCs w:val="16"/>
                <w:color w:val="auto"/>
              </w:rPr>
              <w:t>1,154,826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2/21/2022</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00" w:type="dxa"/>
            <w:vAlign w:val="bottom"/>
          </w:tcPr>
          <w:p>
            <w:pPr>
              <w:jc w:val="right"/>
              <w:ind w:right="10"/>
              <w:spacing w:after="0" w:line="253" w:lineRule="exact"/>
              <w:rPr>
                <w:sz w:val="20"/>
                <w:szCs w:val="20"/>
                <w:color w:val="auto"/>
              </w:rPr>
            </w:pPr>
            <w:r>
              <w:rPr>
                <w:rFonts w:ascii="Arial" w:cs="Arial" w:eastAsia="Arial" w:hAnsi="Arial"/>
                <w:sz w:val="16"/>
                <w:szCs w:val="16"/>
                <w:color w:val="auto"/>
              </w:rPr>
              <w:t>11,338</w:t>
            </w:r>
            <w:r>
              <w:rPr>
                <w:rFonts w:ascii="Arial" w:cs="Arial" w:eastAsia="Arial" w:hAnsi="Arial"/>
                <w:sz w:val="24"/>
                <w:szCs w:val="24"/>
                <w:color w:val="auto"/>
                <w:vertAlign w:val="superscript"/>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806,245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460" w:type="dxa"/>
            <w:vAlign w:val="bottom"/>
            <w:tcBorders>
              <w:bottom w:val="single" w:sz="8" w:color="C6093B"/>
            </w:tcBorders>
          </w:tcPr>
          <w:p>
            <w:pPr>
              <w:spacing w:after="0"/>
              <w:rPr>
                <w:sz w:val="18"/>
                <w:szCs w:val="18"/>
                <w:color w:val="auto"/>
              </w:rPr>
            </w:pPr>
          </w:p>
        </w:tc>
        <w:tc>
          <w:tcPr>
            <w:tcW w:w="820" w:type="dxa"/>
            <w:vAlign w:val="bottom"/>
            <w:tcBorders>
              <w:bottom w:val="single" w:sz="8" w:color="C6093B"/>
            </w:tcBorders>
          </w:tcPr>
          <w:p>
            <w:pPr>
              <w:spacing w:after="0"/>
              <w:rPr>
                <w:sz w:val="18"/>
                <w:szCs w:val="18"/>
                <w:color w:val="auto"/>
              </w:rPr>
            </w:pPr>
          </w:p>
        </w:tc>
        <w:tc>
          <w:tcPr>
            <w:tcW w:w="1000" w:type="dxa"/>
            <w:vAlign w:val="bottom"/>
            <w:tcBorders>
              <w:bottom w:val="single" w:sz="8" w:color="C6093B"/>
            </w:tcBorders>
          </w:tcPr>
          <w:p>
            <w:pPr>
              <w:spacing w:after="0"/>
              <w:rPr>
                <w:sz w:val="18"/>
                <w:szCs w:val="18"/>
                <w:color w:val="auto"/>
              </w:rPr>
            </w:pPr>
          </w:p>
        </w:tc>
        <w:tc>
          <w:tcPr>
            <w:tcW w:w="940" w:type="dxa"/>
            <w:vAlign w:val="bottom"/>
            <w:tcBorders>
              <w:bottom w:val="single" w:sz="8" w:color="C6093B"/>
            </w:tcBorders>
          </w:tcPr>
          <w:p>
            <w:pPr>
              <w:spacing w:after="0"/>
              <w:rPr>
                <w:sz w:val="18"/>
                <w:szCs w:val="18"/>
                <w:color w:val="auto"/>
              </w:rPr>
            </w:pPr>
          </w:p>
        </w:tc>
        <w:tc>
          <w:tcPr>
            <w:tcW w:w="660" w:type="dxa"/>
            <w:vAlign w:val="bottom"/>
            <w:tcBorders>
              <w:bottom w:val="single" w:sz="8" w:color="C6093B"/>
            </w:tcBorders>
          </w:tcPr>
          <w:p>
            <w:pPr>
              <w:spacing w:after="0"/>
              <w:rPr>
                <w:sz w:val="18"/>
                <w:szCs w:val="18"/>
                <w:color w:val="auto"/>
              </w:rPr>
            </w:pPr>
          </w:p>
        </w:tc>
        <w:tc>
          <w:tcPr>
            <w:tcW w:w="700" w:type="dxa"/>
            <w:vAlign w:val="bottom"/>
            <w:tcBorders>
              <w:bottom w:val="single" w:sz="8" w:color="C6093B"/>
            </w:tcBorders>
          </w:tcPr>
          <w:p>
            <w:pPr>
              <w:spacing w:after="0"/>
              <w:rPr>
                <w:sz w:val="18"/>
                <w:szCs w:val="18"/>
                <w:color w:val="auto"/>
              </w:rPr>
            </w:pPr>
          </w:p>
        </w:tc>
        <w:tc>
          <w:tcPr>
            <w:tcW w:w="140" w:type="dxa"/>
            <w:vAlign w:val="bottom"/>
            <w:tcBorders>
              <w:bottom w:val="single" w:sz="8" w:color="C6093B"/>
            </w:tcBorders>
          </w:tcPr>
          <w:p>
            <w:pPr>
              <w:spacing w:after="0"/>
              <w:rPr>
                <w:sz w:val="18"/>
                <w:szCs w:val="18"/>
                <w:color w:val="auto"/>
              </w:rPr>
            </w:pPr>
          </w:p>
        </w:tc>
        <w:tc>
          <w:tcPr>
            <w:tcW w:w="84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2/20/2023</w:t>
            </w:r>
          </w:p>
        </w:tc>
        <w:tc>
          <w:tcPr>
            <w:tcW w:w="1020" w:type="dxa"/>
            <w:vAlign w:val="bottom"/>
            <w:tcBorders>
              <w:bottom w:val="single" w:sz="8" w:color="C6093B"/>
            </w:tcBorders>
          </w:tcPr>
          <w:p>
            <w:pPr>
              <w:spacing w:after="0"/>
              <w:rPr>
                <w:sz w:val="18"/>
                <w:szCs w:val="18"/>
                <w:color w:val="auto"/>
              </w:rPr>
            </w:pPr>
          </w:p>
        </w:tc>
        <w:tc>
          <w:tcPr>
            <w:tcW w:w="1000" w:type="dxa"/>
            <w:vAlign w:val="bottom"/>
            <w:tcBorders>
              <w:bottom w:val="single" w:sz="8" w:color="C6093B"/>
            </w:tcBorders>
          </w:tcPr>
          <w:p>
            <w:pPr>
              <w:spacing w:after="0"/>
              <w:rPr>
                <w:sz w:val="18"/>
                <w:szCs w:val="18"/>
                <w:color w:val="auto"/>
              </w:rPr>
            </w:pPr>
          </w:p>
        </w:tc>
        <w:tc>
          <w:tcPr>
            <w:tcW w:w="1300" w:type="dxa"/>
            <w:vAlign w:val="bottom"/>
            <w:tcBorders>
              <w:bottom w:val="single" w:sz="8" w:color="C6093B"/>
            </w:tcBorders>
          </w:tcPr>
          <w:p>
            <w:pPr>
              <w:jc w:val="right"/>
              <w:ind w:right="10"/>
              <w:spacing w:after="0" w:line="201" w:lineRule="exact"/>
              <w:rPr>
                <w:sz w:val="20"/>
                <w:szCs w:val="20"/>
                <w:color w:val="auto"/>
              </w:rPr>
            </w:pPr>
            <w:r>
              <w:rPr>
                <w:rFonts w:ascii="Arial" w:cs="Arial" w:eastAsia="Arial" w:hAnsi="Arial"/>
                <w:sz w:val="15"/>
                <w:szCs w:val="15"/>
                <w:color w:val="auto"/>
              </w:rPr>
              <w:t>13,004</w:t>
            </w:r>
            <w:r>
              <w:rPr>
                <w:rFonts w:ascii="Arial" w:cs="Arial" w:eastAsia="Arial" w:hAnsi="Arial"/>
                <w:sz w:val="23"/>
                <w:szCs w:val="23"/>
                <w:color w:val="auto"/>
                <w:vertAlign w:val="superscript"/>
              </w:rPr>
              <w:t>(14)</w:t>
            </w:r>
          </w:p>
        </w:tc>
        <w:tc>
          <w:tcPr>
            <w:tcW w:w="98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924,714</w:t>
            </w:r>
          </w:p>
        </w:tc>
        <w:tc>
          <w:tcPr>
            <w:tcW w:w="60" w:type="dxa"/>
            <w:vAlign w:val="bottom"/>
            <w:tcBorders>
              <w:bottom w:val="single" w:sz="8" w:color="C6093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51</w:t>
      </w:r>
    </w:p>
    <w:p>
      <w:pPr>
        <w:sectPr>
          <w:pgSz w:w="11900" w:h="16838" w:orient="portrait"/>
          <w:cols w:equalWidth="0" w:num="1">
            <w:col w:w="10920"/>
          </w:cols>
          <w:pgMar w:left="480" w:top="304" w:right="4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300" w:type="dxa"/>
            <w:vAlign w:val="bottom"/>
            <w:gridSpan w:val="4"/>
          </w:tcPr>
          <w:p>
            <w:pPr>
              <w:spacing w:after="0"/>
              <w:rPr>
                <w:sz w:val="20"/>
                <w:szCs w:val="20"/>
                <w:color w:val="auto"/>
              </w:rPr>
            </w:pPr>
            <w:r>
              <w:rPr>
                <w:rFonts w:ascii="Arial" w:cs="Arial" w:eastAsia="Arial" w:hAnsi="Arial"/>
                <w:sz w:val="14"/>
                <w:szCs w:val="14"/>
                <w:b w:val="1"/>
                <w:bCs w:val="1"/>
                <w:color w:val="002856"/>
              </w:rPr>
              <w:t>EXECUTIVE COMPENSATION TABLES</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1480" w:type="dxa"/>
            <w:vAlign w:val="bottom"/>
            <w:tcBorders>
              <w:top w:val="single" w:sz="8" w:color="002856"/>
            </w:tcBorders>
          </w:tcPr>
          <w:p>
            <w:pPr>
              <w:spacing w:after="0"/>
              <w:rPr>
                <w:sz w:val="24"/>
                <w:szCs w:val="24"/>
                <w:color w:val="auto"/>
              </w:rPr>
            </w:pPr>
          </w:p>
        </w:tc>
        <w:tc>
          <w:tcPr>
            <w:tcW w:w="820" w:type="dxa"/>
            <w:vAlign w:val="bottom"/>
            <w:tcBorders>
              <w:top w:val="single" w:sz="8" w:color="002856"/>
              <w:bottom w:val="single" w:sz="8" w:color="C6093B"/>
            </w:tcBorders>
          </w:tcPr>
          <w:p>
            <w:pPr>
              <w:spacing w:after="0"/>
              <w:rPr>
                <w:sz w:val="24"/>
                <w:szCs w:val="24"/>
                <w:color w:val="auto"/>
              </w:rPr>
            </w:pPr>
          </w:p>
        </w:tc>
        <w:tc>
          <w:tcPr>
            <w:tcW w:w="300" w:type="dxa"/>
            <w:vAlign w:val="bottom"/>
            <w:tcBorders>
              <w:top w:val="single" w:sz="8" w:color="002856"/>
              <w:bottom w:val="single" w:sz="8" w:color="C6093B"/>
            </w:tcBorders>
          </w:tcPr>
          <w:p>
            <w:pPr>
              <w:spacing w:after="0"/>
              <w:rPr>
                <w:sz w:val="24"/>
                <w:szCs w:val="24"/>
                <w:color w:val="auto"/>
              </w:rPr>
            </w:pPr>
          </w:p>
        </w:tc>
        <w:tc>
          <w:tcPr>
            <w:tcW w:w="1640" w:type="dxa"/>
            <w:vAlign w:val="bottom"/>
            <w:tcBorders>
              <w:bottom w:val="single" w:sz="8" w:color="C6093B"/>
            </w:tcBorders>
            <w:gridSpan w:val="2"/>
          </w:tcPr>
          <w:p>
            <w:pPr>
              <w:ind w:left="440"/>
              <w:spacing w:after="0"/>
              <w:rPr>
                <w:sz w:val="20"/>
                <w:szCs w:val="20"/>
                <w:color w:val="auto"/>
              </w:rPr>
            </w:pPr>
            <w:r>
              <w:rPr>
                <w:rFonts w:ascii="Arial" w:cs="Arial" w:eastAsia="Arial" w:hAnsi="Arial"/>
                <w:sz w:val="14"/>
                <w:szCs w:val="14"/>
                <w:b w:val="1"/>
                <w:bCs w:val="1"/>
                <w:color w:val="002856"/>
              </w:rPr>
              <w:t>Option Awards</w:t>
            </w:r>
          </w:p>
        </w:tc>
        <w:tc>
          <w:tcPr>
            <w:tcW w:w="680" w:type="dxa"/>
            <w:vAlign w:val="bottom"/>
            <w:tcBorders>
              <w:bottom w:val="single" w:sz="8" w:color="C6093B"/>
            </w:tcBorders>
          </w:tcPr>
          <w:p>
            <w:pPr>
              <w:spacing w:after="0"/>
              <w:rPr>
                <w:sz w:val="24"/>
                <w:szCs w:val="24"/>
                <w:color w:val="auto"/>
              </w:rPr>
            </w:pPr>
          </w:p>
        </w:tc>
        <w:tc>
          <w:tcPr>
            <w:tcW w:w="680" w:type="dxa"/>
            <w:vAlign w:val="bottom"/>
            <w:tcBorders>
              <w:bottom w:val="single" w:sz="8" w:color="C6093B"/>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Borders>
              <w:bottom w:val="single" w:sz="8" w:color="C6093B"/>
            </w:tcBorders>
          </w:tcPr>
          <w:p>
            <w:pPr>
              <w:spacing w:after="0"/>
              <w:rPr>
                <w:sz w:val="24"/>
                <w:szCs w:val="24"/>
                <w:color w:val="auto"/>
              </w:rPr>
            </w:pPr>
          </w:p>
        </w:tc>
        <w:tc>
          <w:tcPr>
            <w:tcW w:w="1000" w:type="dxa"/>
            <w:vAlign w:val="bottom"/>
            <w:tcBorders>
              <w:bottom w:val="single" w:sz="8" w:color="C6093B"/>
            </w:tcBorders>
          </w:tcPr>
          <w:p>
            <w:pPr>
              <w:spacing w:after="0"/>
              <w:rPr>
                <w:sz w:val="24"/>
                <w:szCs w:val="24"/>
                <w:color w:val="auto"/>
              </w:rPr>
            </w:pPr>
          </w:p>
        </w:tc>
        <w:tc>
          <w:tcPr>
            <w:tcW w:w="2280" w:type="dxa"/>
            <w:vAlign w:val="bottom"/>
            <w:tcBorders>
              <w:bottom w:val="single" w:sz="8" w:color="C6093B"/>
            </w:tcBorders>
            <w:gridSpan w:val="2"/>
          </w:tcPr>
          <w:p>
            <w:pPr>
              <w:jc w:val="right"/>
              <w:ind w:right="1031"/>
              <w:spacing w:after="0"/>
              <w:rPr>
                <w:sz w:val="20"/>
                <w:szCs w:val="20"/>
                <w:color w:val="auto"/>
              </w:rPr>
            </w:pPr>
            <w:r>
              <w:rPr>
                <w:rFonts w:ascii="Arial" w:cs="Arial" w:eastAsia="Arial" w:hAnsi="Arial"/>
                <w:sz w:val="14"/>
                <w:szCs w:val="14"/>
                <w:b w:val="1"/>
                <w:bCs w:val="1"/>
                <w:color w:val="002856"/>
              </w:rPr>
              <w:t>Stock Awards</w:t>
            </w:r>
          </w:p>
        </w:tc>
        <w:tc>
          <w:tcPr>
            <w:tcW w:w="980" w:type="dxa"/>
            <w:vAlign w:val="bottom"/>
            <w:tcBorders>
              <w:bottom w:val="single" w:sz="8" w:color="C6093B"/>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Equity</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vMerge w:val="restart"/>
          </w:tcPr>
          <w:p>
            <w:pPr>
              <w:jc w:val="center"/>
              <w:ind w:right="131"/>
              <w:spacing w:after="0"/>
              <w:rPr>
                <w:sz w:val="20"/>
                <w:szCs w:val="20"/>
                <w:color w:val="auto"/>
              </w:rPr>
            </w:pPr>
            <w:r>
              <w:rPr>
                <w:rFonts w:ascii="Arial" w:cs="Arial" w:eastAsia="Arial" w:hAnsi="Arial"/>
                <w:sz w:val="12"/>
                <w:szCs w:val="12"/>
                <w:b w:val="1"/>
                <w:bCs w:val="1"/>
                <w:color w:val="002856"/>
              </w:rPr>
              <w:t>Equity</w:t>
            </w:r>
          </w:p>
        </w:tc>
        <w:tc>
          <w:tcPr>
            <w:tcW w:w="980" w:type="dxa"/>
            <w:vAlign w:val="bottom"/>
          </w:tcPr>
          <w:p>
            <w:pPr>
              <w:jc w:val="center"/>
              <w:ind w:left="11"/>
              <w:spacing w:after="0" w:line="109" w:lineRule="exact"/>
              <w:rPr>
                <w:sz w:val="20"/>
                <w:szCs w:val="20"/>
                <w:color w:val="auto"/>
              </w:rPr>
            </w:pPr>
            <w:r>
              <w:rPr>
                <w:rFonts w:ascii="Arial" w:cs="Arial" w:eastAsia="Arial" w:hAnsi="Arial"/>
                <w:sz w:val="12"/>
                <w:szCs w:val="12"/>
                <w:b w:val="1"/>
                <w:bCs w:val="1"/>
                <w:color w:val="002856"/>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Incentive</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Incentive</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jc w:val="center"/>
              <w:ind w:right="131"/>
              <w:spacing w:after="0" w:line="134" w:lineRule="exact"/>
              <w:rPr>
                <w:sz w:val="20"/>
                <w:szCs w:val="20"/>
                <w:color w:val="auto"/>
              </w:rPr>
            </w:pPr>
            <w:r>
              <w:rPr>
                <w:rFonts w:ascii="Arial" w:cs="Arial" w:eastAsia="Arial" w:hAnsi="Arial"/>
                <w:sz w:val="12"/>
                <w:szCs w:val="12"/>
                <w:b w:val="1"/>
                <w:bCs w:val="1"/>
                <w:color w:val="002856"/>
              </w:rPr>
              <w:t>Incentive</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Plan Awards:</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Plan Awards:</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vMerge w:val="restart"/>
          </w:tcPr>
          <w:p>
            <w:pPr>
              <w:jc w:val="center"/>
              <w:ind w:right="145"/>
              <w:spacing w:after="0"/>
              <w:rPr>
                <w:sz w:val="20"/>
                <w:szCs w:val="20"/>
                <w:color w:val="auto"/>
              </w:rPr>
            </w:pPr>
            <w:r>
              <w:rPr>
                <w:rFonts w:ascii="Arial" w:cs="Arial" w:eastAsia="Arial" w:hAnsi="Arial"/>
                <w:sz w:val="12"/>
                <w:szCs w:val="12"/>
                <w:b w:val="1"/>
                <w:bCs w:val="1"/>
                <w:color w:val="002856"/>
              </w:rPr>
              <w:t>Number</w:t>
            </w:r>
          </w:p>
        </w:tc>
        <w:tc>
          <w:tcPr>
            <w:tcW w:w="980" w:type="dxa"/>
            <w:vAlign w:val="bottom"/>
          </w:tcPr>
          <w:p>
            <w:pPr>
              <w:spacing w:after="0"/>
              <w:rPr>
                <w:sz w:val="11"/>
                <w:szCs w:val="11"/>
                <w:color w:val="auto"/>
              </w:rPr>
            </w:pPr>
          </w:p>
        </w:tc>
        <w:tc>
          <w:tcPr>
            <w:tcW w:w="1300" w:type="dxa"/>
            <w:vAlign w:val="bottom"/>
          </w:tcPr>
          <w:p>
            <w:pPr>
              <w:jc w:val="center"/>
              <w:ind w:right="131"/>
              <w:spacing w:after="0" w:line="134" w:lineRule="exact"/>
              <w:rPr>
                <w:sz w:val="20"/>
                <w:szCs w:val="20"/>
                <w:color w:val="auto"/>
              </w:rPr>
            </w:pPr>
            <w:r>
              <w:rPr>
                <w:rFonts w:ascii="Arial" w:cs="Arial" w:eastAsia="Arial" w:hAnsi="Arial"/>
                <w:sz w:val="12"/>
                <w:szCs w:val="12"/>
                <w:b w:val="1"/>
                <w:bCs w:val="1"/>
                <w:color w:val="002856"/>
              </w:rPr>
              <w:t>Plan Awards: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Market or</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002856"/>
              </w:rPr>
              <w:t>Number of</w:t>
            </w:r>
          </w:p>
        </w:tc>
        <w:tc>
          <w:tcPr>
            <w:tcW w:w="10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002856"/>
              </w:rPr>
              <w:t>Number of</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Number of</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Market Value</w:t>
            </w: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Number of</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Payout Value</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Securities</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45"/>
              <w:spacing w:after="0" w:line="134" w:lineRule="exact"/>
              <w:rPr>
                <w:sz w:val="20"/>
                <w:szCs w:val="20"/>
                <w:color w:val="auto"/>
              </w:rPr>
            </w:pPr>
            <w:r>
              <w:rPr>
                <w:rFonts w:ascii="Arial" w:cs="Arial" w:eastAsia="Arial" w:hAnsi="Arial"/>
                <w:sz w:val="12"/>
                <w:szCs w:val="12"/>
                <w:b w:val="1"/>
                <w:bCs w:val="1"/>
                <w:color w:val="002856"/>
              </w:rPr>
              <w:t>of Shares</w:t>
            </w:r>
          </w:p>
        </w:tc>
        <w:tc>
          <w:tcPr>
            <w:tcW w:w="980" w:type="dxa"/>
            <w:vAlign w:val="bottom"/>
            <w:vMerge w:val="continue"/>
          </w:tcPr>
          <w:p>
            <w:pPr>
              <w:spacing w:after="0"/>
              <w:rPr>
                <w:sz w:val="11"/>
                <w:szCs w:val="11"/>
                <w:color w:val="auto"/>
              </w:rPr>
            </w:pP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Unearned</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of Unearned</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Securities</w:t>
            </w:r>
          </w:p>
        </w:tc>
        <w:tc>
          <w:tcPr>
            <w:tcW w:w="10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Securities</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Underlying</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002856"/>
              </w:rPr>
              <w:t>Option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45"/>
              <w:spacing w:after="0" w:line="134" w:lineRule="exact"/>
              <w:rPr>
                <w:sz w:val="20"/>
                <w:szCs w:val="20"/>
                <w:color w:val="auto"/>
              </w:rPr>
            </w:pPr>
            <w:r>
              <w:rPr>
                <w:rFonts w:ascii="Arial" w:cs="Arial" w:eastAsia="Arial" w:hAnsi="Arial"/>
                <w:sz w:val="12"/>
                <w:szCs w:val="12"/>
                <w:b w:val="1"/>
                <w:bCs w:val="1"/>
                <w:color w:val="002856"/>
              </w:rPr>
              <w:t>or Units of</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of Shares or</w:t>
            </w: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Shares, Units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Shares, Units</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002856"/>
              </w:rPr>
              <w:t>Underlying</w:t>
            </w:r>
          </w:p>
        </w:tc>
        <w:tc>
          <w:tcPr>
            <w:tcW w:w="10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Underlying</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Unexercised</w:t>
            </w:r>
          </w:p>
        </w:tc>
        <w:tc>
          <w:tcPr>
            <w:tcW w:w="680" w:type="dxa"/>
            <w:vAlign w:val="bottom"/>
            <w:vMerge w:val="continue"/>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002856"/>
              </w:rPr>
              <w:t>Option</w:t>
            </w:r>
          </w:p>
        </w:tc>
        <w:tc>
          <w:tcPr>
            <w:tcW w:w="860" w:type="dxa"/>
            <w:vAlign w:val="bottom"/>
          </w:tcPr>
          <w:p>
            <w:pPr>
              <w:spacing w:after="0"/>
              <w:rPr>
                <w:sz w:val="11"/>
                <w:szCs w:val="11"/>
                <w:color w:val="auto"/>
              </w:rPr>
            </w:pPr>
          </w:p>
        </w:tc>
        <w:tc>
          <w:tcPr>
            <w:tcW w:w="1000" w:type="dxa"/>
            <w:vAlign w:val="bottom"/>
          </w:tcPr>
          <w:p>
            <w:pPr>
              <w:jc w:val="center"/>
              <w:ind w:right="165"/>
              <w:spacing w:after="0" w:line="134" w:lineRule="exact"/>
              <w:rPr>
                <w:sz w:val="20"/>
                <w:szCs w:val="20"/>
                <w:color w:val="auto"/>
              </w:rPr>
            </w:pPr>
            <w:r>
              <w:rPr>
                <w:rFonts w:ascii="Arial" w:cs="Arial" w:eastAsia="Arial" w:hAnsi="Arial"/>
                <w:sz w:val="12"/>
                <w:szCs w:val="12"/>
                <w:b w:val="1"/>
                <w:bCs w:val="1"/>
                <w:color w:val="002856"/>
              </w:rPr>
              <w:t>Stock That</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Units of Stock</w:t>
            </w: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or Other Rights</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or Other Rights</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002856"/>
              </w:rPr>
              <w:t>Unexercised</w:t>
            </w:r>
          </w:p>
        </w:tc>
        <w:tc>
          <w:tcPr>
            <w:tcW w:w="10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Unexercised</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Unearned</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Exercise</w:t>
            </w:r>
          </w:p>
        </w:tc>
        <w:tc>
          <w:tcPr>
            <w:tcW w:w="8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ind w:right="145"/>
              <w:spacing w:after="0" w:line="134" w:lineRule="exact"/>
              <w:rPr>
                <w:sz w:val="20"/>
                <w:szCs w:val="20"/>
                <w:color w:val="auto"/>
              </w:rPr>
            </w:pPr>
            <w:r>
              <w:rPr>
                <w:rFonts w:ascii="Arial" w:cs="Arial" w:eastAsia="Arial" w:hAnsi="Arial"/>
                <w:sz w:val="12"/>
                <w:szCs w:val="12"/>
                <w:b w:val="1"/>
                <w:bCs w:val="1"/>
                <w:color w:val="002856"/>
              </w:rPr>
              <w:t>Have Not</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That Have</w:t>
            </w: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That Have Not</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That Have Not</w:t>
            </w:r>
          </w:p>
        </w:tc>
        <w:tc>
          <w:tcPr>
            <w:tcW w:w="0" w:type="dxa"/>
            <w:vAlign w:val="bottom"/>
          </w:tcPr>
          <w:p>
            <w:pPr>
              <w:spacing w:after="0"/>
              <w:rPr>
                <w:sz w:val="1"/>
                <w:szCs w:val="1"/>
                <w:color w:val="auto"/>
              </w:rPr>
            </w:pPr>
          </w:p>
        </w:tc>
      </w:tr>
      <w:tr>
        <w:trPr>
          <w:trHeight w:val="134"/>
        </w:trPr>
        <w:tc>
          <w:tcPr>
            <w:tcW w:w="1480" w:type="dxa"/>
            <w:vAlign w:val="bottom"/>
          </w:tcPr>
          <w:p>
            <w:pPr>
              <w:spacing w:after="0"/>
              <w:rPr>
                <w:sz w:val="11"/>
                <w:szCs w:val="11"/>
                <w:color w:val="auto"/>
              </w:rPr>
            </w:pP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002856"/>
              </w:rPr>
              <w:t>Options (#)</w:t>
            </w:r>
          </w:p>
        </w:tc>
        <w:tc>
          <w:tcPr>
            <w:tcW w:w="10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Options (#)</w:t>
            </w:r>
          </w:p>
        </w:tc>
        <w:tc>
          <w:tcPr>
            <w:tcW w:w="94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Options</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Price</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b w:val="1"/>
                <w:bCs w:val="1"/>
                <w:color w:val="002856"/>
              </w:rPr>
              <w:t>Expiration</w:t>
            </w:r>
          </w:p>
        </w:tc>
        <w:tc>
          <w:tcPr>
            <w:tcW w:w="860" w:type="dxa"/>
            <w:vAlign w:val="bottom"/>
          </w:tcPr>
          <w:p>
            <w:pPr>
              <w:spacing w:after="0"/>
              <w:rPr>
                <w:sz w:val="11"/>
                <w:szCs w:val="11"/>
                <w:color w:val="auto"/>
              </w:rPr>
            </w:pPr>
          </w:p>
        </w:tc>
        <w:tc>
          <w:tcPr>
            <w:tcW w:w="1000" w:type="dxa"/>
            <w:vAlign w:val="bottom"/>
          </w:tcPr>
          <w:p>
            <w:pPr>
              <w:jc w:val="center"/>
              <w:ind w:right="165"/>
              <w:spacing w:after="0" w:line="134" w:lineRule="exact"/>
              <w:rPr>
                <w:sz w:val="20"/>
                <w:szCs w:val="20"/>
                <w:color w:val="auto"/>
              </w:rPr>
            </w:pPr>
            <w:r>
              <w:rPr>
                <w:rFonts w:ascii="Arial" w:cs="Arial" w:eastAsia="Arial" w:hAnsi="Arial"/>
                <w:sz w:val="12"/>
                <w:szCs w:val="12"/>
                <w:b w:val="1"/>
                <w:bCs w:val="1"/>
                <w:color w:val="002856"/>
              </w:rPr>
              <w:t>Vested</w:t>
            </w:r>
          </w:p>
        </w:tc>
        <w:tc>
          <w:tcPr>
            <w:tcW w:w="980" w:type="dxa"/>
            <w:vAlign w:val="bottom"/>
          </w:tcPr>
          <w:p>
            <w:pPr>
              <w:jc w:val="center"/>
              <w:spacing w:after="0" w:line="134" w:lineRule="exact"/>
              <w:rPr>
                <w:sz w:val="20"/>
                <w:szCs w:val="20"/>
                <w:color w:val="auto"/>
              </w:rPr>
            </w:pPr>
            <w:r>
              <w:rPr>
                <w:rFonts w:ascii="Arial" w:cs="Arial" w:eastAsia="Arial" w:hAnsi="Arial"/>
                <w:sz w:val="12"/>
                <w:szCs w:val="12"/>
                <w:b w:val="1"/>
                <w:bCs w:val="1"/>
                <w:color w:val="002856"/>
              </w:rPr>
              <w:t>Not Vested</w:t>
            </w:r>
          </w:p>
        </w:tc>
        <w:tc>
          <w:tcPr>
            <w:tcW w:w="1300" w:type="dxa"/>
            <w:vAlign w:val="bottom"/>
          </w:tcPr>
          <w:p>
            <w:pPr>
              <w:jc w:val="center"/>
              <w:ind w:right="151"/>
              <w:spacing w:after="0" w:line="134" w:lineRule="exact"/>
              <w:rPr>
                <w:sz w:val="20"/>
                <w:szCs w:val="20"/>
                <w:color w:val="auto"/>
              </w:rPr>
            </w:pPr>
            <w:r>
              <w:rPr>
                <w:rFonts w:ascii="Arial" w:cs="Arial" w:eastAsia="Arial" w:hAnsi="Arial"/>
                <w:sz w:val="12"/>
                <w:szCs w:val="12"/>
                <w:b w:val="1"/>
                <w:bCs w:val="1"/>
                <w:color w:val="002856"/>
              </w:rPr>
              <w:t>Vested</w:t>
            </w:r>
          </w:p>
        </w:tc>
        <w:tc>
          <w:tcPr>
            <w:tcW w:w="10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856"/>
              </w:rPr>
              <w:t>Vested</w:t>
            </w:r>
          </w:p>
        </w:tc>
        <w:tc>
          <w:tcPr>
            <w:tcW w:w="0" w:type="dxa"/>
            <w:vAlign w:val="bottom"/>
          </w:tcPr>
          <w:p>
            <w:pPr>
              <w:spacing w:after="0"/>
              <w:rPr>
                <w:sz w:val="1"/>
                <w:szCs w:val="1"/>
                <w:color w:val="auto"/>
              </w:rPr>
            </w:pPr>
          </w:p>
        </w:tc>
      </w:tr>
      <w:tr>
        <w:trPr>
          <w:trHeight w:val="172"/>
        </w:trPr>
        <w:tc>
          <w:tcPr>
            <w:tcW w:w="1480" w:type="dxa"/>
            <w:vAlign w:val="bottom"/>
            <w:tcBorders>
              <w:bottom w:val="single" w:sz="8" w:color="C6093B"/>
            </w:tcBorders>
          </w:tcPr>
          <w:p>
            <w:pPr>
              <w:ind w:left="80"/>
              <w:spacing w:after="0"/>
              <w:rPr>
                <w:sz w:val="20"/>
                <w:szCs w:val="20"/>
                <w:color w:val="auto"/>
              </w:rPr>
            </w:pPr>
            <w:r>
              <w:rPr>
                <w:rFonts w:ascii="Arial" w:cs="Arial" w:eastAsia="Arial" w:hAnsi="Arial"/>
                <w:sz w:val="12"/>
                <w:szCs w:val="12"/>
                <w:b w:val="1"/>
                <w:bCs w:val="1"/>
                <w:color w:val="002856"/>
              </w:rPr>
              <w:t>Name</w:t>
            </w:r>
          </w:p>
        </w:tc>
        <w:tc>
          <w:tcPr>
            <w:tcW w:w="820" w:type="dxa"/>
            <w:vAlign w:val="bottom"/>
            <w:tcBorders>
              <w:bottom w:val="single" w:sz="8" w:color="C6093B"/>
            </w:tcBorders>
          </w:tcPr>
          <w:p>
            <w:pPr>
              <w:jc w:val="center"/>
              <w:ind w:right="13"/>
              <w:spacing w:after="0"/>
              <w:rPr>
                <w:sz w:val="20"/>
                <w:szCs w:val="20"/>
                <w:color w:val="auto"/>
              </w:rPr>
            </w:pPr>
            <w:r>
              <w:rPr>
                <w:rFonts w:ascii="Arial" w:cs="Arial" w:eastAsia="Arial" w:hAnsi="Arial"/>
                <w:sz w:val="12"/>
                <w:szCs w:val="12"/>
                <w:b w:val="1"/>
                <w:bCs w:val="1"/>
                <w:color w:val="002856"/>
              </w:rPr>
              <w:t>Exercisable</w:t>
            </w:r>
          </w:p>
        </w:tc>
        <w:tc>
          <w:tcPr>
            <w:tcW w:w="1000" w:type="dxa"/>
            <w:vAlign w:val="bottom"/>
            <w:tcBorders>
              <w:bottom w:val="single" w:sz="8" w:color="C6093B"/>
            </w:tcBorders>
            <w:gridSpan w:val="2"/>
          </w:tcPr>
          <w:p>
            <w:pPr>
              <w:jc w:val="center"/>
              <w:spacing w:after="0"/>
              <w:rPr>
                <w:sz w:val="20"/>
                <w:szCs w:val="20"/>
                <w:color w:val="auto"/>
              </w:rPr>
            </w:pPr>
            <w:r>
              <w:rPr>
                <w:rFonts w:ascii="Arial" w:cs="Arial" w:eastAsia="Arial" w:hAnsi="Arial"/>
                <w:sz w:val="12"/>
                <w:szCs w:val="12"/>
                <w:b w:val="1"/>
                <w:bCs w:val="1"/>
                <w:color w:val="002856"/>
              </w:rPr>
              <w:t>Unexercisable</w:t>
            </w:r>
          </w:p>
        </w:tc>
        <w:tc>
          <w:tcPr>
            <w:tcW w:w="940" w:type="dxa"/>
            <w:vAlign w:val="bottom"/>
            <w:tcBorders>
              <w:bottom w:val="single" w:sz="8" w:color="C6093B"/>
            </w:tcBorders>
          </w:tcPr>
          <w:p>
            <w:pPr>
              <w:jc w:val="center"/>
              <w:spacing w:after="0"/>
              <w:rPr>
                <w:sz w:val="20"/>
                <w:szCs w:val="20"/>
                <w:color w:val="auto"/>
              </w:rPr>
            </w:pPr>
            <w:r>
              <w:rPr>
                <w:rFonts w:ascii="Arial" w:cs="Arial" w:eastAsia="Arial" w:hAnsi="Arial"/>
                <w:sz w:val="12"/>
                <w:szCs w:val="12"/>
                <w:b w:val="1"/>
                <w:bCs w:val="1"/>
                <w:color w:val="002856"/>
                <w:w w:val="95"/>
              </w:rPr>
              <w:t>(#)</w:t>
            </w:r>
          </w:p>
        </w:tc>
        <w:tc>
          <w:tcPr>
            <w:tcW w:w="680" w:type="dxa"/>
            <w:vAlign w:val="bottom"/>
            <w:tcBorders>
              <w:bottom w:val="single" w:sz="8" w:color="C6093B"/>
            </w:tcBorders>
          </w:tcPr>
          <w:p>
            <w:pPr>
              <w:jc w:val="center"/>
              <w:spacing w:after="0"/>
              <w:rPr>
                <w:sz w:val="20"/>
                <w:szCs w:val="20"/>
                <w:color w:val="auto"/>
              </w:rPr>
            </w:pPr>
            <w:r>
              <w:rPr>
                <w:rFonts w:ascii="Arial" w:cs="Arial" w:eastAsia="Arial" w:hAnsi="Arial"/>
                <w:sz w:val="12"/>
                <w:szCs w:val="12"/>
                <w:b w:val="1"/>
                <w:bCs w:val="1"/>
                <w:color w:val="002856"/>
              </w:rPr>
              <w:t>($)</w:t>
            </w:r>
          </w:p>
        </w:tc>
        <w:tc>
          <w:tcPr>
            <w:tcW w:w="820" w:type="dxa"/>
            <w:vAlign w:val="bottom"/>
            <w:tcBorders>
              <w:bottom w:val="single" w:sz="8" w:color="C6093B"/>
            </w:tcBorders>
            <w:gridSpan w:val="2"/>
          </w:tcPr>
          <w:p>
            <w:pPr>
              <w:jc w:val="center"/>
              <w:ind w:right="80"/>
              <w:spacing w:after="0"/>
              <w:rPr>
                <w:sz w:val="20"/>
                <w:szCs w:val="20"/>
                <w:color w:val="auto"/>
              </w:rPr>
            </w:pPr>
            <w:r>
              <w:rPr>
                <w:rFonts w:ascii="Arial" w:cs="Arial" w:eastAsia="Arial" w:hAnsi="Arial"/>
                <w:sz w:val="12"/>
                <w:szCs w:val="12"/>
                <w:b w:val="1"/>
                <w:bCs w:val="1"/>
                <w:color w:val="002856"/>
                <w:w w:val="99"/>
              </w:rPr>
              <w:t>Date</w:t>
            </w:r>
          </w:p>
        </w:tc>
        <w:tc>
          <w:tcPr>
            <w:tcW w:w="860" w:type="dxa"/>
            <w:vAlign w:val="bottom"/>
            <w:tcBorders>
              <w:bottom w:val="single" w:sz="8" w:color="C6093B"/>
            </w:tcBorders>
          </w:tcPr>
          <w:p>
            <w:pPr>
              <w:jc w:val="right"/>
              <w:ind w:right="61"/>
              <w:spacing w:after="0"/>
              <w:rPr>
                <w:sz w:val="20"/>
                <w:szCs w:val="20"/>
                <w:color w:val="auto"/>
              </w:rPr>
            </w:pPr>
            <w:r>
              <w:rPr>
                <w:rFonts w:ascii="Arial" w:cs="Arial" w:eastAsia="Arial" w:hAnsi="Arial"/>
                <w:sz w:val="12"/>
                <w:szCs w:val="12"/>
                <w:b w:val="1"/>
                <w:bCs w:val="1"/>
                <w:color w:val="002856"/>
              </w:rPr>
              <w:t>Grant Date</w:t>
            </w:r>
          </w:p>
        </w:tc>
        <w:tc>
          <w:tcPr>
            <w:tcW w:w="1000" w:type="dxa"/>
            <w:vAlign w:val="bottom"/>
            <w:tcBorders>
              <w:bottom w:val="single" w:sz="8" w:color="C6093B"/>
            </w:tcBorders>
          </w:tcPr>
          <w:p>
            <w:pPr>
              <w:jc w:val="center"/>
              <w:ind w:right="145"/>
              <w:spacing w:after="0"/>
              <w:rPr>
                <w:sz w:val="20"/>
                <w:szCs w:val="20"/>
                <w:color w:val="auto"/>
              </w:rPr>
            </w:pPr>
            <w:r>
              <w:rPr>
                <w:rFonts w:ascii="Arial" w:cs="Arial" w:eastAsia="Arial" w:hAnsi="Arial"/>
                <w:sz w:val="12"/>
                <w:szCs w:val="12"/>
                <w:b w:val="1"/>
                <w:bCs w:val="1"/>
                <w:color w:val="002856"/>
                <w:w w:val="95"/>
              </w:rPr>
              <w:t>(#)</w:t>
            </w:r>
          </w:p>
        </w:tc>
        <w:tc>
          <w:tcPr>
            <w:tcW w:w="980" w:type="dxa"/>
            <w:vAlign w:val="bottom"/>
            <w:tcBorders>
              <w:bottom w:val="single" w:sz="8" w:color="C6093B"/>
            </w:tcBorders>
          </w:tcPr>
          <w:p>
            <w:pPr>
              <w:jc w:val="center"/>
              <w:spacing w:after="0" w:line="165" w:lineRule="exact"/>
              <w:rPr>
                <w:sz w:val="20"/>
                <w:szCs w:val="20"/>
                <w:color w:val="auto"/>
              </w:rPr>
            </w:pPr>
            <w:r>
              <w:rPr>
                <w:rFonts w:ascii="Arial" w:cs="Arial" w:eastAsia="Arial" w:hAnsi="Arial"/>
                <w:sz w:val="12"/>
                <w:szCs w:val="12"/>
                <w:b w:val="1"/>
                <w:bCs w:val="1"/>
                <w:color w:val="002856"/>
                <w:w w:val="88"/>
              </w:rPr>
              <w:t>($)</w:t>
            </w:r>
            <w:r>
              <w:rPr>
                <w:rFonts w:ascii="Arial" w:cs="Arial" w:eastAsia="Arial" w:hAnsi="Arial"/>
                <w:sz w:val="18"/>
                <w:szCs w:val="18"/>
                <w:b w:val="1"/>
                <w:bCs w:val="1"/>
                <w:color w:val="002856"/>
                <w:w w:val="88"/>
                <w:vertAlign w:val="superscript"/>
              </w:rPr>
              <w:t>(1)</w:t>
            </w:r>
          </w:p>
        </w:tc>
        <w:tc>
          <w:tcPr>
            <w:tcW w:w="1300" w:type="dxa"/>
            <w:vAlign w:val="bottom"/>
            <w:tcBorders>
              <w:bottom w:val="single" w:sz="8" w:color="C6093B"/>
            </w:tcBorders>
          </w:tcPr>
          <w:p>
            <w:pPr>
              <w:jc w:val="center"/>
              <w:ind w:right="151"/>
              <w:spacing w:after="0"/>
              <w:rPr>
                <w:sz w:val="20"/>
                <w:szCs w:val="20"/>
                <w:color w:val="auto"/>
              </w:rPr>
            </w:pPr>
            <w:r>
              <w:rPr>
                <w:rFonts w:ascii="Arial" w:cs="Arial" w:eastAsia="Arial" w:hAnsi="Arial"/>
                <w:sz w:val="12"/>
                <w:szCs w:val="12"/>
                <w:b w:val="1"/>
                <w:bCs w:val="1"/>
                <w:color w:val="002856"/>
              </w:rPr>
              <w:t>(#)</w:t>
            </w:r>
          </w:p>
        </w:tc>
        <w:tc>
          <w:tcPr>
            <w:tcW w:w="980" w:type="dxa"/>
            <w:vAlign w:val="bottom"/>
            <w:tcBorders>
              <w:bottom w:val="single" w:sz="8" w:color="C6093B"/>
            </w:tcBorders>
          </w:tcPr>
          <w:p>
            <w:pPr>
              <w:jc w:val="center"/>
              <w:ind w:left="11"/>
              <w:spacing w:after="0" w:line="165" w:lineRule="exact"/>
              <w:rPr>
                <w:sz w:val="20"/>
                <w:szCs w:val="20"/>
                <w:color w:val="auto"/>
              </w:rPr>
            </w:pPr>
            <w:r>
              <w:rPr>
                <w:rFonts w:ascii="Arial" w:cs="Arial" w:eastAsia="Arial" w:hAnsi="Arial"/>
                <w:sz w:val="12"/>
                <w:szCs w:val="12"/>
                <w:b w:val="1"/>
                <w:bCs w:val="1"/>
                <w:color w:val="002856"/>
                <w:w w:val="88"/>
              </w:rPr>
              <w:t>($)</w:t>
            </w:r>
            <w:r>
              <w:rPr>
                <w:rFonts w:ascii="Arial" w:cs="Arial" w:eastAsia="Arial" w:hAnsi="Arial"/>
                <w:sz w:val="18"/>
                <w:szCs w:val="18"/>
                <w:b w:val="1"/>
                <w:bCs w:val="1"/>
                <w:color w:val="002856"/>
                <w:w w:val="88"/>
                <w:vertAlign w:val="superscript"/>
              </w:rPr>
              <w:t>(2)</w:t>
            </w:r>
          </w:p>
        </w:tc>
        <w:tc>
          <w:tcPr>
            <w:tcW w:w="60" w:type="dxa"/>
            <w:vAlign w:val="bottom"/>
            <w:tcBorders>
              <w:bottom w:val="single" w:sz="8" w:color="C6093B"/>
            </w:tcBorders>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1480" w:type="dxa"/>
            <w:vAlign w:val="bottom"/>
          </w:tcPr>
          <w:p>
            <w:pPr>
              <w:ind w:left="80"/>
              <w:spacing w:after="0"/>
              <w:rPr>
                <w:sz w:val="20"/>
                <w:szCs w:val="20"/>
                <w:color w:val="auto"/>
              </w:rPr>
            </w:pPr>
            <w:r>
              <w:rPr>
                <w:rFonts w:ascii="Arial" w:cs="Arial" w:eastAsia="Arial" w:hAnsi="Arial"/>
                <w:sz w:val="16"/>
                <w:szCs w:val="16"/>
                <w:b w:val="1"/>
                <w:bCs w:val="1"/>
                <w:color w:val="1D4F90"/>
              </w:rPr>
              <w:t>J. Scott Penny</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2/25/2019</w:t>
            </w:r>
          </w:p>
        </w:tc>
        <w:tc>
          <w:tcPr>
            <w:tcW w:w="1000" w:type="dxa"/>
            <w:vAlign w:val="bottom"/>
          </w:tcPr>
          <w:p>
            <w:pPr>
              <w:jc w:val="right"/>
              <w:ind w:right="65"/>
              <w:spacing w:after="0"/>
              <w:rPr>
                <w:sz w:val="20"/>
                <w:szCs w:val="20"/>
                <w:color w:val="auto"/>
              </w:rPr>
            </w:pPr>
            <w:r>
              <w:rPr>
                <w:rFonts w:ascii="Arial" w:cs="Arial" w:eastAsia="Arial" w:hAnsi="Arial"/>
                <w:sz w:val="16"/>
                <w:szCs w:val="16"/>
                <w:color w:val="auto"/>
              </w:rPr>
              <w:t>3,812</w:t>
            </w:r>
            <w:r>
              <w:rPr>
                <w:rFonts w:ascii="Arial" w:cs="Arial" w:eastAsia="Arial" w:hAnsi="Arial"/>
                <w:sz w:val="24"/>
                <w:szCs w:val="24"/>
                <w:color w:val="auto"/>
                <w:vertAlign w:val="superscript"/>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271,071</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2/25/2019</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22,872</w:t>
            </w:r>
            <w:r>
              <w:rPr>
                <w:rFonts w:ascii="Arial" w:cs="Arial" w:eastAsia="Arial" w:hAnsi="Arial"/>
                <w:sz w:val="24"/>
                <w:szCs w:val="24"/>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1,626,428</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2/21/2020</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2,576</w:t>
            </w:r>
            <w:r>
              <w:rPr>
                <w:rFonts w:ascii="Arial" w:cs="Arial" w:eastAsia="Arial" w:hAnsi="Arial"/>
                <w:sz w:val="24"/>
                <w:szCs w:val="24"/>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183,179</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2/21/2020</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15,460</w:t>
            </w:r>
            <w:r>
              <w:rPr>
                <w:rFonts w:ascii="Arial" w:cs="Arial" w:eastAsia="Arial" w:hAnsi="Arial"/>
                <w:sz w:val="24"/>
                <w:szCs w:val="24"/>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1,099,361</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2/23/2021</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2,706</w:t>
            </w:r>
            <w:r>
              <w:rPr>
                <w:rFonts w:ascii="Arial" w:cs="Arial" w:eastAsia="Arial" w:hAnsi="Arial"/>
                <w:sz w:val="24"/>
                <w:szCs w:val="24"/>
                <w:color w:val="auto"/>
                <w:vertAlign w:val="superscript"/>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192,424</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1/1/2022</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28,457</w:t>
            </w:r>
            <w:r>
              <w:rPr>
                <w:rFonts w:ascii="Arial" w:cs="Arial" w:eastAsia="Arial" w:hAnsi="Arial"/>
                <w:sz w:val="24"/>
                <w:szCs w:val="24"/>
                <w:color w:val="auto"/>
                <w:vertAlign w:val="superscript"/>
              </w:rPr>
              <w:t>(15)</w:t>
            </w:r>
          </w:p>
        </w:tc>
        <w:tc>
          <w:tcPr>
            <w:tcW w:w="980" w:type="dxa"/>
            <w:vAlign w:val="bottom"/>
          </w:tcPr>
          <w:p>
            <w:pPr>
              <w:jc w:val="right"/>
              <w:spacing w:after="0"/>
              <w:rPr>
                <w:sz w:val="20"/>
                <w:szCs w:val="20"/>
                <w:color w:val="auto"/>
              </w:rPr>
            </w:pPr>
            <w:r>
              <w:rPr>
                <w:rFonts w:ascii="Arial" w:cs="Arial" w:eastAsia="Arial" w:hAnsi="Arial"/>
                <w:sz w:val="16"/>
                <w:szCs w:val="16"/>
                <w:color w:val="auto"/>
              </w:rPr>
              <w:t>2,023,577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2/21/2022</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1,889</w:t>
            </w:r>
            <w:r>
              <w:rPr>
                <w:rFonts w:ascii="Arial" w:cs="Arial" w:eastAsia="Arial" w:hAnsi="Arial"/>
                <w:sz w:val="24"/>
                <w:szCs w:val="24"/>
                <w:color w:val="auto"/>
                <w:vertAlign w:val="superscript"/>
              </w:rPr>
              <w:t>(10)</w:t>
            </w:r>
          </w:p>
        </w:tc>
        <w:tc>
          <w:tcPr>
            <w:tcW w:w="980" w:type="dxa"/>
            <w:vAlign w:val="bottom"/>
          </w:tcPr>
          <w:p>
            <w:pPr>
              <w:jc w:val="right"/>
              <w:spacing w:after="0"/>
              <w:rPr>
                <w:sz w:val="20"/>
                <w:szCs w:val="20"/>
                <w:color w:val="auto"/>
              </w:rPr>
            </w:pPr>
            <w:r>
              <w:rPr>
                <w:rFonts w:ascii="Arial" w:cs="Arial" w:eastAsia="Arial" w:hAnsi="Arial"/>
                <w:sz w:val="16"/>
                <w:szCs w:val="16"/>
                <w:color w:val="auto"/>
              </w:rPr>
              <w:t>134,327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2/20/2023</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2,167</w:t>
            </w:r>
            <w:r>
              <w:rPr>
                <w:rFonts w:ascii="Arial" w:cs="Arial" w:eastAsia="Arial" w:hAnsi="Arial"/>
                <w:sz w:val="24"/>
                <w:szCs w:val="24"/>
                <w:color w:val="auto"/>
                <w:vertAlign w:val="superscript"/>
              </w:rPr>
              <w:t>(11)</w:t>
            </w:r>
          </w:p>
        </w:tc>
        <w:tc>
          <w:tcPr>
            <w:tcW w:w="980" w:type="dxa"/>
            <w:vAlign w:val="bottom"/>
          </w:tcPr>
          <w:p>
            <w:pPr>
              <w:jc w:val="right"/>
              <w:spacing w:after="0"/>
              <w:rPr>
                <w:sz w:val="20"/>
                <w:szCs w:val="20"/>
                <w:color w:val="auto"/>
              </w:rPr>
            </w:pPr>
            <w:r>
              <w:rPr>
                <w:rFonts w:ascii="Arial" w:cs="Arial" w:eastAsia="Arial" w:hAnsi="Arial"/>
                <w:sz w:val="16"/>
                <w:szCs w:val="16"/>
                <w:color w:val="auto"/>
              </w:rPr>
              <w:t>154,095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2/23/2021</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jc w:val="right"/>
              <w:ind w:right="11"/>
              <w:spacing w:after="0" w:line="253" w:lineRule="exact"/>
              <w:rPr>
                <w:sz w:val="20"/>
                <w:szCs w:val="20"/>
                <w:color w:val="auto"/>
              </w:rPr>
            </w:pPr>
            <w:r>
              <w:rPr>
                <w:rFonts w:ascii="Arial" w:cs="Arial" w:eastAsia="Arial" w:hAnsi="Arial"/>
                <w:sz w:val="16"/>
                <w:szCs w:val="16"/>
                <w:color w:val="auto"/>
              </w:rPr>
              <w:t>16,240</w:t>
            </w:r>
            <w:r>
              <w:rPr>
                <w:rFonts w:ascii="Arial" w:cs="Arial" w:eastAsia="Arial" w:hAnsi="Arial"/>
                <w:sz w:val="24"/>
                <w:szCs w:val="24"/>
                <w:color w:val="auto"/>
                <w:vertAlign w:val="superscript"/>
              </w:rPr>
              <w:t>(12)</w:t>
            </w:r>
          </w:p>
        </w:tc>
        <w:tc>
          <w:tcPr>
            <w:tcW w:w="980" w:type="dxa"/>
            <w:vAlign w:val="bottom"/>
          </w:tcPr>
          <w:p>
            <w:pPr>
              <w:jc w:val="right"/>
              <w:spacing w:after="0"/>
              <w:rPr>
                <w:sz w:val="20"/>
                <w:szCs w:val="20"/>
                <w:color w:val="auto"/>
              </w:rPr>
            </w:pPr>
            <w:r>
              <w:rPr>
                <w:rFonts w:ascii="Arial" w:cs="Arial" w:eastAsia="Arial" w:hAnsi="Arial"/>
                <w:sz w:val="16"/>
                <w:szCs w:val="16"/>
                <w:color w:val="auto"/>
              </w:rPr>
              <w:t>1,154,826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2/21/2022</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jc w:val="right"/>
              <w:ind w:right="11"/>
              <w:spacing w:after="0" w:line="253" w:lineRule="exact"/>
              <w:rPr>
                <w:sz w:val="20"/>
                <w:szCs w:val="20"/>
                <w:color w:val="auto"/>
              </w:rPr>
            </w:pPr>
            <w:r>
              <w:rPr>
                <w:rFonts w:ascii="Arial" w:cs="Arial" w:eastAsia="Arial" w:hAnsi="Arial"/>
                <w:sz w:val="16"/>
                <w:szCs w:val="16"/>
                <w:color w:val="auto"/>
              </w:rPr>
              <w:t>11,338</w:t>
            </w:r>
            <w:r>
              <w:rPr>
                <w:rFonts w:ascii="Arial" w:cs="Arial" w:eastAsia="Arial" w:hAnsi="Arial"/>
                <w:sz w:val="24"/>
                <w:szCs w:val="24"/>
                <w:color w:val="auto"/>
                <w:vertAlign w:val="superscript"/>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806,245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480" w:type="dxa"/>
            <w:vAlign w:val="bottom"/>
            <w:tcBorders>
              <w:bottom w:val="single" w:sz="8" w:color="4C4C4C"/>
            </w:tcBorders>
          </w:tcPr>
          <w:p>
            <w:pPr>
              <w:spacing w:after="0"/>
              <w:rPr>
                <w:sz w:val="17"/>
                <w:szCs w:val="17"/>
                <w:color w:val="auto"/>
              </w:rPr>
            </w:pPr>
          </w:p>
        </w:tc>
        <w:tc>
          <w:tcPr>
            <w:tcW w:w="820" w:type="dxa"/>
            <w:vAlign w:val="bottom"/>
            <w:tcBorders>
              <w:bottom w:val="single" w:sz="8" w:color="4C4C4C"/>
            </w:tcBorders>
          </w:tcPr>
          <w:p>
            <w:pPr>
              <w:spacing w:after="0"/>
              <w:rPr>
                <w:sz w:val="17"/>
                <w:szCs w:val="17"/>
                <w:color w:val="auto"/>
              </w:rPr>
            </w:pPr>
          </w:p>
        </w:tc>
        <w:tc>
          <w:tcPr>
            <w:tcW w:w="300" w:type="dxa"/>
            <w:vAlign w:val="bottom"/>
            <w:tcBorders>
              <w:bottom w:val="single" w:sz="8" w:color="4C4C4C"/>
            </w:tcBorders>
          </w:tcPr>
          <w:p>
            <w:pPr>
              <w:spacing w:after="0"/>
              <w:rPr>
                <w:sz w:val="17"/>
                <w:szCs w:val="17"/>
                <w:color w:val="auto"/>
              </w:rPr>
            </w:pPr>
          </w:p>
        </w:tc>
        <w:tc>
          <w:tcPr>
            <w:tcW w:w="700" w:type="dxa"/>
            <w:vAlign w:val="bottom"/>
            <w:tcBorders>
              <w:bottom w:val="single" w:sz="8" w:color="4C4C4C"/>
            </w:tcBorders>
          </w:tcPr>
          <w:p>
            <w:pPr>
              <w:spacing w:after="0"/>
              <w:rPr>
                <w:sz w:val="17"/>
                <w:szCs w:val="17"/>
                <w:color w:val="auto"/>
              </w:rPr>
            </w:pPr>
          </w:p>
        </w:tc>
        <w:tc>
          <w:tcPr>
            <w:tcW w:w="940" w:type="dxa"/>
            <w:vAlign w:val="bottom"/>
            <w:tcBorders>
              <w:bottom w:val="single" w:sz="8" w:color="4C4C4C"/>
            </w:tcBorders>
          </w:tcPr>
          <w:p>
            <w:pPr>
              <w:spacing w:after="0"/>
              <w:rPr>
                <w:sz w:val="17"/>
                <w:szCs w:val="17"/>
                <w:color w:val="auto"/>
              </w:rPr>
            </w:pPr>
          </w:p>
        </w:tc>
        <w:tc>
          <w:tcPr>
            <w:tcW w:w="680" w:type="dxa"/>
            <w:vAlign w:val="bottom"/>
            <w:tcBorders>
              <w:bottom w:val="single" w:sz="8" w:color="4C4C4C"/>
            </w:tcBorders>
          </w:tcPr>
          <w:p>
            <w:pPr>
              <w:spacing w:after="0"/>
              <w:rPr>
                <w:sz w:val="17"/>
                <w:szCs w:val="17"/>
                <w:color w:val="auto"/>
              </w:rPr>
            </w:pPr>
          </w:p>
        </w:tc>
        <w:tc>
          <w:tcPr>
            <w:tcW w:w="680" w:type="dxa"/>
            <w:vAlign w:val="bottom"/>
            <w:tcBorders>
              <w:bottom w:val="single" w:sz="8" w:color="4C4C4C"/>
            </w:tcBorders>
          </w:tcPr>
          <w:p>
            <w:pPr>
              <w:spacing w:after="0"/>
              <w:rPr>
                <w:sz w:val="17"/>
                <w:szCs w:val="17"/>
                <w:color w:val="auto"/>
              </w:rPr>
            </w:pPr>
          </w:p>
        </w:tc>
        <w:tc>
          <w:tcPr>
            <w:tcW w:w="140" w:type="dxa"/>
            <w:vAlign w:val="bottom"/>
            <w:tcBorders>
              <w:bottom w:val="single" w:sz="8" w:color="4C4C4C"/>
            </w:tcBorders>
          </w:tcPr>
          <w:p>
            <w:pPr>
              <w:spacing w:after="0"/>
              <w:rPr>
                <w:sz w:val="17"/>
                <w:szCs w:val="17"/>
                <w:color w:val="auto"/>
              </w:rPr>
            </w:pPr>
          </w:p>
        </w:tc>
        <w:tc>
          <w:tcPr>
            <w:tcW w:w="860" w:type="dxa"/>
            <w:vAlign w:val="bottom"/>
            <w:tcBorders>
              <w:bottom w:val="single" w:sz="8" w:color="4C4C4C"/>
            </w:tcBorders>
          </w:tcPr>
          <w:p>
            <w:pPr>
              <w:jc w:val="right"/>
              <w:ind w:right="1"/>
              <w:spacing w:after="0"/>
              <w:rPr>
                <w:sz w:val="20"/>
                <w:szCs w:val="20"/>
                <w:color w:val="auto"/>
              </w:rPr>
            </w:pPr>
            <w:r>
              <w:rPr>
                <w:rFonts w:ascii="Arial" w:cs="Arial" w:eastAsia="Arial" w:hAnsi="Arial"/>
                <w:sz w:val="16"/>
                <w:szCs w:val="16"/>
                <w:color w:val="auto"/>
              </w:rPr>
              <w:t>2/20/2023</w:t>
            </w:r>
          </w:p>
        </w:tc>
        <w:tc>
          <w:tcPr>
            <w:tcW w:w="1000" w:type="dxa"/>
            <w:vAlign w:val="bottom"/>
            <w:tcBorders>
              <w:bottom w:val="single" w:sz="8" w:color="4C4C4C"/>
            </w:tcBorders>
          </w:tcPr>
          <w:p>
            <w:pPr>
              <w:spacing w:after="0"/>
              <w:rPr>
                <w:sz w:val="17"/>
                <w:szCs w:val="17"/>
                <w:color w:val="auto"/>
              </w:rPr>
            </w:pPr>
          </w:p>
        </w:tc>
        <w:tc>
          <w:tcPr>
            <w:tcW w:w="980" w:type="dxa"/>
            <w:vAlign w:val="bottom"/>
            <w:tcBorders>
              <w:bottom w:val="single" w:sz="8" w:color="4C4C4C"/>
            </w:tcBorders>
          </w:tcPr>
          <w:p>
            <w:pPr>
              <w:spacing w:after="0"/>
              <w:rPr>
                <w:sz w:val="17"/>
                <w:szCs w:val="17"/>
                <w:color w:val="auto"/>
              </w:rPr>
            </w:pPr>
          </w:p>
        </w:tc>
        <w:tc>
          <w:tcPr>
            <w:tcW w:w="1300" w:type="dxa"/>
            <w:vAlign w:val="bottom"/>
            <w:tcBorders>
              <w:bottom w:val="single" w:sz="8" w:color="4C4C4C"/>
            </w:tcBorders>
          </w:tcPr>
          <w:p>
            <w:pPr>
              <w:jc w:val="right"/>
              <w:ind w:right="11"/>
              <w:spacing w:after="0" w:line="201" w:lineRule="exact"/>
              <w:rPr>
                <w:sz w:val="20"/>
                <w:szCs w:val="20"/>
                <w:color w:val="auto"/>
              </w:rPr>
            </w:pPr>
            <w:r>
              <w:rPr>
                <w:rFonts w:ascii="Arial" w:cs="Arial" w:eastAsia="Arial" w:hAnsi="Arial"/>
                <w:sz w:val="15"/>
                <w:szCs w:val="15"/>
                <w:color w:val="auto"/>
              </w:rPr>
              <w:t>13,004</w:t>
            </w:r>
            <w:r>
              <w:rPr>
                <w:rFonts w:ascii="Arial" w:cs="Arial" w:eastAsia="Arial" w:hAnsi="Arial"/>
                <w:sz w:val="23"/>
                <w:szCs w:val="23"/>
                <w:color w:val="auto"/>
                <w:vertAlign w:val="superscript"/>
              </w:rPr>
              <w:t>(14)</w:t>
            </w:r>
          </w:p>
        </w:tc>
        <w:tc>
          <w:tcPr>
            <w:tcW w:w="98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924,714</w:t>
            </w:r>
          </w:p>
        </w:tc>
        <w:tc>
          <w:tcPr>
            <w:tcW w:w="6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480" w:type="dxa"/>
            <w:vAlign w:val="bottom"/>
          </w:tcPr>
          <w:p>
            <w:pPr>
              <w:ind w:left="80"/>
              <w:spacing w:after="0"/>
              <w:rPr>
                <w:sz w:val="20"/>
                <w:szCs w:val="20"/>
                <w:color w:val="auto"/>
              </w:rPr>
            </w:pPr>
            <w:r>
              <w:rPr>
                <w:rFonts w:ascii="Arial" w:cs="Arial" w:eastAsia="Arial" w:hAnsi="Arial"/>
                <w:sz w:val="16"/>
                <w:szCs w:val="16"/>
                <w:b w:val="1"/>
                <w:bCs w:val="1"/>
                <w:color w:val="1D4F90"/>
              </w:rPr>
              <w:t>Chris L. Walker</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2/25/2019</w:t>
            </w:r>
          </w:p>
        </w:tc>
        <w:tc>
          <w:tcPr>
            <w:tcW w:w="1000" w:type="dxa"/>
            <w:vAlign w:val="bottom"/>
          </w:tcPr>
          <w:p>
            <w:pPr>
              <w:jc w:val="right"/>
              <w:ind w:right="65"/>
              <w:spacing w:after="0"/>
              <w:rPr>
                <w:sz w:val="20"/>
                <w:szCs w:val="20"/>
                <w:color w:val="auto"/>
              </w:rPr>
            </w:pPr>
            <w:r>
              <w:rPr>
                <w:rFonts w:ascii="Arial" w:cs="Arial" w:eastAsia="Arial" w:hAnsi="Arial"/>
                <w:sz w:val="16"/>
                <w:szCs w:val="16"/>
                <w:color w:val="auto"/>
              </w:rPr>
              <w:t>3,812</w:t>
            </w:r>
            <w:r>
              <w:rPr>
                <w:rFonts w:ascii="Arial" w:cs="Arial" w:eastAsia="Arial" w:hAnsi="Arial"/>
                <w:sz w:val="24"/>
                <w:szCs w:val="24"/>
                <w:color w:val="auto"/>
                <w:vertAlign w:val="superscript"/>
              </w:rPr>
              <w:t>(5)</w:t>
            </w:r>
          </w:p>
        </w:tc>
        <w:tc>
          <w:tcPr>
            <w:tcW w:w="980" w:type="dxa"/>
            <w:vAlign w:val="bottom"/>
          </w:tcPr>
          <w:p>
            <w:pPr>
              <w:jc w:val="right"/>
              <w:spacing w:after="0"/>
              <w:rPr>
                <w:sz w:val="20"/>
                <w:szCs w:val="20"/>
                <w:color w:val="auto"/>
              </w:rPr>
            </w:pPr>
            <w:r>
              <w:rPr>
                <w:rFonts w:ascii="Arial" w:cs="Arial" w:eastAsia="Arial" w:hAnsi="Arial"/>
                <w:sz w:val="16"/>
                <w:szCs w:val="16"/>
                <w:color w:val="auto"/>
              </w:rPr>
              <w:t>271,071</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2/25/2019</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4,572</w:t>
            </w:r>
            <w:r>
              <w:rPr>
                <w:rFonts w:ascii="Arial" w:cs="Arial" w:eastAsia="Arial" w:hAnsi="Arial"/>
                <w:sz w:val="24"/>
                <w:szCs w:val="24"/>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325,115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2/21/2020</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2,576</w:t>
            </w:r>
            <w:r>
              <w:rPr>
                <w:rFonts w:ascii="Arial" w:cs="Arial" w:eastAsia="Arial" w:hAnsi="Arial"/>
                <w:sz w:val="24"/>
                <w:szCs w:val="24"/>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183,179</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2/21/2020</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6,184</w:t>
            </w:r>
            <w:r>
              <w:rPr>
                <w:rFonts w:ascii="Arial" w:cs="Arial" w:eastAsia="Arial" w:hAnsi="Arial"/>
                <w:sz w:val="24"/>
                <w:szCs w:val="24"/>
                <w:color w:val="auto"/>
                <w:vertAlign w:val="superscript"/>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439,744</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2/23/2021</w:t>
            </w:r>
          </w:p>
        </w:tc>
        <w:tc>
          <w:tcPr>
            <w:tcW w:w="1000" w:type="dxa"/>
            <w:vAlign w:val="bottom"/>
          </w:tcPr>
          <w:p>
            <w:pPr>
              <w:jc w:val="right"/>
              <w:ind w:right="65"/>
              <w:spacing w:after="0" w:line="253" w:lineRule="exact"/>
              <w:rPr>
                <w:sz w:val="20"/>
                <w:szCs w:val="20"/>
                <w:color w:val="auto"/>
              </w:rPr>
            </w:pPr>
            <w:r>
              <w:rPr>
                <w:rFonts w:ascii="Arial" w:cs="Arial" w:eastAsia="Arial" w:hAnsi="Arial"/>
                <w:sz w:val="16"/>
                <w:szCs w:val="16"/>
                <w:color w:val="auto"/>
              </w:rPr>
              <w:t>2,706</w:t>
            </w:r>
            <w:r>
              <w:rPr>
                <w:rFonts w:ascii="Arial" w:cs="Arial" w:eastAsia="Arial" w:hAnsi="Arial"/>
                <w:sz w:val="24"/>
                <w:szCs w:val="24"/>
                <w:color w:val="auto"/>
                <w:vertAlign w:val="superscript"/>
              </w:rPr>
              <w:t>(9)</w:t>
            </w:r>
          </w:p>
        </w:tc>
        <w:tc>
          <w:tcPr>
            <w:tcW w:w="980" w:type="dxa"/>
            <w:vAlign w:val="bottom"/>
          </w:tcPr>
          <w:p>
            <w:pPr>
              <w:jc w:val="right"/>
              <w:spacing w:after="0"/>
              <w:rPr>
                <w:sz w:val="20"/>
                <w:szCs w:val="20"/>
                <w:color w:val="auto"/>
              </w:rPr>
            </w:pPr>
            <w:r>
              <w:rPr>
                <w:rFonts w:ascii="Arial" w:cs="Arial" w:eastAsia="Arial" w:hAnsi="Arial"/>
                <w:sz w:val="16"/>
                <w:szCs w:val="16"/>
                <w:color w:val="auto"/>
              </w:rPr>
              <w:t>192,424</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1/1/2022</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28,457</w:t>
            </w:r>
            <w:r>
              <w:rPr>
                <w:rFonts w:ascii="Arial" w:cs="Arial" w:eastAsia="Arial" w:hAnsi="Arial"/>
                <w:sz w:val="24"/>
                <w:szCs w:val="24"/>
                <w:color w:val="auto"/>
                <w:vertAlign w:val="superscript"/>
              </w:rPr>
              <w:t>(16)</w:t>
            </w:r>
          </w:p>
        </w:tc>
        <w:tc>
          <w:tcPr>
            <w:tcW w:w="980" w:type="dxa"/>
            <w:vAlign w:val="bottom"/>
          </w:tcPr>
          <w:p>
            <w:pPr>
              <w:jc w:val="right"/>
              <w:spacing w:after="0"/>
              <w:rPr>
                <w:sz w:val="20"/>
                <w:szCs w:val="20"/>
                <w:color w:val="auto"/>
              </w:rPr>
            </w:pPr>
            <w:r>
              <w:rPr>
                <w:rFonts w:ascii="Arial" w:cs="Arial" w:eastAsia="Arial" w:hAnsi="Arial"/>
                <w:sz w:val="16"/>
                <w:szCs w:val="16"/>
                <w:color w:val="auto"/>
              </w:rPr>
              <w:t>2,023,577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2/21/2022</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1,889</w:t>
            </w:r>
            <w:r>
              <w:rPr>
                <w:rFonts w:ascii="Arial" w:cs="Arial" w:eastAsia="Arial" w:hAnsi="Arial"/>
                <w:sz w:val="24"/>
                <w:szCs w:val="24"/>
                <w:color w:val="auto"/>
                <w:vertAlign w:val="superscript"/>
              </w:rPr>
              <w:t>(17)</w:t>
            </w:r>
          </w:p>
        </w:tc>
        <w:tc>
          <w:tcPr>
            <w:tcW w:w="980" w:type="dxa"/>
            <w:vAlign w:val="bottom"/>
          </w:tcPr>
          <w:p>
            <w:pPr>
              <w:jc w:val="right"/>
              <w:spacing w:after="0"/>
              <w:rPr>
                <w:sz w:val="20"/>
                <w:szCs w:val="20"/>
                <w:color w:val="auto"/>
              </w:rPr>
            </w:pPr>
            <w:r>
              <w:rPr>
                <w:rFonts w:ascii="Arial" w:cs="Arial" w:eastAsia="Arial" w:hAnsi="Arial"/>
                <w:sz w:val="16"/>
                <w:szCs w:val="16"/>
                <w:color w:val="auto"/>
              </w:rPr>
              <w:t>134,327</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2/20/2023</w:t>
            </w:r>
          </w:p>
        </w:tc>
        <w:tc>
          <w:tcPr>
            <w:tcW w:w="1000" w:type="dxa"/>
            <w:vAlign w:val="bottom"/>
          </w:tcPr>
          <w:p>
            <w:pPr>
              <w:jc w:val="right"/>
              <w:ind w:right="5"/>
              <w:spacing w:after="0" w:line="253" w:lineRule="exact"/>
              <w:rPr>
                <w:sz w:val="20"/>
                <w:szCs w:val="20"/>
                <w:color w:val="auto"/>
              </w:rPr>
            </w:pPr>
            <w:r>
              <w:rPr>
                <w:rFonts w:ascii="Arial" w:cs="Arial" w:eastAsia="Arial" w:hAnsi="Arial"/>
                <w:sz w:val="16"/>
                <w:szCs w:val="16"/>
                <w:color w:val="auto"/>
              </w:rPr>
              <w:t>2,167</w:t>
            </w:r>
            <w:r>
              <w:rPr>
                <w:rFonts w:ascii="Arial" w:cs="Arial" w:eastAsia="Arial" w:hAnsi="Arial"/>
                <w:sz w:val="24"/>
                <w:szCs w:val="24"/>
                <w:color w:val="auto"/>
                <w:vertAlign w:val="superscript"/>
              </w:rPr>
              <w:t>(18)</w:t>
            </w:r>
          </w:p>
        </w:tc>
        <w:tc>
          <w:tcPr>
            <w:tcW w:w="980" w:type="dxa"/>
            <w:vAlign w:val="bottom"/>
          </w:tcPr>
          <w:p>
            <w:pPr>
              <w:jc w:val="right"/>
              <w:spacing w:after="0"/>
              <w:rPr>
                <w:sz w:val="20"/>
                <w:szCs w:val="20"/>
                <w:color w:val="auto"/>
              </w:rPr>
            </w:pPr>
            <w:r>
              <w:rPr>
                <w:rFonts w:ascii="Arial" w:cs="Arial" w:eastAsia="Arial" w:hAnsi="Arial"/>
                <w:sz w:val="16"/>
                <w:szCs w:val="16"/>
                <w:color w:val="auto"/>
              </w:rPr>
              <w:t>154,095</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2/23/2021</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jc w:val="right"/>
              <w:ind w:right="11"/>
              <w:spacing w:after="0" w:line="253" w:lineRule="exact"/>
              <w:rPr>
                <w:sz w:val="20"/>
                <w:szCs w:val="20"/>
                <w:color w:val="auto"/>
              </w:rPr>
            </w:pPr>
            <w:r>
              <w:rPr>
                <w:rFonts w:ascii="Arial" w:cs="Arial" w:eastAsia="Arial" w:hAnsi="Arial"/>
                <w:sz w:val="16"/>
                <w:szCs w:val="16"/>
                <w:color w:val="auto"/>
              </w:rPr>
              <w:t>16,240</w:t>
            </w:r>
            <w:r>
              <w:rPr>
                <w:rFonts w:ascii="Arial" w:cs="Arial" w:eastAsia="Arial" w:hAnsi="Arial"/>
                <w:sz w:val="24"/>
                <w:szCs w:val="24"/>
                <w:color w:val="auto"/>
                <w:vertAlign w:val="superscript"/>
              </w:rPr>
              <w:t>(12)</w:t>
            </w:r>
          </w:p>
        </w:tc>
        <w:tc>
          <w:tcPr>
            <w:tcW w:w="980" w:type="dxa"/>
            <w:vAlign w:val="bottom"/>
          </w:tcPr>
          <w:p>
            <w:pPr>
              <w:jc w:val="right"/>
              <w:spacing w:after="0"/>
              <w:rPr>
                <w:sz w:val="20"/>
                <w:szCs w:val="20"/>
                <w:color w:val="auto"/>
              </w:rPr>
            </w:pPr>
            <w:r>
              <w:rPr>
                <w:rFonts w:ascii="Arial" w:cs="Arial" w:eastAsia="Arial" w:hAnsi="Arial"/>
                <w:sz w:val="16"/>
                <w:szCs w:val="16"/>
                <w:color w:val="auto"/>
              </w:rPr>
              <w:t>1,154,826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2/21/2022</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00" w:type="dxa"/>
            <w:vAlign w:val="bottom"/>
          </w:tcPr>
          <w:p>
            <w:pPr>
              <w:jc w:val="right"/>
              <w:ind w:right="11"/>
              <w:spacing w:after="0" w:line="253" w:lineRule="exact"/>
              <w:rPr>
                <w:sz w:val="20"/>
                <w:szCs w:val="20"/>
                <w:color w:val="auto"/>
              </w:rPr>
            </w:pPr>
            <w:r>
              <w:rPr>
                <w:rFonts w:ascii="Arial" w:cs="Arial" w:eastAsia="Arial" w:hAnsi="Arial"/>
                <w:sz w:val="16"/>
                <w:szCs w:val="16"/>
                <w:color w:val="auto"/>
              </w:rPr>
              <w:t>11,338</w:t>
            </w:r>
            <w:r>
              <w:rPr>
                <w:rFonts w:ascii="Arial" w:cs="Arial" w:eastAsia="Arial" w:hAnsi="Arial"/>
                <w:sz w:val="24"/>
                <w:szCs w:val="24"/>
                <w:color w:val="auto"/>
                <w:vertAlign w:val="superscript"/>
              </w:rPr>
              <w:t>(19)</w:t>
            </w:r>
          </w:p>
        </w:tc>
        <w:tc>
          <w:tcPr>
            <w:tcW w:w="980" w:type="dxa"/>
            <w:vAlign w:val="bottom"/>
          </w:tcPr>
          <w:p>
            <w:pPr>
              <w:jc w:val="right"/>
              <w:spacing w:after="0"/>
              <w:rPr>
                <w:sz w:val="20"/>
                <w:szCs w:val="20"/>
                <w:color w:val="auto"/>
              </w:rPr>
            </w:pPr>
            <w:r>
              <w:rPr>
                <w:rFonts w:ascii="Arial" w:cs="Arial" w:eastAsia="Arial" w:hAnsi="Arial"/>
                <w:sz w:val="16"/>
                <w:szCs w:val="16"/>
                <w:color w:val="auto"/>
              </w:rPr>
              <w:t>806,245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480" w:type="dxa"/>
            <w:vAlign w:val="bottom"/>
            <w:tcBorders>
              <w:bottom w:val="single" w:sz="8" w:color="C6093B"/>
            </w:tcBorders>
          </w:tcPr>
          <w:p>
            <w:pPr>
              <w:spacing w:after="0"/>
              <w:rPr>
                <w:sz w:val="18"/>
                <w:szCs w:val="18"/>
                <w:color w:val="auto"/>
              </w:rPr>
            </w:pPr>
          </w:p>
        </w:tc>
        <w:tc>
          <w:tcPr>
            <w:tcW w:w="820" w:type="dxa"/>
            <w:vAlign w:val="bottom"/>
            <w:tcBorders>
              <w:bottom w:val="single" w:sz="8" w:color="C6093B"/>
            </w:tcBorders>
          </w:tcPr>
          <w:p>
            <w:pPr>
              <w:spacing w:after="0"/>
              <w:rPr>
                <w:sz w:val="18"/>
                <w:szCs w:val="18"/>
                <w:color w:val="auto"/>
              </w:rPr>
            </w:pPr>
          </w:p>
        </w:tc>
        <w:tc>
          <w:tcPr>
            <w:tcW w:w="300" w:type="dxa"/>
            <w:vAlign w:val="bottom"/>
            <w:tcBorders>
              <w:bottom w:val="single" w:sz="8" w:color="C6093B"/>
            </w:tcBorders>
          </w:tcPr>
          <w:p>
            <w:pPr>
              <w:spacing w:after="0"/>
              <w:rPr>
                <w:sz w:val="18"/>
                <w:szCs w:val="18"/>
                <w:color w:val="auto"/>
              </w:rPr>
            </w:pPr>
          </w:p>
        </w:tc>
        <w:tc>
          <w:tcPr>
            <w:tcW w:w="700" w:type="dxa"/>
            <w:vAlign w:val="bottom"/>
            <w:tcBorders>
              <w:bottom w:val="single" w:sz="8" w:color="C6093B"/>
            </w:tcBorders>
          </w:tcPr>
          <w:p>
            <w:pPr>
              <w:spacing w:after="0"/>
              <w:rPr>
                <w:sz w:val="18"/>
                <w:szCs w:val="18"/>
                <w:color w:val="auto"/>
              </w:rPr>
            </w:pPr>
          </w:p>
        </w:tc>
        <w:tc>
          <w:tcPr>
            <w:tcW w:w="940" w:type="dxa"/>
            <w:vAlign w:val="bottom"/>
            <w:tcBorders>
              <w:bottom w:val="single" w:sz="8" w:color="C6093B"/>
            </w:tcBorders>
          </w:tcPr>
          <w:p>
            <w:pPr>
              <w:spacing w:after="0"/>
              <w:rPr>
                <w:sz w:val="18"/>
                <w:szCs w:val="18"/>
                <w:color w:val="auto"/>
              </w:rPr>
            </w:pPr>
          </w:p>
        </w:tc>
        <w:tc>
          <w:tcPr>
            <w:tcW w:w="680" w:type="dxa"/>
            <w:vAlign w:val="bottom"/>
            <w:tcBorders>
              <w:bottom w:val="single" w:sz="8" w:color="C6093B"/>
            </w:tcBorders>
          </w:tcPr>
          <w:p>
            <w:pPr>
              <w:spacing w:after="0"/>
              <w:rPr>
                <w:sz w:val="18"/>
                <w:szCs w:val="18"/>
                <w:color w:val="auto"/>
              </w:rPr>
            </w:pPr>
          </w:p>
        </w:tc>
        <w:tc>
          <w:tcPr>
            <w:tcW w:w="680" w:type="dxa"/>
            <w:vAlign w:val="bottom"/>
            <w:tcBorders>
              <w:bottom w:val="single" w:sz="8" w:color="C6093B"/>
            </w:tcBorders>
          </w:tcPr>
          <w:p>
            <w:pPr>
              <w:spacing w:after="0"/>
              <w:rPr>
                <w:sz w:val="18"/>
                <w:szCs w:val="18"/>
                <w:color w:val="auto"/>
              </w:rPr>
            </w:pPr>
          </w:p>
        </w:tc>
        <w:tc>
          <w:tcPr>
            <w:tcW w:w="140" w:type="dxa"/>
            <w:vAlign w:val="bottom"/>
            <w:tcBorders>
              <w:bottom w:val="single" w:sz="8" w:color="C6093B"/>
            </w:tcBorders>
          </w:tcPr>
          <w:p>
            <w:pPr>
              <w:spacing w:after="0"/>
              <w:rPr>
                <w:sz w:val="18"/>
                <w:szCs w:val="18"/>
                <w:color w:val="auto"/>
              </w:rPr>
            </w:pPr>
          </w:p>
        </w:tc>
        <w:tc>
          <w:tcPr>
            <w:tcW w:w="860" w:type="dxa"/>
            <w:vAlign w:val="bottom"/>
            <w:tcBorders>
              <w:bottom w:val="single" w:sz="8" w:color="C6093B"/>
            </w:tcBorders>
          </w:tcPr>
          <w:p>
            <w:pPr>
              <w:jc w:val="right"/>
              <w:ind w:right="1"/>
              <w:spacing w:after="0"/>
              <w:rPr>
                <w:sz w:val="20"/>
                <w:szCs w:val="20"/>
                <w:color w:val="auto"/>
              </w:rPr>
            </w:pPr>
            <w:r>
              <w:rPr>
                <w:rFonts w:ascii="Arial" w:cs="Arial" w:eastAsia="Arial" w:hAnsi="Arial"/>
                <w:sz w:val="16"/>
                <w:szCs w:val="16"/>
                <w:color w:val="auto"/>
              </w:rPr>
              <w:t>2/20/2023</w:t>
            </w:r>
          </w:p>
        </w:tc>
        <w:tc>
          <w:tcPr>
            <w:tcW w:w="1000" w:type="dxa"/>
            <w:vAlign w:val="bottom"/>
            <w:tcBorders>
              <w:bottom w:val="single" w:sz="8" w:color="C6093B"/>
            </w:tcBorders>
          </w:tcPr>
          <w:p>
            <w:pPr>
              <w:spacing w:after="0"/>
              <w:rPr>
                <w:sz w:val="18"/>
                <w:szCs w:val="18"/>
                <w:color w:val="auto"/>
              </w:rPr>
            </w:pPr>
          </w:p>
        </w:tc>
        <w:tc>
          <w:tcPr>
            <w:tcW w:w="980" w:type="dxa"/>
            <w:vAlign w:val="bottom"/>
            <w:tcBorders>
              <w:bottom w:val="single" w:sz="8" w:color="C6093B"/>
            </w:tcBorders>
          </w:tcPr>
          <w:p>
            <w:pPr>
              <w:spacing w:after="0"/>
              <w:rPr>
                <w:sz w:val="18"/>
                <w:szCs w:val="18"/>
                <w:color w:val="auto"/>
              </w:rPr>
            </w:pPr>
          </w:p>
        </w:tc>
        <w:tc>
          <w:tcPr>
            <w:tcW w:w="1300" w:type="dxa"/>
            <w:vAlign w:val="bottom"/>
            <w:tcBorders>
              <w:bottom w:val="single" w:sz="8" w:color="C6093B"/>
            </w:tcBorders>
          </w:tcPr>
          <w:p>
            <w:pPr>
              <w:jc w:val="right"/>
              <w:ind w:right="11"/>
              <w:spacing w:after="0" w:line="201" w:lineRule="exact"/>
              <w:rPr>
                <w:sz w:val="20"/>
                <w:szCs w:val="20"/>
                <w:color w:val="auto"/>
              </w:rPr>
            </w:pPr>
            <w:r>
              <w:rPr>
                <w:rFonts w:ascii="Arial" w:cs="Arial" w:eastAsia="Arial" w:hAnsi="Arial"/>
                <w:sz w:val="15"/>
                <w:szCs w:val="15"/>
                <w:color w:val="auto"/>
              </w:rPr>
              <w:t>13,004</w:t>
            </w:r>
            <w:r>
              <w:rPr>
                <w:rFonts w:ascii="Arial" w:cs="Arial" w:eastAsia="Arial" w:hAnsi="Arial"/>
                <w:sz w:val="23"/>
                <w:szCs w:val="23"/>
                <w:color w:val="auto"/>
                <w:vertAlign w:val="superscript"/>
              </w:rPr>
              <w:t>(20)</w:t>
            </w:r>
          </w:p>
        </w:tc>
        <w:tc>
          <w:tcPr>
            <w:tcW w:w="98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924,714</w:t>
            </w:r>
          </w:p>
        </w:tc>
        <w:tc>
          <w:tcPr>
            <w:tcW w:w="60" w:type="dxa"/>
            <w:vAlign w:val="bottom"/>
            <w:tcBorders>
              <w:bottom w:val="single" w:sz="8" w:color="C6093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ind w:left="220" w:hanging="213"/>
        <w:spacing w:after="0"/>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 market value shown was determined by multiplying the number of shares of stock that have not vested by $71.11, the closing market price of our common stock on December 31, 2023.</w:t>
      </w:r>
    </w:p>
    <w:p>
      <w:pPr>
        <w:spacing w:after="0" w:line="61" w:lineRule="exact"/>
        <w:rPr>
          <w:rFonts w:ascii="Arial" w:cs="Arial" w:eastAsia="Arial" w:hAnsi="Arial"/>
          <w:sz w:val="19"/>
          <w:szCs w:val="19"/>
          <w:color w:val="auto"/>
          <w:vertAlign w:val="superscript"/>
        </w:rPr>
      </w:pPr>
    </w:p>
    <w:p>
      <w:pPr>
        <w:ind w:left="220" w:hanging="213"/>
        <w:spacing w:after="0" w:line="187" w:lineRule="auto"/>
        <w:tabs>
          <w:tab w:leader="none" w:pos="220" w:val="left"/>
        </w:tabs>
        <w:numPr>
          <w:ilvl w:val="0"/>
          <w:numId w:val="44"/>
        </w:numPr>
        <w:rPr>
          <w:rFonts w:ascii="Arial" w:cs="Arial" w:eastAsia="Arial" w:hAnsi="Arial"/>
          <w:sz w:val="17"/>
          <w:szCs w:val="17"/>
          <w:color w:val="auto"/>
          <w:vertAlign w:val="superscript"/>
        </w:rPr>
      </w:pPr>
      <w:r>
        <w:rPr>
          <w:rFonts w:ascii="Arial" w:cs="Arial" w:eastAsia="Arial" w:hAnsi="Arial"/>
          <w:sz w:val="11"/>
          <w:szCs w:val="11"/>
          <w:color w:val="auto"/>
        </w:rPr>
        <w:t>The market value shown was determined by multiplying the number of unearned stock shares (at target) by $71.11, the closing market price of our common stock on December 31, 2023.</w:t>
      </w:r>
    </w:p>
    <w:p>
      <w:pPr>
        <w:spacing w:after="0" w:line="61" w:lineRule="exact"/>
        <w:rPr>
          <w:rFonts w:ascii="Arial" w:cs="Arial" w:eastAsia="Arial" w:hAnsi="Arial"/>
          <w:sz w:val="17"/>
          <w:szCs w:val="17"/>
          <w:color w:val="auto"/>
          <w:vertAlign w:val="superscript"/>
        </w:rPr>
      </w:pPr>
    </w:p>
    <w:p>
      <w:pPr>
        <w:ind w:left="220" w:right="20" w:hanging="213"/>
        <w:spacing w:after="0" w:line="217" w:lineRule="auto"/>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These PSAs will vest on July 21, 2029, the 20th anniversary of the grant date, assuming continuous employment through such vesting date, provided that vesting will accelerate in the event of the attainment of age 64, death or disability, or in the event of (i) the Company’s entry into any agreement to sell all or substantially all of its assets or to enter into any merger, consolidation, reorganization, division or other corporate transaction in which Company stock is converted into another security or into the right to receive securities or property, where such agreement does not provide for the assumption or substitution of PSP stock; (ii) any tender or exchange offer for the Company’s stock accepted by a majority of the shareholders of the Company; or (iii) the death of Mr. Hyatt Brown and the subsequent sale by his estate, his wife, his lineal descendants, any trust created for his benefit during his lifetime, or any combination of the foregoing, of the Company stock owned by Mr. Hyatt Brown prior to his death.</w:t>
      </w:r>
    </w:p>
    <w:p>
      <w:pPr>
        <w:spacing w:after="0" w:line="49" w:lineRule="exact"/>
        <w:rPr>
          <w:rFonts w:ascii="Arial" w:cs="Arial" w:eastAsia="Arial" w:hAnsi="Arial"/>
          <w:sz w:val="19"/>
          <w:szCs w:val="19"/>
          <w:color w:val="auto"/>
          <w:vertAlign w:val="superscript"/>
        </w:rPr>
      </w:pPr>
    </w:p>
    <w:p>
      <w:pPr>
        <w:ind w:left="220" w:right="20" w:hanging="213"/>
        <w:spacing w:after="0" w:line="220" w:lineRule="auto"/>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These PSAs will vest on July 21, 2029, the 20th anniversary of the grant date, assuming continuous employment through such vesting date, provided that vesting will accelerate in the event of the attainment of age 64, death or disability, or in the event of (i) the Company’s entry into any agreement to sell all or substantially all of its assets or to enter into any merger, consolidation, reorganization, division or other corporate transaction in which Company stock is converted into another security or into the right to receive securities or property, where such agreement does not provide for the assumption or substitution of PSP stock; (ii) any tender or exchange offer for the Company’s stock accepted by a majority of the shareholders of the Company; or (iii) the death of Mr. Hyatt Brown and the subsequent sale by his estate, his wife, his lineal descendants, any trust created for his benefit during his lifetime, or any combination of the foregoing, of the Company stock owned by Mr. Hyatt Brown prior to his death.</w:t>
      </w:r>
    </w:p>
    <w:p>
      <w:pPr>
        <w:ind w:left="220" w:hanging="213"/>
        <w:spacing w:after="0" w:line="235" w:lineRule="auto"/>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These RSAs vested on February 25, 2024, the fifth anniversary of the grant date.</w:t>
      </w:r>
    </w:p>
    <w:p>
      <w:pPr>
        <w:spacing w:after="0" w:line="61" w:lineRule="exact"/>
        <w:rPr>
          <w:rFonts w:ascii="Arial" w:cs="Arial" w:eastAsia="Arial" w:hAnsi="Arial"/>
          <w:sz w:val="19"/>
          <w:szCs w:val="19"/>
          <w:color w:val="auto"/>
          <w:vertAlign w:val="superscript"/>
        </w:rPr>
      </w:pPr>
    </w:p>
    <w:p>
      <w:pPr>
        <w:ind w:left="220" w:hanging="213"/>
        <w:spacing w:after="0" w:line="187" w:lineRule="auto"/>
        <w:tabs>
          <w:tab w:leader="none" w:pos="220" w:val="left"/>
        </w:tabs>
        <w:numPr>
          <w:ilvl w:val="0"/>
          <w:numId w:val="44"/>
        </w:numPr>
        <w:rPr>
          <w:rFonts w:ascii="Arial" w:cs="Arial" w:eastAsia="Arial" w:hAnsi="Arial"/>
          <w:sz w:val="17"/>
          <w:szCs w:val="17"/>
          <w:color w:val="auto"/>
          <w:vertAlign w:val="superscript"/>
        </w:rPr>
      </w:pPr>
      <w:r>
        <w:rPr>
          <w:rFonts w:ascii="Arial" w:cs="Arial" w:eastAsia="Arial" w:hAnsi="Arial"/>
          <w:sz w:val="11"/>
          <w:szCs w:val="11"/>
          <w:color w:val="auto"/>
        </w:rPr>
        <w:t>These PSAs vested on February 25, 2024, the fifth anniversary of the grant date.</w:t>
      </w:r>
    </w:p>
    <w:p>
      <w:pPr>
        <w:spacing w:after="0" w:line="61" w:lineRule="exact"/>
        <w:rPr>
          <w:rFonts w:ascii="Arial" w:cs="Arial" w:eastAsia="Arial" w:hAnsi="Arial"/>
          <w:sz w:val="17"/>
          <w:szCs w:val="17"/>
          <w:color w:val="auto"/>
          <w:vertAlign w:val="superscript"/>
        </w:rPr>
      </w:pPr>
    </w:p>
    <w:p>
      <w:pPr>
        <w:ind w:left="220" w:right="60" w:hanging="213"/>
        <w:spacing w:after="0" w:line="192" w:lineRule="auto"/>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These RSAs will vest on February 21, 2025,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w:t>
      </w:r>
    </w:p>
    <w:p>
      <w:pPr>
        <w:spacing w:after="0" w:line="50" w:lineRule="exact"/>
        <w:rPr>
          <w:rFonts w:ascii="Arial" w:cs="Arial" w:eastAsia="Arial" w:hAnsi="Arial"/>
          <w:sz w:val="19"/>
          <w:szCs w:val="19"/>
          <w:color w:val="auto"/>
          <w:vertAlign w:val="superscript"/>
        </w:rPr>
      </w:pPr>
    </w:p>
    <w:p>
      <w:pPr>
        <w:ind w:left="220" w:right="60" w:hanging="213"/>
        <w:spacing w:after="0" w:line="201" w:lineRule="auto"/>
        <w:tabs>
          <w:tab w:leader="none" w:pos="220" w:val="left"/>
        </w:tabs>
        <w:numPr>
          <w:ilvl w:val="0"/>
          <w:numId w:val="44"/>
        </w:numPr>
        <w:rPr>
          <w:rFonts w:ascii="Arial" w:cs="Arial" w:eastAsia="Arial" w:hAnsi="Arial"/>
          <w:sz w:val="19"/>
          <w:szCs w:val="19"/>
          <w:color w:val="auto"/>
          <w:vertAlign w:val="superscript"/>
        </w:rPr>
      </w:pPr>
      <w:r>
        <w:rPr>
          <w:rFonts w:ascii="Arial" w:cs="Arial" w:eastAsia="Arial" w:hAnsi="Arial"/>
          <w:sz w:val="12"/>
          <w:szCs w:val="12"/>
          <w:color w:val="auto"/>
        </w:rPr>
        <w:t>These PSAs will vest on February 21, 2025, the fifth anniversary of the grant date, assuming continuous employment through such vesting date, provided that vesting will accelerate in the event of the attainment of age 64, death, disability or termination (including constructive termination) without cause within 12 months following a change in control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52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299" w:right="49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8" w:lineRule="exact"/>
        <w:rPr>
          <w:sz w:val="20"/>
          <w:szCs w:val="20"/>
          <w:color w:val="auto"/>
        </w:rPr>
      </w:pPr>
    </w:p>
    <w:p>
      <w:pPr>
        <w:ind w:left="220" w:right="60" w:hanging="213"/>
        <w:spacing w:after="0" w:line="201" w:lineRule="auto"/>
        <w:tabs>
          <w:tab w:leader="none" w:pos="220" w:val="left"/>
        </w:tabs>
        <w:numPr>
          <w:ilvl w:val="0"/>
          <w:numId w:val="45"/>
        </w:numPr>
        <w:rPr>
          <w:rFonts w:ascii="Arial" w:cs="Arial" w:eastAsia="Arial" w:hAnsi="Arial"/>
          <w:sz w:val="19"/>
          <w:szCs w:val="19"/>
          <w:color w:val="auto"/>
          <w:vertAlign w:val="superscript"/>
        </w:rPr>
      </w:pPr>
      <w:r>
        <w:rPr>
          <w:rFonts w:ascii="Arial" w:cs="Arial" w:eastAsia="Arial" w:hAnsi="Arial"/>
          <w:sz w:val="12"/>
          <w:szCs w:val="12"/>
          <w:color w:val="auto"/>
        </w:rPr>
        <w:t>These RSAs will vest on February 23, 2026,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w:t>
      </w:r>
    </w:p>
    <w:p>
      <w:pPr>
        <w:spacing w:after="0" w:line="49" w:lineRule="exact"/>
        <w:rPr>
          <w:rFonts w:ascii="Arial" w:cs="Arial" w:eastAsia="Arial" w:hAnsi="Arial"/>
          <w:sz w:val="19"/>
          <w:szCs w:val="19"/>
          <w:color w:val="auto"/>
          <w:vertAlign w:val="superscript"/>
        </w:rPr>
      </w:pPr>
    </w:p>
    <w:p>
      <w:pPr>
        <w:ind w:left="220" w:right="60" w:hanging="213"/>
        <w:spacing w:after="0" w:line="222"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RSAs will vest on February 21, 2027,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w:t>
      </w:r>
    </w:p>
    <w:p>
      <w:pPr>
        <w:spacing w:after="0" w:line="49" w:lineRule="exact"/>
        <w:rPr>
          <w:rFonts w:ascii="Arial" w:cs="Arial" w:eastAsia="Arial" w:hAnsi="Arial"/>
          <w:sz w:val="17"/>
          <w:szCs w:val="17"/>
          <w:color w:val="auto"/>
          <w:vertAlign w:val="superscript"/>
        </w:rPr>
      </w:pPr>
    </w:p>
    <w:p>
      <w:pPr>
        <w:ind w:left="220" w:right="60" w:hanging="213"/>
        <w:spacing w:after="0" w:line="222"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RSAs will vest on February 20, 2028,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w:t>
      </w:r>
    </w:p>
    <w:p>
      <w:pPr>
        <w:spacing w:after="0" w:line="49" w:lineRule="exact"/>
        <w:rPr>
          <w:rFonts w:ascii="Arial" w:cs="Arial" w:eastAsia="Arial" w:hAnsi="Arial"/>
          <w:sz w:val="17"/>
          <w:szCs w:val="17"/>
          <w:color w:val="auto"/>
          <w:vertAlign w:val="superscript"/>
        </w:rPr>
      </w:pPr>
    </w:p>
    <w:p>
      <w:pPr>
        <w:ind w:left="220" w:right="120" w:hanging="213"/>
        <w:spacing w:after="0" w:line="275"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 shown represents the maximum number of PSAs that could have been earned during the three-year performance period of January 1, 2021, to December 31, 2023. The actual number of PSAs earned could have been between 0% and 200% of target based on the Average Organic Revenue Growth and Adjusted EPS during the performance period, as set forth in the applicable award agreements and as determined by the Compensation Committee. In February 2024, the Compensation Committee determined the Average Organic Revenue Growth and Adjusted EPS during the performance period fell above the maximum performance levels, resulting in a payout percentage of 200% of the target. For all named executive officers other than Mr. Walker, these earned PSAs will vest on February 23, 2026, the fifth anniversary of the grant date, assuming continuous employment through such vesting date, provided that vesting will accelerate in the event of the attainment of age 64, death, disability or termination (including constructive termination) without cause within 12 months following a change in control of the Company. For Mr. Walker, who has already attained age 64, 60% of these earned PSAs vested on February 23, 2024, the third anniversary of the grant date, and the remaining 40% of these earned PSAs will vest two equal increments on February 23, 2025 and February 23, 2026, the fourth and fifth anniversaries of the grant date, respectively, assuming continuous employment through such vesting date, provided that vesting will accelerate in the event of Mr. Walker’s death, disability or termination (including constructive termination) without cause within 12 months following a change in control of the Company.</w:t>
      </w:r>
    </w:p>
    <w:p>
      <w:pPr>
        <w:spacing w:after="0" w:line="34" w:lineRule="exact"/>
        <w:rPr>
          <w:rFonts w:ascii="Arial" w:cs="Arial" w:eastAsia="Arial" w:hAnsi="Arial"/>
          <w:sz w:val="17"/>
          <w:szCs w:val="17"/>
          <w:color w:val="auto"/>
          <w:vertAlign w:val="superscript"/>
        </w:rPr>
      </w:pPr>
    </w:p>
    <w:p>
      <w:pPr>
        <w:ind w:left="220" w:right="140" w:hanging="213"/>
        <w:spacing w:after="0" w:line="239"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 shown represents the maximum number of PSAs that can be earned during the three-year performance period of January 1, 2022, to December 31, 2024. The actual number of PSAs earned will be between 0% and 200% of target based on the Average Organic Revenue Growth and Adjusted EPS during the performance period, as set forth in the applicable award agreements and as determined by the Compensation Committee. Performance for 2022 and 2023 was above target but the results could change during the remaining year of the performance period. Earned PSAs will vest on February 21, 2027, the fifth anniversary of the grant date, assuming continuous employment through such vesting date, provided that vesting will accelerate in the event of the attainment of age 64, death, disability or termination (including constructive termination) without cause within 12 months following a change in control of the Company.</w:t>
      </w:r>
    </w:p>
    <w:p>
      <w:pPr>
        <w:spacing w:after="0" w:line="50" w:lineRule="exact"/>
        <w:rPr>
          <w:rFonts w:ascii="Arial" w:cs="Arial" w:eastAsia="Arial" w:hAnsi="Arial"/>
          <w:sz w:val="17"/>
          <w:szCs w:val="17"/>
          <w:color w:val="auto"/>
          <w:vertAlign w:val="superscript"/>
        </w:rPr>
      </w:pPr>
    </w:p>
    <w:p>
      <w:pPr>
        <w:ind w:left="220" w:right="20" w:hanging="213"/>
        <w:spacing w:after="0" w:line="239"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 shown represents the maximum number of PSAs that can be earned during the three-year performance period of January 1, 2023, to December 31, 2025. The actual number of PSAs earned will be between 0% and 200% of target based on the Average Organic Revenue Growth and Adjusted EPS during the performance period, as set forth in the applicable award agreements and as determined by the Compensation Committee. Performance for 2023 was above target but the results could change during the remaining two years of the performance period. Earned PSAs will vest on February 20, 2028, the fifth anniversary of the grant date, assuming continuous employment through such vesting date, provided that vesting will accelerate in the event of the attainment of age 64, death, disability or termination (including constructive termination) without cause within 12 months following a change in control of the Company.</w:t>
      </w:r>
    </w:p>
    <w:p>
      <w:pPr>
        <w:spacing w:after="0" w:line="50" w:lineRule="exact"/>
        <w:rPr>
          <w:rFonts w:ascii="Arial" w:cs="Arial" w:eastAsia="Arial" w:hAnsi="Arial"/>
          <w:sz w:val="17"/>
          <w:szCs w:val="17"/>
          <w:color w:val="auto"/>
          <w:vertAlign w:val="superscript"/>
        </w:rPr>
      </w:pPr>
    </w:p>
    <w:p>
      <w:pPr>
        <w:ind w:left="220" w:right="160" w:hanging="213"/>
        <w:spacing w:after="0" w:line="222"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RSAs will vest in increments of 25%, 25% and 50% on July 1, 2027, July 1, 2028 and July 1, 2029, respectively, assuming continuous employment through such vesting dates, provided that vesting will accelerate in the event of death, disability or termination (including constructive termination) without cause within 12 months following a change in control of the Company.</w:t>
      </w:r>
    </w:p>
    <w:p>
      <w:pPr>
        <w:spacing w:after="0" w:line="49" w:lineRule="exact"/>
        <w:rPr>
          <w:rFonts w:ascii="Arial" w:cs="Arial" w:eastAsia="Arial" w:hAnsi="Arial"/>
          <w:sz w:val="17"/>
          <w:szCs w:val="17"/>
          <w:color w:val="auto"/>
          <w:vertAlign w:val="superscript"/>
        </w:rPr>
      </w:pPr>
    </w:p>
    <w:p>
      <w:pPr>
        <w:ind w:left="220" w:hanging="213"/>
        <w:spacing w:after="0"/>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RSUs will be awarded in five equal installments on the first five anniversaries of the date of grant and, once awarded, will vest in increments of 25%, 25% and 50% on July 1, 2027, July 1, 2028 and July 1, 2029, respectively, assuming continuous employment through such vesting dates, provided that vesting will accelerate in the event of death, disability or termination (including constructive termination) without cause within 12 months following a change in control of the Company. If Mr. Walker’s retirement occurs on or before July 1, 2027, awarded RSUs will be paid in increments of 25% on the first year anniversary of retirement and 75% on the second anniversary of retirement, subject to Mr. Walker being in good standing with the Company as of the dates of such payments; and if Mr. Walker’s retirement occurs after July 1, 2027, awarded RSUs will be paid post-retirement on the remaining original scheduled vesting dates, subject to Mr. Walker being in good standing with the Company as of the dates of such payments.</w:t>
      </w:r>
    </w:p>
    <w:p>
      <w:pPr>
        <w:spacing w:after="0" w:line="181" w:lineRule="exact"/>
        <w:rPr>
          <w:rFonts w:ascii="Arial" w:cs="Arial" w:eastAsia="Arial" w:hAnsi="Arial"/>
          <w:sz w:val="17"/>
          <w:szCs w:val="17"/>
          <w:color w:val="auto"/>
          <w:vertAlign w:val="superscript"/>
        </w:rPr>
      </w:pPr>
    </w:p>
    <w:p>
      <w:pPr>
        <w:ind w:left="220" w:right="40" w:hanging="213"/>
        <w:spacing w:after="0"/>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RSUs vest on February 21, 2027, the fifth anniversary of the grant date, assuming continuous employment through such date, provided that vesting will accelerate in the event of death, disability or termination (including constructive termination) without cause within 12 months following a change in control of the Company. If Mr. Walker’s retirement occurs before the third anniversary of the date of grant, the RSUs will be paid to Mr. Walker on the second anniversary of his retirement, subject to Mr. Walker being in good standing with the Company as of the date of such payment; and if Mr. Walker’s retirement occurs after the third anniversary of the date of grant, the RSUs will be paid to Mr. Walker on the fifth anniversary of the date of grant, subject to Mr. Walker being in good standing with the Company as of the date of such payment.</w:t>
      </w:r>
    </w:p>
    <w:p>
      <w:pPr>
        <w:spacing w:after="0" w:line="174" w:lineRule="exact"/>
        <w:rPr>
          <w:rFonts w:ascii="Arial" w:cs="Arial" w:eastAsia="Arial" w:hAnsi="Arial"/>
          <w:sz w:val="17"/>
          <w:szCs w:val="17"/>
          <w:color w:val="auto"/>
          <w:vertAlign w:val="superscript"/>
        </w:rPr>
      </w:pPr>
    </w:p>
    <w:p>
      <w:pPr>
        <w:ind w:left="220" w:right="40" w:hanging="213"/>
        <w:spacing w:after="0"/>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These RSUs vest vests on February 20, 2028, the fifth anniversary of the grant date, assuming continuous employment through such date, provided that vesting will accelerate in the event of death, disability or termination (including constructive termination) without cause within 12 months following a change in control of the Company. If Mr. Walker’s retirement occurs before the third anniversary of the date of grant, the RSUs will be paid to Mr. Walker on the second anniversary of his retirement, subject to Mr. Walker being in good standing with the Company as of the date of such payment; and if Mr. Walker’s retirement occurs after the third anniversary of the date of grant, the RSUs will be paid to Mr. Walker on the fifth anniversary of the date of grant, subject to Mr. Walker being in good standing with the Company as of the date of such payment.</w:t>
      </w:r>
    </w:p>
    <w:p>
      <w:pPr>
        <w:spacing w:after="0" w:line="174" w:lineRule="exact"/>
        <w:rPr>
          <w:rFonts w:ascii="Arial" w:cs="Arial" w:eastAsia="Arial" w:hAnsi="Arial"/>
          <w:sz w:val="17"/>
          <w:szCs w:val="17"/>
          <w:color w:val="auto"/>
          <w:vertAlign w:val="superscript"/>
        </w:rPr>
      </w:pPr>
    </w:p>
    <w:p>
      <w:pPr>
        <w:ind w:left="220" w:right="80" w:hanging="213"/>
        <w:spacing w:after="0" w:line="242"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 shown represents the maximum number of PSUs that can be earned during the three-year performance period of January 1, 2022, to December 31, 2024. The actual number of PSUs earned will be between 0% and 200% of target based on the Average Organic Revenue Growth and Adjusted EPS during the performance period, as set forth in the applicable award agreements and as determined by the Compensation Committee. Performance for 2022 and 2023 was above target but the results could change during the remaining year of the performance period. Earned PSUs vest on February 21, 2027,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 If Mr. Walker’s retirement occurs before the third anniversary of the date of grant, the PSUs that become awarded PSUs will be paid to Mr. Walker on the second anniversary of his retirement, subject to Mr. Walker being in good standing with the Company as of the date of such payment; and if Mr. Walker’s retirement occurs after the third anniversary of the date of grant, the PSUs that become awarded PSUs will be paid to Mr. Walker on the fifth anniversary of the date of grant, subject to Mr. Walker being in good standing with the Company as of the date of such payment.</w:t>
      </w:r>
    </w:p>
    <w:p>
      <w:pPr>
        <w:spacing w:after="0" w:line="187" w:lineRule="exact"/>
        <w:rPr>
          <w:rFonts w:ascii="Arial" w:cs="Arial" w:eastAsia="Arial" w:hAnsi="Arial"/>
          <w:sz w:val="17"/>
          <w:szCs w:val="17"/>
          <w:color w:val="auto"/>
          <w:vertAlign w:val="superscript"/>
        </w:rPr>
      </w:pPr>
    </w:p>
    <w:p>
      <w:pPr>
        <w:ind w:left="220" w:right="20" w:hanging="213"/>
        <w:spacing w:after="0" w:line="242" w:lineRule="auto"/>
        <w:tabs>
          <w:tab w:leader="none" w:pos="220" w:val="left"/>
        </w:tabs>
        <w:numPr>
          <w:ilvl w:val="0"/>
          <w:numId w:val="45"/>
        </w:numPr>
        <w:rPr>
          <w:rFonts w:ascii="Arial" w:cs="Arial" w:eastAsia="Arial" w:hAnsi="Arial"/>
          <w:sz w:val="17"/>
          <w:szCs w:val="17"/>
          <w:color w:val="auto"/>
          <w:vertAlign w:val="superscript"/>
        </w:rPr>
      </w:pPr>
      <w:r>
        <w:rPr>
          <w:rFonts w:ascii="Arial" w:cs="Arial" w:eastAsia="Arial" w:hAnsi="Arial"/>
          <w:sz w:val="11"/>
          <w:szCs w:val="11"/>
          <w:color w:val="auto"/>
        </w:rPr>
        <w:t>The amount shown represents the maximum number of PSUs that can be earned during the three-year performance period of January 1, 2023, to December 31, 2025. The actual number of PSUs earned will be between 0% and 200% of target based on the Average Organic Revenue Growth and Adjusted EPS during the performance period, as set forth in the applicable award agreements and as determined by the Compensation Committee. Performance for 2023 was above target but the results could change during the remaining two years of the performance period. Earned PSUs vest on February 20, 2028, the fifth anniversary of the grant date, assuming continuous employment through such vesting date, provided that vesting will accelerate in the event of death, disability or termination (including constructive termination) without cause within 12 months following a change in control of the Company. If Mr. Walker’s retirement occurs before the third anniversary of the date of grant, the PSUs that become awarded PSUs will be paid to Mr. Walker on the second anniversary of his retirement, subject to Mr. Walker being in good standing with the Company as of the date of such payment; and if Mr. Walker’s retirement occurs after the third anniversary of the date of grant, the PSUs that become awarded PSUs will be paid to Mr. Walker on the fifth anniversary of the date of grant, subject to Mr. Walker being in good standing with the Company as of the date of such payment.</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53</w:t>
      </w:r>
    </w:p>
    <w:p>
      <w:pPr>
        <w:sectPr>
          <w:pgSz w:w="11900" w:h="16838" w:orient="portrait"/>
          <w:cols w:equalWidth="0" w:num="1">
            <w:col w:w="10920"/>
          </w:cols>
          <w:pgMar w:left="480" w:top="304" w:right="49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Option Exercises and Stock Vested –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3820" w:type="dxa"/>
            <w:vAlign w:val="bottom"/>
            <w:gridSpan w:val="3"/>
          </w:tcPr>
          <w:p>
            <w:pPr>
              <w:jc w:val="right"/>
              <w:ind w:right="1740"/>
              <w:spacing w:after="0"/>
              <w:rPr>
                <w:sz w:val="20"/>
                <w:szCs w:val="20"/>
                <w:color w:val="auto"/>
              </w:rPr>
            </w:pPr>
            <w:r>
              <w:rPr>
                <w:rFonts w:ascii="Arial" w:cs="Arial" w:eastAsia="Arial" w:hAnsi="Arial"/>
                <w:sz w:val="14"/>
                <w:szCs w:val="14"/>
                <w:b w:val="1"/>
                <w:bCs w:val="1"/>
                <w:color w:val="002856"/>
              </w:rPr>
              <w:t>Option Awards</w:t>
            </w:r>
          </w:p>
        </w:tc>
        <w:tc>
          <w:tcPr>
            <w:tcW w:w="322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002856"/>
              </w:rPr>
              <w:t>Stock Awards</w:t>
            </w:r>
          </w:p>
        </w:tc>
      </w:tr>
      <w:tr>
        <w:trPr>
          <w:trHeight w:val="166"/>
        </w:trPr>
        <w:tc>
          <w:tcPr>
            <w:tcW w:w="3880" w:type="dxa"/>
            <w:vAlign w:val="bottom"/>
          </w:tcPr>
          <w:p>
            <w:pPr>
              <w:spacing w:after="0"/>
              <w:rPr>
                <w:sz w:val="14"/>
                <w:szCs w:val="14"/>
                <w:color w:val="auto"/>
              </w:rPr>
            </w:pPr>
          </w:p>
        </w:tc>
        <w:tc>
          <w:tcPr>
            <w:tcW w:w="1720" w:type="dxa"/>
            <w:vAlign w:val="bottom"/>
            <w:tcBorders>
              <w:top w:val="single" w:sz="8" w:color="C6093B"/>
            </w:tcBorders>
          </w:tcPr>
          <w:p>
            <w:pPr>
              <w:jc w:val="right"/>
              <w:ind w:right="241"/>
              <w:spacing w:after="0" w:line="167" w:lineRule="exact"/>
              <w:rPr>
                <w:sz w:val="20"/>
                <w:szCs w:val="20"/>
                <w:color w:val="auto"/>
              </w:rPr>
            </w:pPr>
            <w:r>
              <w:rPr>
                <w:rFonts w:ascii="Arial" w:cs="Arial" w:eastAsia="Arial" w:hAnsi="Arial"/>
                <w:sz w:val="16"/>
                <w:szCs w:val="16"/>
                <w:b w:val="1"/>
                <w:bCs w:val="1"/>
                <w:color w:val="002856"/>
              </w:rPr>
              <w:t>Number of Shares</w:t>
            </w:r>
          </w:p>
        </w:tc>
        <w:tc>
          <w:tcPr>
            <w:tcW w:w="1440" w:type="dxa"/>
            <w:vAlign w:val="bottom"/>
            <w:tcBorders>
              <w:top w:val="single" w:sz="8" w:color="C6093B"/>
            </w:tcBorders>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Borders>
              <w:top w:val="single" w:sz="8" w:color="C6093B"/>
            </w:tcBorders>
          </w:tcPr>
          <w:p>
            <w:pPr>
              <w:jc w:val="center"/>
              <w:ind w:right="261"/>
              <w:spacing w:after="0" w:line="167" w:lineRule="exact"/>
              <w:rPr>
                <w:sz w:val="20"/>
                <w:szCs w:val="20"/>
                <w:color w:val="auto"/>
              </w:rPr>
            </w:pPr>
            <w:r>
              <w:rPr>
                <w:rFonts w:ascii="Arial" w:cs="Arial" w:eastAsia="Arial" w:hAnsi="Arial"/>
                <w:sz w:val="16"/>
                <w:szCs w:val="16"/>
                <w:b w:val="1"/>
                <w:bCs w:val="1"/>
                <w:color w:val="002856"/>
              </w:rPr>
              <w:t>Number of Shares</w:t>
            </w:r>
          </w:p>
        </w:tc>
        <w:tc>
          <w:tcPr>
            <w:tcW w:w="1440" w:type="dxa"/>
            <w:vAlign w:val="bottom"/>
            <w:tcBorders>
              <w:top w:val="single" w:sz="8" w:color="C6093B"/>
            </w:tcBorders>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3880" w:type="dxa"/>
            <w:vAlign w:val="bottom"/>
          </w:tcPr>
          <w:p>
            <w:pPr>
              <w:spacing w:after="0"/>
              <w:rPr>
                <w:sz w:val="16"/>
                <w:szCs w:val="16"/>
                <w:color w:val="auto"/>
              </w:rPr>
            </w:pPr>
          </w:p>
        </w:tc>
        <w:tc>
          <w:tcPr>
            <w:tcW w:w="1720" w:type="dxa"/>
            <w:vAlign w:val="bottom"/>
          </w:tcPr>
          <w:p>
            <w:pPr>
              <w:jc w:val="center"/>
              <w:ind w:right="241"/>
              <w:spacing w:after="0"/>
              <w:rPr>
                <w:sz w:val="20"/>
                <w:szCs w:val="20"/>
                <w:color w:val="auto"/>
              </w:rPr>
            </w:pPr>
            <w:r>
              <w:rPr>
                <w:rFonts w:ascii="Arial" w:cs="Arial" w:eastAsia="Arial" w:hAnsi="Arial"/>
                <w:sz w:val="16"/>
                <w:szCs w:val="16"/>
                <w:b w:val="1"/>
                <w:bCs w:val="1"/>
                <w:color w:val="002856"/>
                <w:w w:val="98"/>
              </w:rPr>
              <w:t>Acquired on</w:t>
            </w:r>
          </w:p>
        </w:tc>
        <w:tc>
          <w:tcPr>
            <w:tcW w:w="21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002856"/>
              </w:rPr>
              <w:t>Value Realized</w:t>
            </w:r>
          </w:p>
        </w:tc>
        <w:tc>
          <w:tcPr>
            <w:tcW w:w="1720" w:type="dxa"/>
            <w:vAlign w:val="bottom"/>
          </w:tcPr>
          <w:p>
            <w:pPr>
              <w:jc w:val="center"/>
              <w:ind w:right="261"/>
              <w:spacing w:after="0"/>
              <w:rPr>
                <w:sz w:val="20"/>
                <w:szCs w:val="20"/>
                <w:color w:val="auto"/>
              </w:rPr>
            </w:pPr>
            <w:r>
              <w:rPr>
                <w:rFonts w:ascii="Arial" w:cs="Arial" w:eastAsia="Arial" w:hAnsi="Arial"/>
                <w:sz w:val="16"/>
                <w:szCs w:val="16"/>
                <w:b w:val="1"/>
                <w:bCs w:val="1"/>
                <w:color w:val="002856"/>
              </w:rPr>
              <w:t>Acquired on</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2856"/>
              </w:rPr>
              <w:t>Value Realized</w:t>
            </w:r>
          </w:p>
        </w:tc>
      </w:tr>
      <w:tr>
        <w:trPr>
          <w:trHeight w:val="187"/>
        </w:trPr>
        <w:tc>
          <w:tcPr>
            <w:tcW w:w="3880" w:type="dxa"/>
            <w:vAlign w:val="bottom"/>
          </w:tcPr>
          <w:p>
            <w:pPr>
              <w:spacing w:after="0"/>
              <w:rPr>
                <w:sz w:val="16"/>
                <w:szCs w:val="16"/>
                <w:color w:val="auto"/>
              </w:rPr>
            </w:pPr>
          </w:p>
        </w:tc>
        <w:tc>
          <w:tcPr>
            <w:tcW w:w="1720" w:type="dxa"/>
            <w:vAlign w:val="bottom"/>
          </w:tcPr>
          <w:p>
            <w:pPr>
              <w:jc w:val="center"/>
              <w:ind w:right="221"/>
              <w:spacing w:after="0"/>
              <w:rPr>
                <w:sz w:val="20"/>
                <w:szCs w:val="20"/>
                <w:color w:val="auto"/>
              </w:rPr>
            </w:pPr>
            <w:r>
              <w:rPr>
                <w:rFonts w:ascii="Arial" w:cs="Arial" w:eastAsia="Arial" w:hAnsi="Arial"/>
                <w:sz w:val="16"/>
                <w:szCs w:val="16"/>
                <w:b w:val="1"/>
                <w:bCs w:val="1"/>
                <w:color w:val="002856"/>
              </w:rPr>
              <w:t>Exercise</w:t>
            </w:r>
          </w:p>
        </w:tc>
        <w:tc>
          <w:tcPr>
            <w:tcW w:w="210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002856"/>
              </w:rPr>
              <w:t>on Exercise</w:t>
            </w:r>
          </w:p>
        </w:tc>
        <w:tc>
          <w:tcPr>
            <w:tcW w:w="1720" w:type="dxa"/>
            <w:vAlign w:val="bottom"/>
          </w:tcPr>
          <w:p>
            <w:pPr>
              <w:jc w:val="center"/>
              <w:ind w:right="261"/>
              <w:spacing w:after="0"/>
              <w:rPr>
                <w:sz w:val="20"/>
                <w:szCs w:val="20"/>
                <w:color w:val="auto"/>
              </w:rPr>
            </w:pPr>
            <w:r>
              <w:rPr>
                <w:rFonts w:ascii="Arial" w:cs="Arial" w:eastAsia="Arial" w:hAnsi="Arial"/>
                <w:sz w:val="16"/>
                <w:szCs w:val="16"/>
                <w:b w:val="1"/>
                <w:bCs w:val="1"/>
                <w:color w:val="002856"/>
              </w:rPr>
              <w:t>Vesting</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2856"/>
              </w:rPr>
              <w:t>on Vesting</w:t>
            </w:r>
          </w:p>
        </w:tc>
      </w:tr>
      <w:tr>
        <w:trPr>
          <w:trHeight w:val="221"/>
        </w:trPr>
        <w:tc>
          <w:tcPr>
            <w:tcW w:w="388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002856"/>
              </w:rPr>
              <w:t>Name</w:t>
            </w:r>
          </w:p>
        </w:tc>
        <w:tc>
          <w:tcPr>
            <w:tcW w:w="1720" w:type="dxa"/>
            <w:vAlign w:val="bottom"/>
            <w:tcBorders>
              <w:bottom w:val="single" w:sz="8" w:color="C6093B"/>
            </w:tcBorders>
          </w:tcPr>
          <w:p>
            <w:pPr>
              <w:jc w:val="center"/>
              <w:ind w:right="241"/>
              <w:spacing w:after="0"/>
              <w:rPr>
                <w:sz w:val="20"/>
                <w:szCs w:val="20"/>
                <w:color w:val="auto"/>
              </w:rPr>
            </w:pPr>
            <w:r>
              <w:rPr>
                <w:rFonts w:ascii="Arial" w:cs="Arial" w:eastAsia="Arial" w:hAnsi="Arial"/>
                <w:sz w:val="16"/>
                <w:szCs w:val="16"/>
                <w:b w:val="1"/>
                <w:bCs w:val="1"/>
                <w:color w:val="002856"/>
              </w:rPr>
              <w:t>(#)</w:t>
            </w:r>
          </w:p>
        </w:tc>
        <w:tc>
          <w:tcPr>
            <w:tcW w:w="1440" w:type="dxa"/>
            <w:vAlign w:val="bottom"/>
            <w:tcBorders>
              <w:bottom w:val="single" w:sz="8" w:color="C6093B"/>
            </w:tcBorders>
          </w:tcPr>
          <w:p>
            <w:pPr>
              <w:jc w:val="right"/>
              <w:ind w:right="380"/>
              <w:spacing w:after="0"/>
              <w:rPr>
                <w:sz w:val="20"/>
                <w:szCs w:val="20"/>
                <w:color w:val="auto"/>
              </w:rPr>
            </w:pPr>
            <w:r>
              <w:rPr>
                <w:rFonts w:ascii="Arial" w:cs="Arial" w:eastAsia="Arial" w:hAnsi="Arial"/>
                <w:sz w:val="16"/>
                <w:szCs w:val="16"/>
                <w:b w:val="1"/>
                <w:bCs w:val="1"/>
                <w:color w:val="002856"/>
              </w:rPr>
              <w:t>($)</w:t>
            </w:r>
          </w:p>
        </w:tc>
        <w:tc>
          <w:tcPr>
            <w:tcW w:w="660" w:type="dxa"/>
            <w:vAlign w:val="bottom"/>
            <w:tcBorders>
              <w:bottom w:val="single" w:sz="8" w:color="C6093B"/>
            </w:tcBorders>
          </w:tcPr>
          <w:p>
            <w:pPr>
              <w:spacing w:after="0"/>
              <w:rPr>
                <w:sz w:val="19"/>
                <w:szCs w:val="19"/>
                <w:color w:val="auto"/>
              </w:rPr>
            </w:pPr>
          </w:p>
        </w:tc>
        <w:tc>
          <w:tcPr>
            <w:tcW w:w="1720" w:type="dxa"/>
            <w:vAlign w:val="bottom"/>
            <w:tcBorders>
              <w:bottom w:val="single" w:sz="8" w:color="C6093B"/>
            </w:tcBorders>
          </w:tcPr>
          <w:p>
            <w:pPr>
              <w:jc w:val="center"/>
              <w:ind w:right="241"/>
              <w:spacing w:after="0"/>
              <w:rPr>
                <w:sz w:val="20"/>
                <w:szCs w:val="20"/>
                <w:color w:val="auto"/>
              </w:rPr>
            </w:pPr>
            <w:r>
              <w:rPr>
                <w:rFonts w:ascii="Arial" w:cs="Arial" w:eastAsia="Arial" w:hAnsi="Arial"/>
                <w:sz w:val="16"/>
                <w:szCs w:val="16"/>
                <w:b w:val="1"/>
                <w:bCs w:val="1"/>
                <w:color w:val="002856"/>
              </w:rPr>
              <w:t>(#)</w:t>
            </w:r>
          </w:p>
        </w:tc>
        <w:tc>
          <w:tcPr>
            <w:tcW w:w="1440" w:type="dxa"/>
            <w:vAlign w:val="bottom"/>
            <w:tcBorders>
              <w:bottom w:val="single" w:sz="8" w:color="C6093B"/>
            </w:tcBorders>
          </w:tcPr>
          <w:p>
            <w:pPr>
              <w:jc w:val="right"/>
              <w:ind w:right="300"/>
              <w:spacing w:after="0" w:line="214" w:lineRule="exact"/>
              <w:rPr>
                <w:sz w:val="20"/>
                <w:szCs w:val="20"/>
                <w:color w:val="auto"/>
              </w:rPr>
            </w:pPr>
            <w:r>
              <w:rPr>
                <w:rFonts w:ascii="Arial" w:cs="Arial" w:eastAsia="Arial" w:hAnsi="Arial"/>
                <w:sz w:val="16"/>
                <w:szCs w:val="16"/>
                <w:b w:val="1"/>
                <w:bCs w:val="1"/>
                <w:color w:val="002856"/>
              </w:rPr>
              <w:t>($)</w:t>
            </w:r>
            <w:r>
              <w:rPr>
                <w:rFonts w:ascii="Arial" w:cs="Arial" w:eastAsia="Arial" w:hAnsi="Arial"/>
                <w:sz w:val="24"/>
                <w:szCs w:val="24"/>
                <w:b w:val="1"/>
                <w:bCs w:val="1"/>
                <w:color w:val="002856"/>
                <w:vertAlign w:val="superscript"/>
              </w:rPr>
              <w:t>(1)</w:t>
            </w:r>
          </w:p>
        </w:tc>
        <w:tc>
          <w:tcPr>
            <w:tcW w:w="60" w:type="dxa"/>
            <w:vAlign w:val="bottom"/>
            <w:tcBorders>
              <w:bottom w:val="single" w:sz="8" w:color="C6093B"/>
            </w:tcBorders>
          </w:tcPr>
          <w:p>
            <w:pPr>
              <w:spacing w:after="0"/>
              <w:rPr>
                <w:sz w:val="19"/>
                <w:szCs w:val="19"/>
                <w:color w:val="auto"/>
              </w:rPr>
            </w:pPr>
          </w:p>
        </w:tc>
      </w:tr>
      <w:tr>
        <w:trPr>
          <w:trHeight w:val="241"/>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1720" w:type="dxa"/>
            <w:vAlign w:val="bottom"/>
            <w:tcBorders>
              <w:bottom w:val="single" w:sz="8" w:color="4C4C4C"/>
            </w:tcBorders>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4C4C4C"/>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147,506</w:t>
            </w:r>
          </w:p>
        </w:tc>
        <w:tc>
          <w:tcPr>
            <w:tcW w:w="1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8,329,664</w:t>
            </w:r>
          </w:p>
        </w:tc>
        <w:tc>
          <w:tcPr>
            <w:tcW w:w="60" w:type="dxa"/>
            <w:vAlign w:val="bottom"/>
            <w:tcBorders>
              <w:bottom w:val="single" w:sz="8" w:color="4C4C4C"/>
            </w:tcBorders>
          </w:tcPr>
          <w:p>
            <w:pPr>
              <w:spacing w:after="0"/>
              <w:rPr>
                <w:sz w:val="20"/>
                <w:szCs w:val="20"/>
                <w:color w:val="auto"/>
              </w:rPr>
            </w:pP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1720" w:type="dxa"/>
            <w:vAlign w:val="bottom"/>
            <w:tcBorders>
              <w:bottom w:val="single" w:sz="8" w:color="4C4C4C"/>
            </w:tcBorders>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4C4C4C"/>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32,559</w:t>
            </w:r>
          </w:p>
        </w:tc>
        <w:tc>
          <w:tcPr>
            <w:tcW w:w="1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1,838,607</w:t>
            </w:r>
          </w:p>
        </w:tc>
        <w:tc>
          <w:tcPr>
            <w:tcW w:w="60" w:type="dxa"/>
            <w:vAlign w:val="bottom"/>
            <w:tcBorders>
              <w:bottom w:val="single" w:sz="8" w:color="4C4C4C"/>
            </w:tcBorders>
          </w:tcPr>
          <w:p>
            <w:pPr>
              <w:spacing w:after="0"/>
              <w:rPr>
                <w:sz w:val="20"/>
                <w:szCs w:val="20"/>
                <w:color w:val="auto"/>
              </w:rPr>
            </w:pP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1720" w:type="dxa"/>
            <w:vAlign w:val="bottom"/>
            <w:tcBorders>
              <w:bottom w:val="single" w:sz="8" w:color="4C4C4C"/>
            </w:tcBorders>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4C4C4C"/>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22,224</w:t>
            </w:r>
          </w:p>
        </w:tc>
        <w:tc>
          <w:tcPr>
            <w:tcW w:w="1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1,254,989</w:t>
            </w:r>
          </w:p>
        </w:tc>
        <w:tc>
          <w:tcPr>
            <w:tcW w:w="60" w:type="dxa"/>
            <w:vAlign w:val="bottom"/>
            <w:tcBorders>
              <w:bottom w:val="single" w:sz="8" w:color="4C4C4C"/>
            </w:tcBorders>
          </w:tcPr>
          <w:p>
            <w:pPr>
              <w:spacing w:after="0"/>
              <w:rPr>
                <w:sz w:val="20"/>
                <w:szCs w:val="20"/>
                <w:color w:val="auto"/>
              </w:rPr>
            </w:pPr>
          </w:p>
        </w:tc>
      </w:tr>
      <w:tr>
        <w:trPr>
          <w:trHeight w:val="234"/>
        </w:trPr>
        <w:tc>
          <w:tcPr>
            <w:tcW w:w="388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1720" w:type="dxa"/>
            <w:vAlign w:val="bottom"/>
            <w:tcBorders>
              <w:bottom w:val="single" w:sz="8" w:color="4C4C4C"/>
            </w:tcBorders>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4C4C4C"/>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4C4C4C"/>
            </w:tcBorders>
          </w:tcPr>
          <w:p>
            <w:pPr>
              <w:jc w:val="right"/>
              <w:ind w:right="261"/>
              <w:spacing w:after="0"/>
              <w:rPr>
                <w:sz w:val="20"/>
                <w:szCs w:val="20"/>
                <w:color w:val="auto"/>
              </w:rPr>
            </w:pPr>
            <w:r>
              <w:rPr>
                <w:rFonts w:ascii="Arial" w:cs="Arial" w:eastAsia="Arial" w:hAnsi="Arial"/>
                <w:sz w:val="16"/>
                <w:szCs w:val="16"/>
                <w:color w:val="auto"/>
              </w:rPr>
              <w:t>51,996</w:t>
            </w:r>
          </w:p>
        </w:tc>
        <w:tc>
          <w:tcPr>
            <w:tcW w:w="14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2,936,214</w:t>
            </w:r>
          </w:p>
        </w:tc>
        <w:tc>
          <w:tcPr>
            <w:tcW w:w="60" w:type="dxa"/>
            <w:vAlign w:val="bottom"/>
            <w:tcBorders>
              <w:bottom w:val="single" w:sz="8" w:color="4C4C4C"/>
            </w:tcBorders>
          </w:tcPr>
          <w:p>
            <w:pPr>
              <w:spacing w:after="0"/>
              <w:rPr>
                <w:sz w:val="20"/>
                <w:szCs w:val="20"/>
                <w:color w:val="auto"/>
              </w:rPr>
            </w:pPr>
          </w:p>
        </w:tc>
      </w:tr>
      <w:tr>
        <w:trPr>
          <w:trHeight w:val="241"/>
        </w:trPr>
        <w:tc>
          <w:tcPr>
            <w:tcW w:w="388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1720" w:type="dxa"/>
            <w:vAlign w:val="bottom"/>
            <w:tcBorders>
              <w:bottom w:val="single" w:sz="8" w:color="C6093B"/>
            </w:tcBorders>
          </w:tcPr>
          <w:p>
            <w:pPr>
              <w:jc w:val="right"/>
              <w:ind w:right="24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6093B"/>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6093B"/>
            </w:tcBorders>
          </w:tcPr>
          <w:p>
            <w:pPr>
              <w:jc w:val="right"/>
              <w:ind w:right="261"/>
              <w:spacing w:after="0"/>
              <w:rPr>
                <w:sz w:val="20"/>
                <w:szCs w:val="20"/>
                <w:color w:val="auto"/>
              </w:rPr>
            </w:pPr>
            <w:r>
              <w:rPr>
                <w:rFonts w:ascii="Arial" w:cs="Arial" w:eastAsia="Arial" w:hAnsi="Arial"/>
                <w:sz w:val="16"/>
                <w:szCs w:val="16"/>
                <w:color w:val="auto"/>
              </w:rPr>
              <w:t>23,058</w:t>
            </w:r>
          </w:p>
        </w:tc>
        <w:tc>
          <w:tcPr>
            <w:tcW w:w="144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1,313,216</w:t>
            </w:r>
          </w:p>
        </w:tc>
        <w:tc>
          <w:tcPr>
            <w:tcW w:w="60" w:type="dxa"/>
            <w:vAlign w:val="bottom"/>
            <w:tcBorders>
              <w:bottom w:val="single" w:sz="8" w:color="C6093B"/>
            </w:tcBorders>
          </w:tcPr>
          <w:p>
            <w:pPr>
              <w:spacing w:after="0"/>
              <w:rPr>
                <w:sz w:val="20"/>
                <w:szCs w:val="20"/>
                <w:color w:val="auto"/>
              </w:rPr>
            </w:pPr>
          </w:p>
        </w:tc>
      </w:tr>
    </w:tbl>
    <w:p>
      <w:pPr>
        <w:spacing w:after="0" w:line="62" w:lineRule="exact"/>
        <w:rPr>
          <w:sz w:val="20"/>
          <w:szCs w:val="20"/>
          <w:color w:val="auto"/>
        </w:rPr>
      </w:pPr>
    </w:p>
    <w:p>
      <w:pPr>
        <w:ind w:left="220" w:right="400" w:hanging="213"/>
        <w:spacing w:after="0" w:line="201" w:lineRule="auto"/>
        <w:tabs>
          <w:tab w:leader="none" w:pos="220" w:val="left"/>
        </w:tabs>
        <w:numPr>
          <w:ilvl w:val="0"/>
          <w:numId w:val="46"/>
        </w:numPr>
        <w:rPr>
          <w:rFonts w:ascii="Arial" w:cs="Arial" w:eastAsia="Arial" w:hAnsi="Arial"/>
          <w:sz w:val="19"/>
          <w:szCs w:val="19"/>
          <w:color w:val="auto"/>
          <w:vertAlign w:val="superscript"/>
        </w:rPr>
      </w:pPr>
      <w:r>
        <w:rPr>
          <w:rFonts w:ascii="Arial" w:cs="Arial" w:eastAsia="Arial" w:hAnsi="Arial"/>
          <w:sz w:val="12"/>
          <w:szCs w:val="12"/>
          <w:color w:val="auto"/>
        </w:rPr>
        <w:t>The value realized upon the vesting of stock awards is the number of shares multiplied by the market value (being the closing market price as of the previous trading day) of the underlying shares on the vesting date. The value realized was determined without considering any taxes that were owed upon vesting.</w:t>
      </w: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Nonqualified Deferred Compensation at Fiscal Year-End –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002856"/>
              </w:rPr>
              <w:t>Executive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Registrant</w:t>
            </w:r>
          </w:p>
        </w:tc>
        <w:tc>
          <w:tcPr>
            <w:tcW w:w="1180" w:type="dxa"/>
            <w:vAlign w:val="bottom"/>
          </w:tcPr>
          <w:p>
            <w:pPr>
              <w:jc w:val="right"/>
              <w:ind w:right="164"/>
              <w:spacing w:after="0"/>
              <w:rPr>
                <w:sz w:val="20"/>
                <w:szCs w:val="20"/>
                <w:color w:val="auto"/>
              </w:rPr>
            </w:pPr>
            <w:r>
              <w:rPr>
                <w:rFonts w:ascii="Arial" w:cs="Arial" w:eastAsia="Arial" w:hAnsi="Arial"/>
                <w:sz w:val="14"/>
                <w:szCs w:val="14"/>
                <w:b w:val="1"/>
                <w:bCs w:val="1"/>
                <w:color w:val="002856"/>
              </w:rPr>
              <w:t>Aggregate</w:t>
            </w:r>
          </w:p>
        </w:tc>
        <w:tc>
          <w:tcPr>
            <w:tcW w:w="1300" w:type="dxa"/>
            <w:vAlign w:val="bottom"/>
          </w:tcPr>
          <w:p>
            <w:pPr>
              <w:jc w:val="right"/>
              <w:ind w:right="224"/>
              <w:spacing w:after="0"/>
              <w:rPr>
                <w:sz w:val="20"/>
                <w:szCs w:val="20"/>
                <w:color w:val="auto"/>
              </w:rPr>
            </w:pPr>
            <w:r>
              <w:rPr>
                <w:rFonts w:ascii="Arial" w:cs="Arial" w:eastAsia="Arial" w:hAnsi="Arial"/>
                <w:sz w:val="14"/>
                <w:szCs w:val="14"/>
                <w:b w:val="1"/>
                <w:bCs w:val="1"/>
                <w:color w:val="002856"/>
              </w:rPr>
              <w:t>Aggregate</w:t>
            </w:r>
          </w:p>
        </w:tc>
        <w:tc>
          <w:tcPr>
            <w:tcW w:w="1020" w:type="dxa"/>
            <w:vAlign w:val="bottom"/>
          </w:tcPr>
          <w:p>
            <w:pPr>
              <w:jc w:val="right"/>
              <w:ind w:right="4"/>
              <w:spacing w:after="0"/>
              <w:rPr>
                <w:sz w:val="20"/>
                <w:szCs w:val="20"/>
                <w:color w:val="auto"/>
              </w:rPr>
            </w:pPr>
            <w:r>
              <w:rPr>
                <w:rFonts w:ascii="Arial" w:cs="Arial" w:eastAsia="Arial" w:hAnsi="Arial"/>
                <w:sz w:val="14"/>
                <w:szCs w:val="14"/>
                <w:b w:val="1"/>
                <w:bCs w:val="1"/>
                <w:color w:val="002856"/>
              </w:rPr>
              <w:t>Aggregate</w:t>
            </w:r>
          </w:p>
        </w:tc>
      </w:tr>
      <w:tr>
        <w:trPr>
          <w:trHeight w:val="157"/>
        </w:trPr>
        <w:tc>
          <w:tcPr>
            <w:tcW w:w="3160" w:type="dxa"/>
            <w:vAlign w:val="bottom"/>
          </w:tcPr>
          <w:p>
            <w:pPr>
              <w:spacing w:after="0"/>
              <w:rPr>
                <w:sz w:val="13"/>
                <w:szCs w:val="13"/>
                <w:color w:val="auto"/>
              </w:rPr>
            </w:pPr>
          </w:p>
        </w:tc>
        <w:tc>
          <w:tcPr>
            <w:tcW w:w="2920" w:type="dxa"/>
            <w:vAlign w:val="bottom"/>
          </w:tcPr>
          <w:p>
            <w:pPr>
              <w:jc w:val="center"/>
              <w:ind w:left="1544"/>
              <w:spacing w:after="0" w:line="157" w:lineRule="exact"/>
              <w:rPr>
                <w:sz w:val="20"/>
                <w:szCs w:val="20"/>
                <w:color w:val="auto"/>
              </w:rPr>
            </w:pPr>
            <w:r>
              <w:rPr>
                <w:rFonts w:ascii="Arial" w:cs="Arial" w:eastAsia="Arial" w:hAnsi="Arial"/>
                <w:sz w:val="14"/>
                <w:szCs w:val="14"/>
                <w:b w:val="1"/>
                <w:bCs w:val="1"/>
                <w:color w:val="002856"/>
              </w:rPr>
              <w:t>Contributions</w:t>
            </w:r>
          </w:p>
        </w:tc>
        <w:tc>
          <w:tcPr>
            <w:tcW w:w="1340" w:type="dxa"/>
            <w:vAlign w:val="bottom"/>
          </w:tcPr>
          <w:p>
            <w:pPr>
              <w:jc w:val="right"/>
              <w:ind w:right="124"/>
              <w:spacing w:after="0" w:line="157" w:lineRule="exact"/>
              <w:rPr>
                <w:sz w:val="20"/>
                <w:szCs w:val="20"/>
                <w:color w:val="auto"/>
              </w:rPr>
            </w:pPr>
            <w:r>
              <w:rPr>
                <w:rFonts w:ascii="Arial" w:cs="Arial" w:eastAsia="Arial" w:hAnsi="Arial"/>
                <w:sz w:val="14"/>
                <w:szCs w:val="14"/>
                <w:b w:val="1"/>
                <w:bCs w:val="1"/>
                <w:color w:val="002856"/>
              </w:rPr>
              <w:t>Contributions</w:t>
            </w:r>
          </w:p>
        </w:tc>
        <w:tc>
          <w:tcPr>
            <w:tcW w:w="1180" w:type="dxa"/>
            <w:vAlign w:val="bottom"/>
          </w:tcPr>
          <w:p>
            <w:pPr>
              <w:jc w:val="right"/>
              <w:ind w:right="124"/>
              <w:spacing w:after="0" w:line="157" w:lineRule="exact"/>
              <w:rPr>
                <w:sz w:val="20"/>
                <w:szCs w:val="20"/>
                <w:color w:val="auto"/>
              </w:rPr>
            </w:pPr>
            <w:r>
              <w:rPr>
                <w:rFonts w:ascii="Arial" w:cs="Arial" w:eastAsia="Arial" w:hAnsi="Arial"/>
                <w:sz w:val="14"/>
                <w:szCs w:val="14"/>
                <w:b w:val="1"/>
                <w:bCs w:val="1"/>
                <w:color w:val="002856"/>
              </w:rPr>
              <w:t>Earnings in</w:t>
            </w:r>
          </w:p>
        </w:tc>
        <w:tc>
          <w:tcPr>
            <w:tcW w:w="1300" w:type="dxa"/>
            <w:vAlign w:val="bottom"/>
          </w:tcPr>
          <w:p>
            <w:pPr>
              <w:jc w:val="right"/>
              <w:ind w:right="144"/>
              <w:spacing w:after="0" w:line="157" w:lineRule="exact"/>
              <w:rPr>
                <w:sz w:val="20"/>
                <w:szCs w:val="20"/>
                <w:color w:val="auto"/>
              </w:rPr>
            </w:pPr>
            <w:r>
              <w:rPr>
                <w:rFonts w:ascii="Arial" w:cs="Arial" w:eastAsia="Arial" w:hAnsi="Arial"/>
                <w:sz w:val="14"/>
                <w:szCs w:val="14"/>
                <w:b w:val="1"/>
                <w:bCs w:val="1"/>
                <w:color w:val="002856"/>
              </w:rPr>
              <w:t>Withdrawals/</w:t>
            </w:r>
          </w:p>
        </w:tc>
        <w:tc>
          <w:tcPr>
            <w:tcW w:w="1020" w:type="dxa"/>
            <w:vAlign w:val="bottom"/>
          </w:tcPr>
          <w:p>
            <w:pPr>
              <w:jc w:val="right"/>
              <w:ind w:right="4"/>
              <w:spacing w:after="0" w:line="157" w:lineRule="exact"/>
              <w:rPr>
                <w:sz w:val="20"/>
                <w:szCs w:val="20"/>
                <w:color w:val="auto"/>
              </w:rPr>
            </w:pPr>
            <w:r>
              <w:rPr>
                <w:rFonts w:ascii="Arial" w:cs="Arial" w:eastAsia="Arial" w:hAnsi="Arial"/>
                <w:sz w:val="14"/>
                <w:szCs w:val="14"/>
                <w:b w:val="1"/>
                <w:bCs w:val="1"/>
                <w:color w:val="002856"/>
              </w:rPr>
              <w:t>Balance at</w:t>
            </w:r>
          </w:p>
        </w:tc>
      </w:tr>
      <w:tr>
        <w:trPr>
          <w:trHeight w:val="164"/>
        </w:trPr>
        <w:tc>
          <w:tcPr>
            <w:tcW w:w="3160" w:type="dxa"/>
            <w:vAlign w:val="bottom"/>
          </w:tcPr>
          <w:p>
            <w:pPr>
              <w:spacing w:after="0"/>
              <w:rPr>
                <w:sz w:val="14"/>
                <w:szCs w:val="14"/>
                <w:color w:val="auto"/>
              </w:rPr>
            </w:pPr>
          </w:p>
        </w:tc>
        <w:tc>
          <w:tcPr>
            <w:tcW w:w="2920" w:type="dxa"/>
            <w:vAlign w:val="bottom"/>
          </w:tcPr>
          <w:p>
            <w:pPr>
              <w:jc w:val="center"/>
              <w:ind w:left="1544"/>
              <w:spacing w:after="0" w:line="164" w:lineRule="exact"/>
              <w:rPr>
                <w:sz w:val="20"/>
                <w:szCs w:val="20"/>
                <w:color w:val="auto"/>
              </w:rPr>
            </w:pPr>
            <w:r>
              <w:rPr>
                <w:rFonts w:ascii="Arial" w:cs="Arial" w:eastAsia="Arial" w:hAnsi="Arial"/>
                <w:sz w:val="13"/>
                <w:szCs w:val="13"/>
                <w:b w:val="1"/>
                <w:bCs w:val="1"/>
                <w:color w:val="002856"/>
              </w:rPr>
              <w:t>in 2023</w:t>
            </w:r>
            <w:r>
              <w:rPr>
                <w:rFonts w:ascii="Arial" w:cs="Arial" w:eastAsia="Arial" w:hAnsi="Arial"/>
                <w:sz w:val="19"/>
                <w:szCs w:val="19"/>
                <w:b w:val="1"/>
                <w:bCs w:val="1"/>
                <w:color w:val="002856"/>
                <w:vertAlign w:val="superscript"/>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in 2023</w:t>
            </w:r>
          </w:p>
        </w:tc>
        <w:tc>
          <w:tcPr>
            <w:tcW w:w="1180" w:type="dxa"/>
            <w:vAlign w:val="bottom"/>
          </w:tcPr>
          <w:p>
            <w:pPr>
              <w:jc w:val="right"/>
              <w:ind w:right="344"/>
              <w:spacing w:after="0"/>
              <w:rPr>
                <w:sz w:val="20"/>
                <w:szCs w:val="20"/>
                <w:color w:val="auto"/>
              </w:rPr>
            </w:pPr>
            <w:r>
              <w:rPr>
                <w:rFonts w:ascii="Arial" w:cs="Arial" w:eastAsia="Arial" w:hAnsi="Arial"/>
                <w:sz w:val="14"/>
                <w:szCs w:val="14"/>
                <w:b w:val="1"/>
                <w:bCs w:val="1"/>
                <w:color w:val="002856"/>
              </w:rPr>
              <w:t>2023</w:t>
            </w:r>
          </w:p>
        </w:tc>
        <w:tc>
          <w:tcPr>
            <w:tcW w:w="1300" w:type="dxa"/>
            <w:vAlign w:val="bottom"/>
          </w:tcPr>
          <w:p>
            <w:pPr>
              <w:jc w:val="right"/>
              <w:ind w:right="144"/>
              <w:spacing w:after="0"/>
              <w:rPr>
                <w:sz w:val="20"/>
                <w:szCs w:val="20"/>
                <w:color w:val="auto"/>
              </w:rPr>
            </w:pPr>
            <w:r>
              <w:rPr>
                <w:rFonts w:ascii="Arial" w:cs="Arial" w:eastAsia="Arial" w:hAnsi="Arial"/>
                <w:sz w:val="14"/>
                <w:szCs w:val="14"/>
                <w:b w:val="1"/>
                <w:bCs w:val="1"/>
                <w:color w:val="002856"/>
              </w:rPr>
              <w:t>Distributions</w:t>
            </w:r>
          </w:p>
        </w:tc>
        <w:tc>
          <w:tcPr>
            <w:tcW w:w="1020" w:type="dxa"/>
            <w:vAlign w:val="bottom"/>
          </w:tcPr>
          <w:p>
            <w:pPr>
              <w:jc w:val="right"/>
              <w:ind w:right="4"/>
              <w:spacing w:after="0"/>
              <w:rPr>
                <w:sz w:val="20"/>
                <w:szCs w:val="20"/>
                <w:color w:val="auto"/>
              </w:rPr>
            </w:pPr>
            <w:r>
              <w:rPr>
                <w:rFonts w:ascii="Arial" w:cs="Arial" w:eastAsia="Arial" w:hAnsi="Arial"/>
                <w:sz w:val="14"/>
                <w:szCs w:val="14"/>
                <w:b w:val="1"/>
                <w:bCs w:val="1"/>
                <w:color w:val="002856"/>
              </w:rPr>
              <w:t>12/31/2023</w:t>
            </w:r>
          </w:p>
        </w:tc>
      </w:tr>
      <w:tr>
        <w:trPr>
          <w:trHeight w:val="190"/>
        </w:trPr>
        <w:tc>
          <w:tcPr>
            <w:tcW w:w="316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2920" w:type="dxa"/>
            <w:vAlign w:val="bottom"/>
            <w:tcBorders>
              <w:bottom w:val="single" w:sz="8" w:color="C6093B"/>
            </w:tcBorders>
          </w:tcPr>
          <w:p>
            <w:pPr>
              <w:jc w:val="center"/>
              <w:ind w:left="1524"/>
              <w:spacing w:after="0"/>
              <w:rPr>
                <w:sz w:val="20"/>
                <w:szCs w:val="20"/>
                <w:color w:val="auto"/>
              </w:rPr>
            </w:pPr>
            <w:r>
              <w:rPr>
                <w:rFonts w:ascii="Arial" w:cs="Arial" w:eastAsia="Arial" w:hAnsi="Arial"/>
                <w:sz w:val="14"/>
                <w:szCs w:val="14"/>
                <w:b w:val="1"/>
                <w:bCs w:val="1"/>
                <w:color w:val="002856"/>
              </w:rPr>
              <w:t>$</w:t>
            </w:r>
          </w:p>
        </w:tc>
        <w:tc>
          <w:tcPr>
            <w:tcW w:w="13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180" w:type="dxa"/>
            <w:vAlign w:val="bottom"/>
            <w:tcBorders>
              <w:bottom w:val="single" w:sz="8" w:color="C6093B"/>
            </w:tcBorders>
          </w:tcPr>
          <w:p>
            <w:pPr>
              <w:jc w:val="right"/>
              <w:ind w:right="464"/>
              <w:spacing w:after="0"/>
              <w:rPr>
                <w:sz w:val="20"/>
                <w:szCs w:val="20"/>
                <w:color w:val="auto"/>
              </w:rPr>
            </w:pPr>
            <w:r>
              <w:rPr>
                <w:rFonts w:ascii="Arial" w:cs="Arial" w:eastAsia="Arial" w:hAnsi="Arial"/>
                <w:sz w:val="14"/>
                <w:szCs w:val="14"/>
                <w:b w:val="1"/>
                <w:bCs w:val="1"/>
                <w:color w:val="002856"/>
              </w:rPr>
              <w:t>$</w:t>
            </w:r>
          </w:p>
        </w:tc>
        <w:tc>
          <w:tcPr>
            <w:tcW w:w="1300" w:type="dxa"/>
            <w:vAlign w:val="bottom"/>
            <w:tcBorders>
              <w:bottom w:val="single" w:sz="8" w:color="C6093B"/>
            </w:tcBorders>
          </w:tcPr>
          <w:p>
            <w:pPr>
              <w:jc w:val="right"/>
              <w:ind w:right="544"/>
              <w:spacing w:after="0"/>
              <w:rPr>
                <w:sz w:val="20"/>
                <w:szCs w:val="20"/>
                <w:color w:val="auto"/>
              </w:rPr>
            </w:pPr>
            <w:r>
              <w:rPr>
                <w:rFonts w:ascii="Arial" w:cs="Arial" w:eastAsia="Arial" w:hAnsi="Arial"/>
                <w:sz w:val="14"/>
                <w:szCs w:val="14"/>
                <w:b w:val="1"/>
                <w:bCs w:val="1"/>
                <w:color w:val="002856"/>
              </w:rPr>
              <w:t>$</w:t>
            </w:r>
          </w:p>
        </w:tc>
        <w:tc>
          <w:tcPr>
            <w:tcW w:w="1020" w:type="dxa"/>
            <w:vAlign w:val="bottom"/>
            <w:tcBorders>
              <w:bottom w:val="single" w:sz="8" w:color="C6093B"/>
            </w:tcBorders>
          </w:tcPr>
          <w:p>
            <w:pPr>
              <w:jc w:val="right"/>
              <w:ind w:right="324"/>
              <w:spacing w:after="0"/>
              <w:rPr>
                <w:sz w:val="20"/>
                <w:szCs w:val="20"/>
                <w:color w:val="auto"/>
              </w:rPr>
            </w:pPr>
            <w:r>
              <w:rPr>
                <w:rFonts w:ascii="Arial" w:cs="Arial" w:eastAsia="Arial" w:hAnsi="Arial"/>
                <w:sz w:val="14"/>
                <w:szCs w:val="14"/>
                <w:b w:val="1"/>
                <w:bCs w:val="1"/>
                <w:color w:val="002856"/>
              </w:rPr>
              <w:t>$</w:t>
            </w:r>
          </w:p>
        </w:tc>
      </w:tr>
      <w:tr>
        <w:trPr>
          <w:trHeight w:val="241"/>
        </w:trPr>
        <w:tc>
          <w:tcPr>
            <w:tcW w:w="316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Powell Brown</w:t>
            </w:r>
          </w:p>
        </w:tc>
        <w:tc>
          <w:tcPr>
            <w:tcW w:w="2920" w:type="dxa"/>
            <w:vAlign w:val="bottom"/>
            <w:tcBorders>
              <w:bottom w:val="single" w:sz="8" w:color="4C4C4C"/>
            </w:tcBorders>
          </w:tcPr>
          <w:p>
            <w:pPr>
              <w:jc w:val="right"/>
              <w:ind w:right="104"/>
              <w:spacing w:after="0"/>
              <w:rPr>
                <w:sz w:val="20"/>
                <w:szCs w:val="20"/>
                <w:color w:val="auto"/>
              </w:rPr>
            </w:pPr>
            <w:r>
              <w:rPr>
                <w:rFonts w:ascii="Arial" w:cs="Arial" w:eastAsia="Arial" w:hAnsi="Arial"/>
                <w:sz w:val="16"/>
                <w:szCs w:val="16"/>
                <w:color w:val="auto"/>
              </w:rPr>
              <w:t>625,250</w:t>
            </w:r>
          </w:p>
        </w:tc>
        <w:tc>
          <w:tcPr>
            <w:tcW w:w="134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1,441,387</w:t>
            </w:r>
          </w:p>
        </w:tc>
        <w:tc>
          <w:tcPr>
            <w:tcW w:w="130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7,735,062</w:t>
            </w:r>
          </w:p>
        </w:tc>
      </w:tr>
      <w:tr>
        <w:trPr>
          <w:trHeight w:val="234"/>
        </w:trPr>
        <w:tc>
          <w:tcPr>
            <w:tcW w:w="316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R. Andrew Watts</w:t>
            </w:r>
          </w:p>
        </w:tc>
        <w:tc>
          <w:tcPr>
            <w:tcW w:w="2920" w:type="dxa"/>
            <w:vAlign w:val="bottom"/>
            <w:tcBorders>
              <w:bottom w:val="single" w:sz="8" w:color="4C4C4C"/>
            </w:tcBorders>
          </w:tcPr>
          <w:p>
            <w:pPr>
              <w:jc w:val="right"/>
              <w:ind w:right="104"/>
              <w:spacing w:after="0"/>
              <w:rPr>
                <w:sz w:val="20"/>
                <w:szCs w:val="20"/>
                <w:color w:val="auto"/>
              </w:rPr>
            </w:pPr>
            <w:r>
              <w:rPr>
                <w:rFonts w:ascii="Arial" w:cs="Arial" w:eastAsia="Arial" w:hAnsi="Arial"/>
                <w:sz w:val="16"/>
                <w:szCs w:val="16"/>
                <w:color w:val="auto"/>
              </w:rPr>
              <w:t>364,350</w:t>
            </w:r>
          </w:p>
        </w:tc>
        <w:tc>
          <w:tcPr>
            <w:tcW w:w="134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244,215</w:t>
            </w:r>
          </w:p>
        </w:tc>
        <w:tc>
          <w:tcPr>
            <w:tcW w:w="130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2,001,331</w:t>
            </w:r>
          </w:p>
        </w:tc>
      </w:tr>
      <w:tr>
        <w:trPr>
          <w:trHeight w:val="234"/>
        </w:trPr>
        <w:tc>
          <w:tcPr>
            <w:tcW w:w="316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P. Barrett Brown</w:t>
            </w:r>
          </w:p>
        </w:tc>
        <w:tc>
          <w:tcPr>
            <w:tcW w:w="2920" w:type="dxa"/>
            <w:vAlign w:val="bottom"/>
            <w:tcBorders>
              <w:bottom w:val="single" w:sz="8" w:color="4C4C4C"/>
            </w:tcBorders>
          </w:tcPr>
          <w:p>
            <w:pPr>
              <w:jc w:val="right"/>
              <w:ind w:right="10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3160" w:type="dxa"/>
            <w:vAlign w:val="bottom"/>
            <w:tcBorders>
              <w:bottom w:val="single" w:sz="8" w:color="4C4C4C"/>
            </w:tcBorders>
          </w:tcPr>
          <w:p>
            <w:pPr>
              <w:ind w:left="80"/>
              <w:spacing w:after="0"/>
              <w:rPr>
                <w:sz w:val="20"/>
                <w:szCs w:val="20"/>
                <w:color w:val="auto"/>
              </w:rPr>
            </w:pPr>
            <w:r>
              <w:rPr>
                <w:rFonts w:ascii="Arial" w:cs="Arial" w:eastAsia="Arial" w:hAnsi="Arial"/>
                <w:sz w:val="16"/>
                <w:szCs w:val="16"/>
                <w:b w:val="1"/>
                <w:bCs w:val="1"/>
                <w:color w:val="1D4F90"/>
              </w:rPr>
              <w:t>J. Scott Penny</w:t>
            </w:r>
          </w:p>
        </w:tc>
        <w:tc>
          <w:tcPr>
            <w:tcW w:w="2920" w:type="dxa"/>
            <w:vAlign w:val="bottom"/>
            <w:tcBorders>
              <w:bottom w:val="single" w:sz="8" w:color="4C4C4C"/>
            </w:tcBorders>
          </w:tcPr>
          <w:p>
            <w:pPr>
              <w:jc w:val="right"/>
              <w:ind w:right="10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26,780</w:t>
            </w:r>
          </w:p>
        </w:tc>
        <w:tc>
          <w:tcPr>
            <w:tcW w:w="130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139,943</w:t>
            </w:r>
          </w:p>
        </w:tc>
      </w:tr>
      <w:tr>
        <w:trPr>
          <w:trHeight w:val="241"/>
        </w:trPr>
        <w:tc>
          <w:tcPr>
            <w:tcW w:w="3160" w:type="dxa"/>
            <w:vAlign w:val="bottom"/>
            <w:tcBorders>
              <w:bottom w:val="single" w:sz="8" w:color="C6093B"/>
            </w:tcBorders>
          </w:tcPr>
          <w:p>
            <w:pPr>
              <w:ind w:left="80"/>
              <w:spacing w:after="0"/>
              <w:rPr>
                <w:sz w:val="20"/>
                <w:szCs w:val="20"/>
                <w:color w:val="auto"/>
              </w:rPr>
            </w:pPr>
            <w:r>
              <w:rPr>
                <w:rFonts w:ascii="Arial" w:cs="Arial" w:eastAsia="Arial" w:hAnsi="Arial"/>
                <w:sz w:val="16"/>
                <w:szCs w:val="16"/>
                <w:b w:val="1"/>
                <w:bCs w:val="1"/>
                <w:color w:val="1D4F90"/>
              </w:rPr>
              <w:t>Chris L. Walker</w:t>
            </w:r>
          </w:p>
        </w:tc>
        <w:tc>
          <w:tcPr>
            <w:tcW w:w="2920" w:type="dxa"/>
            <w:vAlign w:val="bottom"/>
            <w:tcBorders>
              <w:bottom w:val="single" w:sz="8" w:color="C6093B"/>
            </w:tcBorders>
          </w:tcPr>
          <w:p>
            <w:pPr>
              <w:jc w:val="right"/>
              <w:ind w:right="104"/>
              <w:spacing w:after="0"/>
              <w:rPr>
                <w:sz w:val="20"/>
                <w:szCs w:val="20"/>
                <w:color w:val="auto"/>
              </w:rPr>
            </w:pPr>
            <w:r>
              <w:rPr>
                <w:rFonts w:ascii="Arial" w:cs="Arial" w:eastAsia="Arial" w:hAnsi="Arial"/>
                <w:sz w:val="16"/>
                <w:szCs w:val="16"/>
                <w:color w:val="auto"/>
              </w:rPr>
              <w:t>160,000</w:t>
            </w:r>
          </w:p>
        </w:tc>
        <w:tc>
          <w:tcPr>
            <w:tcW w:w="1340" w:type="dxa"/>
            <w:vAlign w:val="bottom"/>
            <w:tcBorders>
              <w:bottom w:val="single" w:sz="8" w:color="C6093B"/>
            </w:tcBorders>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6093B"/>
            </w:tcBorders>
          </w:tcPr>
          <w:p>
            <w:pPr>
              <w:jc w:val="right"/>
              <w:ind w:right="124"/>
              <w:spacing w:after="0"/>
              <w:rPr>
                <w:sz w:val="20"/>
                <w:szCs w:val="20"/>
                <w:color w:val="auto"/>
              </w:rPr>
            </w:pPr>
            <w:r>
              <w:rPr>
                <w:rFonts w:ascii="Arial" w:cs="Arial" w:eastAsia="Arial" w:hAnsi="Arial"/>
                <w:sz w:val="16"/>
                <w:szCs w:val="16"/>
                <w:color w:val="auto"/>
              </w:rPr>
              <w:t>95,916</w:t>
            </w:r>
          </w:p>
        </w:tc>
        <w:tc>
          <w:tcPr>
            <w:tcW w:w="1300" w:type="dxa"/>
            <w:vAlign w:val="bottom"/>
            <w:tcBorders>
              <w:bottom w:val="single" w:sz="8" w:color="C6093B"/>
            </w:tcBorders>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519,244</w:t>
            </w:r>
          </w:p>
        </w:tc>
      </w:tr>
    </w:tbl>
    <w:p>
      <w:pPr>
        <w:spacing w:after="0" w:line="9" w:lineRule="exact"/>
        <w:rPr>
          <w:sz w:val="20"/>
          <w:szCs w:val="20"/>
          <w:color w:val="auto"/>
        </w:rPr>
      </w:pPr>
    </w:p>
    <w:p>
      <w:pPr>
        <w:ind w:left="220" w:hanging="213"/>
        <w:spacing w:after="0"/>
        <w:tabs>
          <w:tab w:leader="none" w:pos="220" w:val="left"/>
        </w:tabs>
        <w:numPr>
          <w:ilvl w:val="0"/>
          <w:numId w:val="47"/>
        </w:numPr>
        <w:rPr>
          <w:rFonts w:ascii="Arial" w:cs="Arial" w:eastAsia="Arial" w:hAnsi="Arial"/>
          <w:sz w:val="19"/>
          <w:szCs w:val="19"/>
          <w:color w:val="auto"/>
          <w:vertAlign w:val="superscript"/>
        </w:rPr>
      </w:pPr>
      <w:r>
        <w:rPr>
          <w:rFonts w:ascii="Arial" w:cs="Arial" w:eastAsia="Arial" w:hAnsi="Arial"/>
          <w:sz w:val="12"/>
          <w:szCs w:val="12"/>
          <w:color w:val="auto"/>
        </w:rPr>
        <w:t>In each instance, the indicated executive contribution is included in the amounts reported for that Named Executive Officer in the Summary Compensation Table for 2023.</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Potential Payments Upon Termination or Change in Control –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Before Change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After Change</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0"/>
        </w:trPr>
        <w:tc>
          <w:tcPr>
            <w:tcW w:w="2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in Control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in Control</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2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w w:val="99"/>
              </w:rPr>
              <w:t>Termination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w w:val="99"/>
              </w:rPr>
              <w:t>Termination</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2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w/o Cause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w/o Cause or</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2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jc w:val="right"/>
              <w:ind w:right="43"/>
              <w:spacing w:after="0"/>
              <w:rPr>
                <w:sz w:val="20"/>
                <w:szCs w:val="20"/>
                <w:color w:val="auto"/>
              </w:rPr>
            </w:pPr>
            <w:r>
              <w:rPr>
                <w:rFonts w:ascii="Arial" w:cs="Arial" w:eastAsia="Arial" w:hAnsi="Arial"/>
                <w:sz w:val="14"/>
                <w:szCs w:val="14"/>
                <w:b w:val="1"/>
                <w:bCs w:val="1"/>
                <w:color w:val="002856"/>
              </w:rPr>
              <w:t>Resignation for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2856"/>
              </w:rPr>
              <w:t>Resignation for</w:t>
            </w:r>
          </w:p>
        </w:tc>
        <w:tc>
          <w:tcPr>
            <w:tcW w:w="1080" w:type="dxa"/>
            <w:vAlign w:val="bottom"/>
          </w:tcPr>
          <w:p>
            <w:pPr>
              <w:jc w:val="right"/>
              <w:ind w:right="161"/>
              <w:spacing w:after="0"/>
              <w:rPr>
                <w:sz w:val="20"/>
                <w:szCs w:val="20"/>
                <w:color w:val="auto"/>
              </w:rPr>
            </w:pPr>
            <w:r>
              <w:rPr>
                <w:rFonts w:ascii="Arial" w:cs="Arial" w:eastAsia="Arial" w:hAnsi="Arial"/>
                <w:sz w:val="14"/>
                <w:szCs w:val="14"/>
                <w:b w:val="1"/>
                <w:bCs w:val="1"/>
                <w:color w:val="002856"/>
              </w:rPr>
              <w:t>Voluntary</w:t>
            </w: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b w:val="1"/>
                <w:bCs w:val="1"/>
                <w:color w:val="002856"/>
              </w:rPr>
              <w:t>Change in</w:t>
            </w:r>
          </w:p>
        </w:tc>
      </w:tr>
      <w:tr>
        <w:trPr>
          <w:trHeight w:val="157"/>
        </w:trPr>
        <w:tc>
          <w:tcPr>
            <w:tcW w:w="2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Good Reason</w:t>
            </w: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Good Reason</w:t>
            </w:r>
          </w:p>
        </w:tc>
        <w:tc>
          <w:tcPr>
            <w:tcW w:w="1080" w:type="dxa"/>
            <w:vAlign w:val="bottom"/>
          </w:tcPr>
          <w:p>
            <w:pPr>
              <w:jc w:val="right"/>
              <w:ind w:right="81"/>
              <w:spacing w:after="0" w:line="157" w:lineRule="exact"/>
              <w:rPr>
                <w:sz w:val="20"/>
                <w:szCs w:val="20"/>
                <w:color w:val="auto"/>
              </w:rPr>
            </w:pPr>
            <w:r>
              <w:rPr>
                <w:rFonts w:ascii="Arial" w:cs="Arial" w:eastAsia="Arial" w:hAnsi="Arial"/>
                <w:sz w:val="14"/>
                <w:szCs w:val="14"/>
                <w:b w:val="1"/>
                <w:bCs w:val="1"/>
                <w:color w:val="002856"/>
              </w:rPr>
              <w:t>Termination</w:t>
            </w:r>
          </w:p>
        </w:tc>
        <w:tc>
          <w:tcPr>
            <w:tcW w:w="1100" w:type="dxa"/>
            <w:vAlign w:val="bottom"/>
          </w:tcPr>
          <w:p>
            <w:pPr>
              <w:jc w:val="right"/>
              <w:ind w:right="301"/>
              <w:spacing w:after="0" w:line="157" w:lineRule="exact"/>
              <w:rPr>
                <w:sz w:val="20"/>
                <w:szCs w:val="20"/>
                <w:color w:val="auto"/>
              </w:rPr>
            </w:pPr>
            <w:r>
              <w:rPr>
                <w:rFonts w:ascii="Arial" w:cs="Arial" w:eastAsia="Arial" w:hAnsi="Arial"/>
                <w:sz w:val="14"/>
                <w:szCs w:val="14"/>
                <w:b w:val="1"/>
                <w:bCs w:val="1"/>
                <w:color w:val="002856"/>
              </w:rPr>
              <w:t>Death</w:t>
            </w:r>
          </w:p>
        </w:tc>
        <w:tc>
          <w:tcPr>
            <w:tcW w:w="1100" w:type="dxa"/>
            <w:vAlign w:val="bottom"/>
          </w:tcPr>
          <w:p>
            <w:pPr>
              <w:jc w:val="right"/>
              <w:ind w:right="201"/>
              <w:spacing w:after="0" w:line="157" w:lineRule="exact"/>
              <w:rPr>
                <w:sz w:val="20"/>
                <w:szCs w:val="20"/>
                <w:color w:val="auto"/>
              </w:rPr>
            </w:pPr>
            <w:r>
              <w:rPr>
                <w:rFonts w:ascii="Arial" w:cs="Arial" w:eastAsia="Arial" w:hAnsi="Arial"/>
                <w:sz w:val="14"/>
                <w:szCs w:val="14"/>
                <w:b w:val="1"/>
                <w:bCs w:val="1"/>
                <w:color w:val="002856"/>
              </w:rPr>
              <w:t>Disability</w:t>
            </w:r>
          </w:p>
        </w:tc>
        <w:tc>
          <w:tcPr>
            <w:tcW w:w="114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002856"/>
              </w:rPr>
              <w:t>Control</w:t>
            </w:r>
          </w:p>
        </w:tc>
      </w:tr>
      <w:tr>
        <w:trPr>
          <w:trHeight w:val="194"/>
        </w:trPr>
        <w:tc>
          <w:tcPr>
            <w:tcW w:w="224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Name</w:t>
            </w:r>
          </w:p>
        </w:tc>
        <w:tc>
          <w:tcPr>
            <w:tcW w:w="1700" w:type="dxa"/>
            <w:vAlign w:val="bottom"/>
            <w:tcBorders>
              <w:bottom w:val="single" w:sz="8" w:color="C6093B"/>
            </w:tcBorders>
          </w:tcPr>
          <w:p>
            <w:pPr>
              <w:jc w:val="right"/>
              <w:ind w:right="100"/>
              <w:spacing w:after="0" w:line="187" w:lineRule="exact"/>
              <w:rPr>
                <w:sz w:val="20"/>
                <w:szCs w:val="20"/>
                <w:color w:val="auto"/>
              </w:rPr>
            </w:pPr>
            <w:r>
              <w:rPr>
                <w:rFonts w:ascii="Arial" w:cs="Arial" w:eastAsia="Arial" w:hAnsi="Arial"/>
                <w:sz w:val="14"/>
                <w:szCs w:val="14"/>
                <w:b w:val="1"/>
                <w:bCs w:val="1"/>
                <w:color w:val="002856"/>
              </w:rPr>
              <w:t>Benefit</w:t>
            </w:r>
            <w:r>
              <w:rPr>
                <w:rFonts w:ascii="Arial" w:cs="Arial" w:eastAsia="Arial" w:hAnsi="Arial"/>
                <w:sz w:val="21"/>
                <w:szCs w:val="21"/>
                <w:b w:val="1"/>
                <w:bCs w:val="1"/>
                <w:color w:val="002856"/>
                <w:vertAlign w:val="superscript"/>
              </w:rPr>
              <w:t>(1)</w:t>
            </w:r>
          </w:p>
        </w:tc>
        <w:tc>
          <w:tcPr>
            <w:tcW w:w="128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280" w:type="dxa"/>
            <w:vAlign w:val="bottom"/>
            <w:tcBorders>
              <w:bottom w:val="single" w:sz="8" w:color="C6093B"/>
            </w:tcBorders>
          </w:tcPr>
          <w:p>
            <w:pPr>
              <w:jc w:val="center"/>
              <w:spacing w:after="0" w:line="187" w:lineRule="exact"/>
              <w:rPr>
                <w:sz w:val="20"/>
                <w:szCs w:val="20"/>
                <w:color w:val="auto"/>
              </w:rPr>
            </w:pPr>
            <w:r>
              <w:rPr>
                <w:rFonts w:ascii="Arial" w:cs="Arial" w:eastAsia="Arial" w:hAnsi="Arial"/>
                <w:sz w:val="21"/>
                <w:szCs w:val="21"/>
                <w:b w:val="1"/>
                <w:bCs w:val="1"/>
                <w:color w:val="002856"/>
                <w:vertAlign w:val="subscript"/>
              </w:rPr>
              <w:t>($)</w:t>
            </w:r>
            <w:r>
              <w:rPr>
                <w:rFonts w:ascii="Arial" w:cs="Arial" w:eastAsia="Arial" w:hAnsi="Arial"/>
                <w:sz w:val="9"/>
                <w:szCs w:val="9"/>
                <w:b w:val="1"/>
                <w:bCs w:val="1"/>
                <w:color w:val="002856"/>
              </w:rPr>
              <w:t>(2)</w:t>
            </w:r>
          </w:p>
        </w:tc>
        <w:tc>
          <w:tcPr>
            <w:tcW w:w="1080" w:type="dxa"/>
            <w:vAlign w:val="bottom"/>
            <w:tcBorders>
              <w:bottom w:val="single" w:sz="8" w:color="C6093B"/>
            </w:tcBorders>
          </w:tcPr>
          <w:p>
            <w:pPr>
              <w:jc w:val="right"/>
              <w:ind w:right="401"/>
              <w:spacing w:after="0"/>
              <w:rPr>
                <w:sz w:val="20"/>
                <w:szCs w:val="20"/>
                <w:color w:val="auto"/>
              </w:rPr>
            </w:pPr>
            <w:r>
              <w:rPr>
                <w:rFonts w:ascii="Arial" w:cs="Arial" w:eastAsia="Arial" w:hAnsi="Arial"/>
                <w:sz w:val="14"/>
                <w:szCs w:val="14"/>
                <w:b w:val="1"/>
                <w:bCs w:val="1"/>
                <w:color w:val="002856"/>
              </w:rPr>
              <w:t>($)</w:t>
            </w:r>
          </w:p>
        </w:tc>
        <w:tc>
          <w:tcPr>
            <w:tcW w:w="1100" w:type="dxa"/>
            <w:vAlign w:val="bottom"/>
            <w:tcBorders>
              <w:bottom w:val="single" w:sz="8" w:color="C6093B"/>
            </w:tcBorders>
          </w:tcPr>
          <w:p>
            <w:pPr>
              <w:jc w:val="right"/>
              <w:ind w:right="421"/>
              <w:spacing w:after="0"/>
              <w:rPr>
                <w:sz w:val="20"/>
                <w:szCs w:val="20"/>
                <w:color w:val="auto"/>
              </w:rPr>
            </w:pPr>
            <w:r>
              <w:rPr>
                <w:rFonts w:ascii="Arial" w:cs="Arial" w:eastAsia="Arial" w:hAnsi="Arial"/>
                <w:sz w:val="14"/>
                <w:szCs w:val="14"/>
                <w:b w:val="1"/>
                <w:bCs w:val="1"/>
                <w:color w:val="002856"/>
              </w:rPr>
              <w:t>($)</w:t>
            </w:r>
          </w:p>
        </w:tc>
        <w:tc>
          <w:tcPr>
            <w:tcW w:w="1100" w:type="dxa"/>
            <w:vAlign w:val="bottom"/>
            <w:tcBorders>
              <w:bottom w:val="single" w:sz="8" w:color="C6093B"/>
            </w:tcBorders>
          </w:tcPr>
          <w:p>
            <w:pPr>
              <w:jc w:val="right"/>
              <w:ind w:right="421"/>
              <w:spacing w:after="0"/>
              <w:rPr>
                <w:sz w:val="20"/>
                <w:szCs w:val="20"/>
                <w:color w:val="auto"/>
              </w:rPr>
            </w:pPr>
            <w:r>
              <w:rPr>
                <w:rFonts w:ascii="Arial" w:cs="Arial" w:eastAsia="Arial" w:hAnsi="Arial"/>
                <w:sz w:val="14"/>
                <w:szCs w:val="14"/>
                <w:b w:val="1"/>
                <w:bCs w:val="1"/>
                <w:color w:val="002856"/>
              </w:rPr>
              <w:t>($)</w:t>
            </w:r>
          </w:p>
        </w:tc>
        <w:tc>
          <w:tcPr>
            <w:tcW w:w="1140" w:type="dxa"/>
            <w:vAlign w:val="bottom"/>
            <w:tcBorders>
              <w:bottom w:val="single" w:sz="8" w:color="C6093B"/>
            </w:tcBorders>
          </w:tcPr>
          <w:p>
            <w:pPr>
              <w:jc w:val="center"/>
              <w:ind w:right="41"/>
              <w:spacing w:after="0"/>
              <w:rPr>
                <w:sz w:val="20"/>
                <w:szCs w:val="20"/>
                <w:color w:val="auto"/>
              </w:rPr>
            </w:pPr>
            <w:r>
              <w:rPr>
                <w:rFonts w:ascii="Arial" w:cs="Arial" w:eastAsia="Arial" w:hAnsi="Arial"/>
                <w:sz w:val="14"/>
                <w:szCs w:val="14"/>
                <w:b w:val="1"/>
                <w:bCs w:val="1"/>
                <w:color w:val="002856"/>
              </w:rPr>
              <w:t>($)</w:t>
            </w:r>
          </w:p>
        </w:tc>
      </w:tr>
      <w:tr>
        <w:trPr>
          <w:trHeight w:val="293"/>
        </w:trPr>
        <w:tc>
          <w:tcPr>
            <w:tcW w:w="2240" w:type="dxa"/>
            <w:vAlign w:val="bottom"/>
          </w:tcPr>
          <w:p>
            <w:pPr>
              <w:ind w:left="80"/>
              <w:spacing w:after="0"/>
              <w:rPr>
                <w:sz w:val="20"/>
                <w:szCs w:val="20"/>
                <w:color w:val="auto"/>
              </w:rPr>
            </w:pPr>
            <w:r>
              <w:rPr>
                <w:rFonts w:ascii="Arial" w:cs="Arial" w:eastAsia="Arial" w:hAnsi="Arial"/>
                <w:sz w:val="16"/>
                <w:szCs w:val="16"/>
                <w:b w:val="1"/>
                <w:bCs w:val="1"/>
                <w:color w:val="1D4F90"/>
              </w:rPr>
              <w:t>J. Powell Brown</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PSP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2,275,520</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2,275,520</w:t>
            </w:r>
          </w:p>
        </w:tc>
        <w:tc>
          <w:tcPr>
            <w:tcW w:w="1140" w:type="dxa"/>
            <w:vAlign w:val="bottom"/>
          </w:tcPr>
          <w:p>
            <w:pPr>
              <w:jc w:val="right"/>
              <w:spacing w:after="0"/>
              <w:rPr>
                <w:sz w:val="20"/>
                <w:szCs w:val="20"/>
                <w:color w:val="auto"/>
              </w:rPr>
            </w:pPr>
            <w:r>
              <w:rPr>
                <w:rFonts w:ascii="Arial" w:cs="Arial" w:eastAsia="Arial" w:hAnsi="Arial"/>
                <w:sz w:val="16"/>
                <w:szCs w:val="16"/>
                <w:color w:val="auto"/>
              </w:rPr>
              <w:t>3,395,087</w:t>
            </w:r>
            <w:r>
              <w:rPr>
                <w:rFonts w:ascii="Arial" w:cs="Arial" w:eastAsia="Arial" w:hAnsi="Arial"/>
                <w:sz w:val="24"/>
                <w:szCs w:val="24"/>
                <w:color w:val="auto"/>
                <w:vertAlign w:val="superscript"/>
              </w:rPr>
              <w:t>(3)</w:t>
            </w:r>
          </w:p>
        </w:tc>
      </w:tr>
      <w:tr>
        <w:trPr>
          <w:trHeight w:val="254"/>
        </w:trPr>
        <w:tc>
          <w:tcPr>
            <w:tcW w:w="224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2010 SIP</w:t>
            </w:r>
          </w:p>
        </w:tc>
        <w:tc>
          <w:tcPr>
            <w:tcW w:w="1280" w:type="dxa"/>
            <w:vAlign w:val="bottom"/>
          </w:tcPr>
          <w:p>
            <w:pPr>
              <w:spacing w:after="0"/>
              <w:rPr>
                <w:sz w:val="22"/>
                <w:szCs w:val="22"/>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8,433,859</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29,714,522</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29,714,522</w:t>
            </w:r>
          </w:p>
        </w:tc>
        <w:tc>
          <w:tcPr>
            <w:tcW w:w="1140" w:type="dxa"/>
            <w:vAlign w:val="bottom"/>
          </w:tcPr>
          <w:p>
            <w:pPr>
              <w:jc w:val="right"/>
              <w:spacing w:after="0" w:line="253" w:lineRule="exact"/>
              <w:rPr>
                <w:sz w:val="20"/>
                <w:szCs w:val="20"/>
                <w:color w:val="auto"/>
              </w:rPr>
            </w:pPr>
            <w:r>
              <w:rPr>
                <w:rFonts w:ascii="Arial" w:cs="Arial" w:eastAsia="Arial" w:hAnsi="Arial"/>
                <w:sz w:val="16"/>
                <w:szCs w:val="16"/>
                <w:color w:val="auto"/>
              </w:rPr>
              <w:t>21,280,663</w:t>
            </w:r>
            <w:r>
              <w:rPr>
                <w:rFonts w:ascii="Arial" w:cs="Arial" w:eastAsia="Arial" w:hAnsi="Arial"/>
                <w:sz w:val="24"/>
                <w:szCs w:val="24"/>
                <w:color w:val="auto"/>
                <w:vertAlign w:val="superscript"/>
              </w:rPr>
              <w:t>(4)</w:t>
            </w:r>
          </w:p>
        </w:tc>
      </w:tr>
      <w:tr>
        <w:trPr>
          <w:trHeight w:val="201"/>
        </w:trPr>
        <w:tc>
          <w:tcPr>
            <w:tcW w:w="2240" w:type="dxa"/>
            <w:vAlign w:val="bottom"/>
            <w:tcBorders>
              <w:bottom w:val="single" w:sz="8" w:color="4C4C4C"/>
            </w:tcBorders>
          </w:tcPr>
          <w:p>
            <w:pPr>
              <w:spacing w:after="0"/>
              <w:rPr>
                <w:sz w:val="17"/>
                <w:szCs w:val="17"/>
                <w:color w:val="auto"/>
              </w:rPr>
            </w:pPr>
          </w:p>
        </w:tc>
        <w:tc>
          <w:tcPr>
            <w:tcW w:w="1700" w:type="dxa"/>
            <w:vAlign w:val="bottom"/>
            <w:tcBorders>
              <w:bottom w:val="single" w:sz="8" w:color="4C4C4C"/>
            </w:tcBorders>
          </w:tcPr>
          <w:p>
            <w:pPr>
              <w:jc w:val="right"/>
              <w:ind w:right="40"/>
              <w:spacing w:after="0"/>
              <w:rPr>
                <w:sz w:val="20"/>
                <w:szCs w:val="20"/>
                <w:color w:val="auto"/>
              </w:rPr>
            </w:pPr>
            <w:r>
              <w:rPr>
                <w:rFonts w:ascii="Arial" w:cs="Arial" w:eastAsia="Arial" w:hAnsi="Arial"/>
                <w:sz w:val="16"/>
                <w:szCs w:val="16"/>
                <w:color w:val="auto"/>
              </w:rPr>
              <w:t>2019 SIP</w:t>
            </w:r>
          </w:p>
        </w:tc>
        <w:tc>
          <w:tcPr>
            <w:tcW w:w="1280" w:type="dxa"/>
            <w:vAlign w:val="bottom"/>
            <w:tcBorders>
              <w:bottom w:val="single" w:sz="8" w:color="4C4C4C"/>
            </w:tcBorders>
          </w:tcPr>
          <w:p>
            <w:pPr>
              <w:spacing w:after="0"/>
              <w:rPr>
                <w:sz w:val="17"/>
                <w:szCs w:val="17"/>
                <w:color w:val="auto"/>
              </w:rPr>
            </w:pPr>
          </w:p>
        </w:tc>
        <w:tc>
          <w:tcPr>
            <w:tcW w:w="128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auto"/>
              </w:rPr>
              <w:t>27,413,901</w:t>
            </w:r>
          </w:p>
        </w:tc>
        <w:tc>
          <w:tcPr>
            <w:tcW w:w="108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16,102,824</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16,102,824</w:t>
            </w:r>
          </w:p>
        </w:tc>
        <w:tc>
          <w:tcPr>
            <w:tcW w:w="114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54"/>
        </w:trPr>
        <w:tc>
          <w:tcPr>
            <w:tcW w:w="2240" w:type="dxa"/>
            <w:vAlign w:val="bottom"/>
          </w:tcPr>
          <w:p>
            <w:pPr>
              <w:ind w:left="80"/>
              <w:spacing w:after="0"/>
              <w:rPr>
                <w:sz w:val="20"/>
                <w:szCs w:val="20"/>
                <w:color w:val="auto"/>
              </w:rPr>
            </w:pPr>
            <w:r>
              <w:rPr>
                <w:rFonts w:ascii="Arial" w:cs="Arial" w:eastAsia="Arial" w:hAnsi="Arial"/>
                <w:sz w:val="16"/>
                <w:szCs w:val="16"/>
                <w:b w:val="1"/>
                <w:bCs w:val="1"/>
                <w:color w:val="1D4F90"/>
              </w:rPr>
              <w:t>R. Andrew Watts</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PSP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Pr>
          <w:p>
            <w:pPr>
              <w:spacing w:after="0"/>
              <w:rPr>
                <w:sz w:val="21"/>
                <w:szCs w:val="21"/>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2010 SIP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2,530,165</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2,530,165</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2,530,165</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Borders>
              <w:bottom w:val="single" w:sz="8" w:color="4C4C4C"/>
            </w:tcBorders>
          </w:tcPr>
          <w:p>
            <w:pPr>
              <w:spacing w:after="0"/>
              <w:rPr>
                <w:sz w:val="21"/>
                <w:szCs w:val="21"/>
                <w:color w:val="auto"/>
              </w:rPr>
            </w:pPr>
          </w:p>
        </w:tc>
        <w:tc>
          <w:tcPr>
            <w:tcW w:w="1700" w:type="dxa"/>
            <w:vAlign w:val="bottom"/>
            <w:tcBorders>
              <w:bottom w:val="single" w:sz="8" w:color="4C4C4C"/>
            </w:tcBorders>
          </w:tcPr>
          <w:p>
            <w:pPr>
              <w:jc w:val="right"/>
              <w:ind w:right="40"/>
              <w:spacing w:after="0"/>
              <w:rPr>
                <w:sz w:val="20"/>
                <w:szCs w:val="20"/>
                <w:color w:val="auto"/>
              </w:rPr>
            </w:pPr>
            <w:r>
              <w:rPr>
                <w:rFonts w:ascii="Arial" w:cs="Arial" w:eastAsia="Arial" w:hAnsi="Arial"/>
                <w:sz w:val="16"/>
                <w:szCs w:val="16"/>
                <w:color w:val="auto"/>
              </w:rPr>
              <w:t>2019 SIP</w:t>
            </w:r>
          </w:p>
        </w:tc>
        <w:tc>
          <w:tcPr>
            <w:tcW w:w="1280" w:type="dxa"/>
            <w:vAlign w:val="bottom"/>
            <w:tcBorders>
              <w:bottom w:val="single" w:sz="8" w:color="4C4C4C"/>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auto"/>
              </w:rPr>
              <w:t>9,471,354</w:t>
            </w:r>
          </w:p>
        </w:tc>
        <w:tc>
          <w:tcPr>
            <w:tcW w:w="108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6,171,566</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6,171,566</w:t>
            </w:r>
          </w:p>
        </w:tc>
        <w:tc>
          <w:tcPr>
            <w:tcW w:w="114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54"/>
        </w:trPr>
        <w:tc>
          <w:tcPr>
            <w:tcW w:w="2240" w:type="dxa"/>
            <w:vAlign w:val="bottom"/>
          </w:tcPr>
          <w:p>
            <w:pPr>
              <w:ind w:left="80"/>
              <w:spacing w:after="0"/>
              <w:rPr>
                <w:sz w:val="20"/>
                <w:szCs w:val="20"/>
                <w:color w:val="auto"/>
              </w:rPr>
            </w:pPr>
            <w:r>
              <w:rPr>
                <w:rFonts w:ascii="Arial" w:cs="Arial" w:eastAsia="Arial" w:hAnsi="Arial"/>
                <w:sz w:val="16"/>
                <w:szCs w:val="16"/>
                <w:b w:val="1"/>
                <w:bCs w:val="1"/>
                <w:color w:val="1D4F90"/>
              </w:rPr>
              <w:t>P. Barrett Brown</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PSP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Pr>
          <w:p>
            <w:pPr>
              <w:spacing w:after="0"/>
              <w:rPr>
                <w:sz w:val="21"/>
                <w:szCs w:val="21"/>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2010 SIP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1,264,976</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1,264,976</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1,264,976</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Borders>
              <w:bottom w:val="single" w:sz="8" w:color="4C4C4C"/>
            </w:tcBorders>
          </w:tcPr>
          <w:p>
            <w:pPr>
              <w:spacing w:after="0"/>
              <w:rPr>
                <w:sz w:val="21"/>
                <w:szCs w:val="21"/>
                <w:color w:val="auto"/>
              </w:rPr>
            </w:pPr>
          </w:p>
        </w:tc>
        <w:tc>
          <w:tcPr>
            <w:tcW w:w="1700" w:type="dxa"/>
            <w:vAlign w:val="bottom"/>
            <w:tcBorders>
              <w:bottom w:val="single" w:sz="8" w:color="4C4C4C"/>
            </w:tcBorders>
          </w:tcPr>
          <w:p>
            <w:pPr>
              <w:jc w:val="right"/>
              <w:ind w:right="40"/>
              <w:spacing w:after="0"/>
              <w:rPr>
                <w:sz w:val="20"/>
                <w:szCs w:val="20"/>
                <w:color w:val="auto"/>
              </w:rPr>
            </w:pPr>
            <w:r>
              <w:rPr>
                <w:rFonts w:ascii="Arial" w:cs="Arial" w:eastAsia="Arial" w:hAnsi="Arial"/>
                <w:sz w:val="16"/>
                <w:szCs w:val="16"/>
                <w:color w:val="auto"/>
              </w:rPr>
              <w:t>2019 SIP</w:t>
            </w:r>
          </w:p>
        </w:tc>
        <w:tc>
          <w:tcPr>
            <w:tcW w:w="1280" w:type="dxa"/>
            <w:vAlign w:val="bottom"/>
            <w:tcBorders>
              <w:bottom w:val="single" w:sz="8" w:color="4C4C4C"/>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auto"/>
              </w:rPr>
              <w:t>6,592,110</w:t>
            </w:r>
          </w:p>
        </w:tc>
        <w:tc>
          <w:tcPr>
            <w:tcW w:w="108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4,707,083</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4,707,083</w:t>
            </w:r>
          </w:p>
        </w:tc>
        <w:tc>
          <w:tcPr>
            <w:tcW w:w="114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54"/>
        </w:trPr>
        <w:tc>
          <w:tcPr>
            <w:tcW w:w="2240" w:type="dxa"/>
            <w:vAlign w:val="bottom"/>
          </w:tcPr>
          <w:p>
            <w:pPr>
              <w:ind w:left="80"/>
              <w:spacing w:after="0"/>
              <w:rPr>
                <w:sz w:val="20"/>
                <w:szCs w:val="20"/>
                <w:color w:val="auto"/>
              </w:rPr>
            </w:pPr>
            <w:r>
              <w:rPr>
                <w:rFonts w:ascii="Arial" w:cs="Arial" w:eastAsia="Arial" w:hAnsi="Arial"/>
                <w:sz w:val="16"/>
                <w:szCs w:val="16"/>
                <w:b w:val="1"/>
                <w:bCs w:val="1"/>
                <w:color w:val="1D4F90"/>
              </w:rPr>
              <w:t>J. Scott Penny</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PSP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Pr>
          <w:p>
            <w:pPr>
              <w:spacing w:after="0"/>
              <w:rPr>
                <w:sz w:val="21"/>
                <w:szCs w:val="21"/>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2010 SIP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1,897,499</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1,897,499</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1,897,499</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Borders>
              <w:bottom w:val="single" w:sz="8" w:color="4C4C4C"/>
            </w:tcBorders>
          </w:tcPr>
          <w:p>
            <w:pPr>
              <w:spacing w:after="0"/>
              <w:rPr>
                <w:sz w:val="21"/>
                <w:szCs w:val="21"/>
                <w:color w:val="auto"/>
              </w:rPr>
            </w:pPr>
          </w:p>
        </w:tc>
        <w:tc>
          <w:tcPr>
            <w:tcW w:w="1700" w:type="dxa"/>
            <w:vAlign w:val="bottom"/>
            <w:tcBorders>
              <w:bottom w:val="single" w:sz="8" w:color="4C4C4C"/>
            </w:tcBorders>
          </w:tcPr>
          <w:p>
            <w:pPr>
              <w:jc w:val="right"/>
              <w:ind w:right="40"/>
              <w:spacing w:after="0"/>
              <w:rPr>
                <w:sz w:val="20"/>
                <w:szCs w:val="20"/>
                <w:color w:val="auto"/>
              </w:rPr>
            </w:pPr>
            <w:r>
              <w:rPr>
                <w:rFonts w:ascii="Arial" w:cs="Arial" w:eastAsia="Arial" w:hAnsi="Arial"/>
                <w:sz w:val="16"/>
                <w:szCs w:val="16"/>
                <w:color w:val="auto"/>
              </w:rPr>
              <w:t>2019 SIP</w:t>
            </w:r>
          </w:p>
        </w:tc>
        <w:tc>
          <w:tcPr>
            <w:tcW w:w="1280" w:type="dxa"/>
            <w:vAlign w:val="bottom"/>
            <w:tcBorders>
              <w:bottom w:val="single" w:sz="8" w:color="4C4C4C"/>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auto"/>
              </w:rPr>
              <w:t>6,592,110</w:t>
            </w:r>
          </w:p>
        </w:tc>
        <w:tc>
          <w:tcPr>
            <w:tcW w:w="1080" w:type="dxa"/>
            <w:vAlign w:val="bottom"/>
            <w:tcBorders>
              <w:bottom w:val="single" w:sz="8" w:color="4C4C4C"/>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4,707,083</w:t>
            </w:r>
          </w:p>
        </w:tc>
        <w:tc>
          <w:tcPr>
            <w:tcW w:w="1100" w:type="dxa"/>
            <w:vAlign w:val="bottom"/>
            <w:tcBorders>
              <w:bottom w:val="single" w:sz="8" w:color="4C4C4C"/>
            </w:tcBorders>
          </w:tcPr>
          <w:p>
            <w:pPr>
              <w:jc w:val="right"/>
              <w:ind w:right="81"/>
              <w:spacing w:after="0"/>
              <w:rPr>
                <w:sz w:val="20"/>
                <w:szCs w:val="20"/>
                <w:color w:val="auto"/>
              </w:rPr>
            </w:pPr>
            <w:r>
              <w:rPr>
                <w:rFonts w:ascii="Arial" w:cs="Arial" w:eastAsia="Arial" w:hAnsi="Arial"/>
                <w:sz w:val="16"/>
                <w:szCs w:val="16"/>
                <w:color w:val="auto"/>
              </w:rPr>
              <w:t>4,707,083</w:t>
            </w:r>
          </w:p>
        </w:tc>
        <w:tc>
          <w:tcPr>
            <w:tcW w:w="1140" w:type="dxa"/>
            <w:vAlign w:val="bottom"/>
            <w:tcBorders>
              <w:bottom w:val="single" w:sz="8" w:color="4C4C4C"/>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54"/>
        </w:trPr>
        <w:tc>
          <w:tcPr>
            <w:tcW w:w="2240" w:type="dxa"/>
            <w:vAlign w:val="bottom"/>
          </w:tcPr>
          <w:p>
            <w:pPr>
              <w:ind w:left="80"/>
              <w:spacing w:after="0"/>
              <w:rPr>
                <w:sz w:val="20"/>
                <w:szCs w:val="20"/>
                <w:color w:val="auto"/>
              </w:rPr>
            </w:pPr>
            <w:r>
              <w:rPr>
                <w:rFonts w:ascii="Arial" w:cs="Arial" w:eastAsia="Arial" w:hAnsi="Arial"/>
                <w:sz w:val="16"/>
                <w:szCs w:val="16"/>
                <w:b w:val="1"/>
                <w:bCs w:val="1"/>
                <w:color w:val="1D4F90"/>
              </w:rPr>
              <w:t>Chris L. Walker</w:t>
            </w: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PSP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44"/>
        </w:trPr>
        <w:tc>
          <w:tcPr>
            <w:tcW w:w="2240" w:type="dxa"/>
            <w:vAlign w:val="bottom"/>
          </w:tcPr>
          <w:p>
            <w:pPr>
              <w:spacing w:after="0"/>
              <w:rPr>
                <w:sz w:val="21"/>
                <w:szCs w:val="21"/>
                <w:color w:val="auto"/>
              </w:rPr>
            </w:pPr>
          </w:p>
        </w:tc>
        <w:tc>
          <w:tcPr>
            <w:tcW w:w="1700" w:type="dxa"/>
            <w:vAlign w:val="bottom"/>
          </w:tcPr>
          <w:p>
            <w:pPr>
              <w:jc w:val="right"/>
              <w:ind w:right="40"/>
              <w:spacing w:after="0"/>
              <w:rPr>
                <w:sz w:val="20"/>
                <w:szCs w:val="20"/>
                <w:color w:val="auto"/>
              </w:rPr>
            </w:pPr>
            <w:r>
              <w:rPr>
                <w:rFonts w:ascii="Arial" w:cs="Arial" w:eastAsia="Arial" w:hAnsi="Arial"/>
                <w:sz w:val="16"/>
                <w:szCs w:val="16"/>
                <w:color w:val="auto"/>
              </w:rPr>
              <w:t>2010 SIP</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596,186</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596,186</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596,186</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51"/>
        </w:trPr>
        <w:tc>
          <w:tcPr>
            <w:tcW w:w="2240" w:type="dxa"/>
            <w:vAlign w:val="bottom"/>
            <w:tcBorders>
              <w:bottom w:val="single" w:sz="8" w:color="C6093B"/>
            </w:tcBorders>
          </w:tcPr>
          <w:p>
            <w:pPr>
              <w:spacing w:after="0"/>
              <w:rPr>
                <w:sz w:val="21"/>
                <w:szCs w:val="21"/>
                <w:color w:val="auto"/>
              </w:rPr>
            </w:pPr>
          </w:p>
        </w:tc>
        <w:tc>
          <w:tcPr>
            <w:tcW w:w="1700" w:type="dxa"/>
            <w:vAlign w:val="bottom"/>
            <w:tcBorders>
              <w:bottom w:val="single" w:sz="8" w:color="C6093B"/>
            </w:tcBorders>
          </w:tcPr>
          <w:p>
            <w:pPr>
              <w:jc w:val="right"/>
              <w:ind w:right="40"/>
              <w:spacing w:after="0"/>
              <w:rPr>
                <w:sz w:val="20"/>
                <w:szCs w:val="20"/>
                <w:color w:val="auto"/>
              </w:rPr>
            </w:pPr>
            <w:r>
              <w:rPr>
                <w:rFonts w:ascii="Arial" w:cs="Arial" w:eastAsia="Arial" w:hAnsi="Arial"/>
                <w:sz w:val="16"/>
                <w:szCs w:val="16"/>
                <w:color w:val="auto"/>
              </w:rPr>
              <w:t>2019 SIP</w:t>
            </w:r>
          </w:p>
        </w:tc>
        <w:tc>
          <w:tcPr>
            <w:tcW w:w="1280" w:type="dxa"/>
            <w:vAlign w:val="bottom"/>
            <w:tcBorders>
              <w:bottom w:val="single" w:sz="8" w:color="C6093B"/>
            </w:tcBorders>
          </w:tcPr>
          <w:p>
            <w:pPr>
              <w:jc w:val="right"/>
              <w:ind w:right="4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6093B"/>
            </w:tcBorders>
          </w:tcPr>
          <w:p>
            <w:pPr>
              <w:jc w:val="right"/>
              <w:ind w:right="44"/>
              <w:spacing w:after="0"/>
              <w:rPr>
                <w:sz w:val="20"/>
                <w:szCs w:val="20"/>
                <w:color w:val="auto"/>
              </w:rPr>
            </w:pPr>
            <w:r>
              <w:rPr>
                <w:rFonts w:ascii="Arial" w:cs="Arial" w:eastAsia="Arial" w:hAnsi="Arial"/>
                <w:sz w:val="16"/>
                <w:szCs w:val="16"/>
                <w:color w:val="auto"/>
              </w:rPr>
              <w:t>5,932,494</w:t>
            </w:r>
          </w:p>
        </w:tc>
        <w:tc>
          <w:tcPr>
            <w:tcW w:w="1080" w:type="dxa"/>
            <w:vAlign w:val="bottom"/>
            <w:tcBorders>
              <w:bottom w:val="single" w:sz="8" w:color="C6093B"/>
            </w:tcBorders>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6093B"/>
            </w:tcBorders>
          </w:tcPr>
          <w:p>
            <w:pPr>
              <w:jc w:val="right"/>
              <w:ind w:right="81"/>
              <w:spacing w:after="0"/>
              <w:rPr>
                <w:sz w:val="20"/>
                <w:szCs w:val="20"/>
                <w:color w:val="auto"/>
              </w:rPr>
            </w:pPr>
            <w:r>
              <w:rPr>
                <w:rFonts w:ascii="Arial" w:cs="Arial" w:eastAsia="Arial" w:hAnsi="Arial"/>
                <w:sz w:val="16"/>
                <w:szCs w:val="16"/>
                <w:color w:val="auto"/>
              </w:rPr>
              <w:t>4,047,467</w:t>
            </w:r>
          </w:p>
        </w:tc>
        <w:tc>
          <w:tcPr>
            <w:tcW w:w="1100" w:type="dxa"/>
            <w:vAlign w:val="bottom"/>
            <w:tcBorders>
              <w:bottom w:val="single" w:sz="8" w:color="C6093B"/>
            </w:tcBorders>
          </w:tcPr>
          <w:p>
            <w:pPr>
              <w:jc w:val="right"/>
              <w:ind w:right="81"/>
              <w:spacing w:after="0"/>
              <w:rPr>
                <w:sz w:val="20"/>
                <w:szCs w:val="20"/>
                <w:color w:val="auto"/>
              </w:rPr>
            </w:pPr>
            <w:r>
              <w:rPr>
                <w:rFonts w:ascii="Arial" w:cs="Arial" w:eastAsia="Arial" w:hAnsi="Arial"/>
                <w:sz w:val="16"/>
                <w:szCs w:val="16"/>
                <w:color w:val="auto"/>
              </w:rPr>
              <w:t>4,047,467</w:t>
            </w:r>
          </w:p>
        </w:tc>
        <w:tc>
          <w:tcPr>
            <w:tcW w:w="1140" w:type="dxa"/>
            <w:vAlign w:val="bottom"/>
            <w:tcBorders>
              <w:bottom w:val="single" w:sz="8" w:color="C6093B"/>
            </w:tcBorders>
          </w:tcPr>
          <w:p>
            <w:pPr>
              <w:jc w:val="right"/>
              <w:ind w:right="121"/>
              <w:spacing w:after="0"/>
              <w:rPr>
                <w:sz w:val="20"/>
                <w:szCs w:val="20"/>
                <w:color w:val="auto"/>
              </w:rPr>
            </w:pPr>
            <w:r>
              <w:rPr>
                <w:rFonts w:ascii="Arial" w:cs="Arial" w:eastAsia="Arial" w:hAnsi="Arial"/>
                <w:sz w:val="16"/>
                <w:szCs w:val="16"/>
                <w:color w:val="auto"/>
              </w:rPr>
              <w:t>—</w:t>
            </w:r>
          </w:p>
        </w:tc>
      </w:tr>
    </w:tbl>
    <w:p>
      <w:pPr>
        <w:spacing w:after="0" w:line="62" w:lineRule="exact"/>
        <w:rPr>
          <w:sz w:val="20"/>
          <w:szCs w:val="20"/>
          <w:color w:val="auto"/>
        </w:rPr>
      </w:pPr>
    </w:p>
    <w:p>
      <w:pPr>
        <w:ind w:left="220" w:right="520" w:hanging="213"/>
        <w:spacing w:after="0" w:line="201" w:lineRule="auto"/>
        <w:tabs>
          <w:tab w:leader="none" w:pos="220" w:val="left"/>
        </w:tabs>
        <w:numPr>
          <w:ilvl w:val="0"/>
          <w:numId w:val="48"/>
        </w:numPr>
        <w:rPr>
          <w:rFonts w:ascii="Arial" w:cs="Arial" w:eastAsia="Arial" w:hAnsi="Arial"/>
          <w:sz w:val="19"/>
          <w:szCs w:val="19"/>
          <w:color w:val="auto"/>
          <w:vertAlign w:val="superscript"/>
        </w:rPr>
      </w:pPr>
      <w:r>
        <w:rPr>
          <w:rFonts w:ascii="Arial" w:cs="Arial" w:eastAsia="Arial" w:hAnsi="Arial"/>
          <w:sz w:val="12"/>
          <w:szCs w:val="12"/>
          <w:color w:val="auto"/>
        </w:rPr>
        <w:t>All figures shown for the value of stock granted under the PSP, 2010 SIP and 2019 SIP that would vest upon death, disability or following a change in control are calculated based on the assumption that the triggering event(s) for such vesting took place on December 29, 2023, the last business day of the Company’s last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54</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59" w:name="page60"/>
    <w:bookmarkEnd w:id="59"/>
    <w:p>
      <w:pPr>
        <w:ind w:left="832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 TABLES</w:t>
      </w:r>
    </w:p>
    <w:p>
      <w:pPr>
        <w:spacing w:after="0" w:line="138" w:lineRule="exact"/>
        <w:rPr>
          <w:sz w:val="20"/>
          <w:szCs w:val="20"/>
          <w:color w:val="auto"/>
        </w:rPr>
      </w:pPr>
    </w:p>
    <w:p>
      <w:pPr>
        <w:ind w:left="220"/>
        <w:spacing w:after="0" w:line="241" w:lineRule="auto"/>
        <w:rPr>
          <w:sz w:val="20"/>
          <w:szCs w:val="20"/>
          <w:color w:val="auto"/>
        </w:rPr>
      </w:pPr>
      <w:r>
        <w:rPr>
          <w:rFonts w:ascii="Arial" w:cs="Arial" w:eastAsia="Arial" w:hAnsi="Arial"/>
          <w:sz w:val="12"/>
          <w:szCs w:val="12"/>
          <w:color w:val="auto"/>
        </w:rPr>
        <w:t>completed fiscal year, and that the price per share of our common stock is $71.11 the closing market price as of that date. Other than the amounts shown in the column captioned “Change in Control” payable under the PSP, the figures shown in this table do not reflect the impact of the excise tax under Sections 280G and 4999 of the Internal Revenue Code, which may effectively reduce the amounts of change-in-control payments that a Named Executive Officer may receive, and do not reflect the assignment of any value to non-competition and other restrictive covenants or determinations of reasonable compensation that may reduce the amounts of change-in-control payments subject to the excise tax. For more detailed information concerning the change-in-control provisions of the PSP, the 2010 SIP and the 2019 SIP, see “Compensation Discussion and Analysis – Payments Upon Termination or Change in Control.” All figures shown in this table would be paid in lump-sum payments by us in accordance with the applicable grant agreements.</w:t>
      </w:r>
    </w:p>
    <w:p>
      <w:pPr>
        <w:spacing w:after="0" w:line="51" w:lineRule="exact"/>
        <w:rPr>
          <w:sz w:val="20"/>
          <w:szCs w:val="20"/>
          <w:color w:val="auto"/>
        </w:rPr>
      </w:pPr>
    </w:p>
    <w:p>
      <w:pPr>
        <w:ind w:left="220" w:right="20" w:hanging="213"/>
        <w:spacing w:after="0" w:line="224" w:lineRule="auto"/>
        <w:tabs>
          <w:tab w:leader="none" w:pos="220" w:val="left"/>
        </w:tabs>
        <w:numPr>
          <w:ilvl w:val="0"/>
          <w:numId w:val="49"/>
        </w:numPr>
        <w:rPr>
          <w:rFonts w:ascii="Arial" w:cs="Arial" w:eastAsia="Arial" w:hAnsi="Arial"/>
          <w:sz w:val="19"/>
          <w:szCs w:val="19"/>
          <w:color w:val="auto"/>
          <w:vertAlign w:val="superscript"/>
        </w:rPr>
      </w:pPr>
      <w:r>
        <w:rPr>
          <w:rFonts w:ascii="Arial" w:cs="Arial" w:eastAsia="Arial" w:hAnsi="Arial"/>
          <w:sz w:val="12"/>
          <w:szCs w:val="12"/>
          <w:color w:val="auto"/>
        </w:rPr>
        <w:t>The figures shown in this column were determined as follows: (a) for all grants, except those performance-based restricted stock grants in or after February 2021, the amount contemplates 100% of all unvested restricted stock grants granted pursuant to such 2010 SIP and 2019 SIP grant agreements, and (b) for those performance-based restricted stock grants in or after February 2021, the amount contemplates the greater of: (i) 100% of such unvested restricted stock grants or (ii) the estimated percentage of unvested restricted stock grants determined in accordance with the applicable performance schedule based upon the actual level of achievement (up to the applicable maximum level of achievement and assuming the applicable performance level is adjusted, pursuant to the Compensation Committee’s exercise of its discretion, from the first day of the performance period to December 31, 2023, the date on which the Transfer of Control occurs, as follows: (u) in 2021, 2022, and 2023 to exclude Foreign Currency Translation; (v) in 2022 and 2023, to include GSCs as part of core commissions and fees and, therefore, as a component of the Company’s Organic Revenue; (w) in 2022, to exclude the positive impact of the decrease in expense we recognized related to the 2020 Legal Matter; (x) in 2022 and 2023, to exclude the negative impact of Acquisition/Integration Costs; (y) in 2023, to exclude the negative impact of the 1Q23 Nonrecurring Cost and (z) in 2023, to exclude the positive impact of the gain on disposal associated with the sale of certain third-party claims administration and adjusting services businesses in the fourth quarter of 2023.</w:t>
      </w:r>
    </w:p>
    <w:p>
      <w:pPr>
        <w:spacing w:after="0" w:line="49" w:lineRule="exact"/>
        <w:rPr>
          <w:rFonts w:ascii="Arial" w:cs="Arial" w:eastAsia="Arial" w:hAnsi="Arial"/>
          <w:sz w:val="19"/>
          <w:szCs w:val="19"/>
          <w:color w:val="auto"/>
          <w:vertAlign w:val="superscript"/>
        </w:rPr>
      </w:pPr>
    </w:p>
    <w:p>
      <w:pPr>
        <w:ind w:left="220" w:right="20" w:hanging="213"/>
        <w:spacing w:after="0"/>
        <w:tabs>
          <w:tab w:leader="none" w:pos="220" w:val="left"/>
        </w:tabs>
        <w:numPr>
          <w:ilvl w:val="0"/>
          <w:numId w:val="49"/>
        </w:numPr>
        <w:rPr>
          <w:rFonts w:ascii="Arial" w:cs="Arial" w:eastAsia="Arial" w:hAnsi="Arial"/>
          <w:sz w:val="19"/>
          <w:szCs w:val="19"/>
          <w:color w:val="auto"/>
          <w:vertAlign w:val="superscript"/>
        </w:rPr>
      </w:pPr>
      <w:r>
        <w:rPr>
          <w:rFonts w:ascii="Arial" w:cs="Arial" w:eastAsia="Arial" w:hAnsi="Arial"/>
          <w:sz w:val="12"/>
          <w:szCs w:val="12"/>
          <w:color w:val="auto"/>
        </w:rPr>
        <w:t>These figures represent amounts that would be paid pursuant to the terms of the PSP in the event of a change in control as defined in the PSP and include the following excise tax gross-up amount to be paid by the Company on PSP shares on behalf of the participant in the event of change in control: Mr. Powell Brown – $1,119,567. The excise tax gross-up amount has been calculated assuming the excise tax rate of 20% multiplied by the excess of the value of the change-in-control payments over the executive’s average W-2 earnings for the last five calendar years, and assuming a blended effective tax rate of approximately 40% for each executive. However, the excise tax gross-up is only applicable if the sum of all payments equals or exceeds three times the executive’s average W-2 earnings for the past five calendar years. Further, the excise tax gross-up assumes no value is assigned to non-competition and other restrictive covenants or determination of reasonable compensation that may apply to the participant. Such excise tax gross-up amounts also assume a change in control date of December 31, 2023, at our closing market price of $71.11 as of that date. The excise tax gross-up provision is a legacy provision that applies only to awards that were granted under the PSP prior to its suspension in 2010 and does not apply to awards under the 2010 SIP or the 2019 SIP. No new agreements that contain excise tax gross-up provisions have been entered into, and no previous agreements containing such legacy provisions have been materially amended.</w:t>
      </w:r>
    </w:p>
    <w:p>
      <w:pPr>
        <w:spacing w:after="0" w:line="99" w:lineRule="exact"/>
        <w:rPr>
          <w:rFonts w:ascii="Arial" w:cs="Arial" w:eastAsia="Arial" w:hAnsi="Arial"/>
          <w:sz w:val="19"/>
          <w:szCs w:val="19"/>
          <w:color w:val="auto"/>
          <w:vertAlign w:val="superscript"/>
        </w:rPr>
      </w:pPr>
    </w:p>
    <w:p>
      <w:pPr>
        <w:ind w:left="220" w:right="80" w:hanging="213"/>
        <w:spacing w:after="0"/>
        <w:tabs>
          <w:tab w:leader="none" w:pos="220" w:val="left"/>
        </w:tabs>
        <w:numPr>
          <w:ilvl w:val="0"/>
          <w:numId w:val="49"/>
        </w:numPr>
        <w:rPr>
          <w:rFonts w:ascii="Arial" w:cs="Arial" w:eastAsia="Arial" w:hAnsi="Arial"/>
          <w:sz w:val="19"/>
          <w:szCs w:val="19"/>
          <w:color w:val="auto"/>
          <w:vertAlign w:val="superscript"/>
        </w:rPr>
      </w:pPr>
      <w:r>
        <w:rPr>
          <w:rFonts w:ascii="Arial" w:cs="Arial" w:eastAsia="Arial" w:hAnsi="Arial"/>
          <w:sz w:val="12"/>
          <w:szCs w:val="12"/>
          <w:color w:val="auto"/>
        </w:rPr>
        <w:t>This amount would be paid pursuant to that certain grant under our 2010 SIP made on April 29, 2010 for 374,080 shares. This grant replaced 374,080 shares granted under our PSP on July 21, 2009, which had inadvertently exceeded the maximum number of shares permitted to be awarded in a particular calendar year. In order to assure achievement of the full intent of the original PSP grant, the replacement grant under the 2010 SIP has identical performance-based and other vesting conditions, including those associated with a change in control, to the original PSP grant.</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55</w:t>
      </w:r>
    </w:p>
    <w:p>
      <w:pPr>
        <w:sectPr>
          <w:pgSz w:w="11900" w:h="16838" w:orient="portrait"/>
          <w:cols w:equalWidth="0" w:num="1">
            <w:col w:w="10920"/>
          </w:cols>
          <w:pgMar w:left="480" w:top="304" w:right="49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As required by Section 953(b) of the Dodd-Frank Act, and Item 402(u) of Regulation S-K, we are providing the following information about the relationship of the annual total compensation of our employees and the annual total compensation of Mr. Powell Brown, our President and Chief Executive Officer: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Chief Executive Officer Pay Ratio</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2023, our last completed fiscal year:</w:t>
      </w:r>
    </w:p>
    <w:p>
      <w:pPr>
        <w:spacing w:after="0" w:line="217" w:lineRule="exact"/>
        <w:rPr>
          <w:sz w:val="20"/>
          <w:szCs w:val="20"/>
          <w:color w:val="auto"/>
        </w:rPr>
      </w:pPr>
    </w:p>
    <w:p>
      <w:pPr>
        <w:ind w:left="220" w:hanging="213"/>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Mr. Powell Brown, was $68,672 and</w:t>
      </w:r>
    </w:p>
    <w:p>
      <w:pPr>
        <w:spacing w:after="0" w:line="123" w:lineRule="exact"/>
        <w:rPr>
          <w:rFonts w:ascii="Arial" w:cs="Arial" w:eastAsia="Arial" w:hAnsi="Arial"/>
          <w:sz w:val="16"/>
          <w:szCs w:val="16"/>
          <w:color w:val="auto"/>
        </w:rPr>
      </w:pPr>
    </w:p>
    <w:p>
      <w:pPr>
        <w:ind w:left="220" w:hanging="213"/>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annual total compensation of Mr. Powell Brown, as reported in the Summary Compensation Table, was 9,786,745.</w:t>
      </w:r>
    </w:p>
    <w:p>
      <w:pPr>
        <w:spacing w:after="0" w:line="123" w:lineRule="exact"/>
        <w:rPr>
          <w:rFonts w:ascii="Arial" w:cs="Arial" w:eastAsia="Arial" w:hAnsi="Arial"/>
          <w:sz w:val="16"/>
          <w:szCs w:val="16"/>
          <w:color w:val="auto"/>
        </w:rPr>
      </w:pPr>
    </w:p>
    <w:p>
      <w:pPr>
        <w:ind w:left="220" w:right="140" w:hanging="213"/>
        <w:spacing w:after="0" w:line="279"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this information, for 2023, the ratio of the annual total compensation of Mr. Powell Brown to the median of the annual total compensation of all employees, other than Mr. Powell Brown, was 143 to 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Methodology</w:t>
      </w:r>
    </w:p>
    <w:p>
      <w:pPr>
        <w:spacing w:after="0" w:line="105"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To identify the median of the annual total compensation of all our employees, other than Mr. Powell Brown, as well as to determine the annual total compensation of our median employee and Mr. Powell Brown, we took the following steps:</w:t>
      </w:r>
    </w:p>
    <w:p>
      <w:pPr>
        <w:spacing w:after="0" w:line="161" w:lineRule="exact"/>
        <w:rPr>
          <w:sz w:val="20"/>
          <w:szCs w:val="20"/>
          <w:color w:val="auto"/>
        </w:rPr>
      </w:pPr>
    </w:p>
    <w:p>
      <w:pPr>
        <w:ind w:left="440" w:right="100" w:hanging="433"/>
        <w:spacing w:after="0" w:line="249"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determined that, as of December 22, 2023, the last day of our last regular pay period of 2023, our employee population consisted of approximately 16,781 full-time, part-time, seasonal and temporary employees, with 12,719 of these individuals located in the United States, one of these individuals located in Australia, nine of these individuals located in Belgium, 13 of these individuals located in Bermuda, 308 of these individuals located in Canada, two of these individuals located in the Cayman Islands, seven of these individuals located in France, six of these individuals located in Germany, eight of these individuals located in Hong Kong Special Administrative Region of the People’s Republic of China (“Hong Kong”), 10 of these individuals located in Italy, 18 of these individuals located in Malaysia, eight of these individuals located in the Netherlands, 236 of these individuals located in the Republic of Ireland, two of these individuals located in Singapore, one of these individuals located in Spain, six of these individuals located in the United Arab Emirates and 3,427 of these individuals located in the United Kingdom.</w:t>
      </w:r>
    </w:p>
    <w:p>
      <w:pPr>
        <w:spacing w:after="0" w:line="51" w:lineRule="exact"/>
        <w:rPr>
          <w:rFonts w:ascii="Arial" w:cs="Arial" w:eastAsia="Arial" w:hAnsi="Arial"/>
          <w:sz w:val="16"/>
          <w:szCs w:val="16"/>
          <w:color w:val="auto"/>
        </w:rPr>
      </w:pPr>
    </w:p>
    <w:p>
      <w:pPr>
        <w:ind w:left="440" w:right="60" w:hanging="433"/>
        <w:spacing w:after="0" w:line="248"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permitted by SEC rules, we chose to exclude (a) 394 individuals who became our employees in October 2023 in connection with our acquisition of Kentro Capital Limited (“Kentro”), which included all of the employees located in Australia, France, Germany, Hong Kong, Malaysia, the Netherlands, Singapore, Spain and the United Arab Emirates, as well as four employees located in Italy, 283 employees located in the United Kingdom and 50 employees located in the United States; (b) 62 individuals located in the United Kingdom who became our employees in October 2023 in connection with our acquisition of Berkeley Insurance Group; (c) 26 individuals located in the United States who became our employees in December 2023 in connection with our acquisition of ABS Risk, LLC and its affiliate, ABS Operations, LLC and (d) all of the employees located in Belgium, Bermuda, Cayman Islands, the Republic of Ireland as well as six employees located in the Italy (which together with the excluded Kentro employees located in Italy described in the preceding clause comprise all of the employees located in Italy) from the determination of the “median employee” because they account for less than 5% of our total employees. Our employee population, after taking into consideration these adjustments, consisted of approximately 16,033 individuals.</w:t>
      </w:r>
    </w:p>
    <w:p>
      <w:pPr>
        <w:spacing w:after="0" w:line="51" w:lineRule="exact"/>
        <w:rPr>
          <w:rFonts w:ascii="Arial" w:cs="Arial" w:eastAsia="Arial" w:hAnsi="Arial"/>
          <w:sz w:val="16"/>
          <w:szCs w:val="16"/>
          <w:color w:val="auto"/>
        </w:rPr>
      </w:pPr>
    </w:p>
    <w:p>
      <w:pPr>
        <w:ind w:left="440" w:hanging="433"/>
        <w:spacing w:after="0" w:line="251"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identify the “median employee” from our employee population, we compared the amount of compensation of our employees as reflected in our payroll records as reported for 2023 to the Internal Revenue Service in the United States on Form W-2, to the Canada Revenue Agency in Canada on T4 and to HM Revenue and Customs in the United Kingdom on P60. In making this determination, we annualized the compensation of approximately 3,184 permanent employees (full-time and part-time) who were hired in 2023 but did not work for us for the entire fiscal year. Since we do not widely distribute annual equity awards to our employees, the grant date fair values of such awards were excluded from our compensation measure. Fewer than 10% of our employees receive annual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56</w:t>
      </w:r>
      <w:r>
        <w:rPr>
          <w:rFonts w:ascii="Arial" w:cs="Arial" w:eastAsia="Arial" w:hAnsi="Arial"/>
          <w:sz w:val="14"/>
          <w:szCs w:val="14"/>
          <w:color w:val="4C4C4C"/>
        </w:rPr>
        <w:t xml:space="preserve">  |  BROWN &amp; BROWN, INC.</w:t>
      </w:r>
    </w:p>
    <w:p>
      <w:pPr>
        <w:sectPr>
          <w:pgSz w:w="11900" w:h="16838" w:orient="portrait"/>
          <w:cols w:equalWidth="0" w:num="1">
            <w:col w:w="10900"/>
          </w:cols>
          <w:pgMar w:left="480" w:top="1440" w:right="51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PAY RATIO</w:t>
      </w:r>
    </w:p>
    <w:p>
      <w:pPr>
        <w:spacing w:after="0" w:line="142" w:lineRule="exact"/>
        <w:rPr>
          <w:sz w:val="20"/>
          <w:szCs w:val="20"/>
          <w:color w:val="auto"/>
        </w:rPr>
      </w:pPr>
    </w:p>
    <w:p>
      <w:pPr>
        <w:ind w:left="440" w:right="760" w:hanging="433"/>
        <w:spacing w:after="0" w:line="279"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identified our median employee as of December 22, 2023 using this compensation measure, which was consistently applied to all our employees included in the calculation. We did not make any cost-of-living adjustments in identifying the “median employee.”</w:t>
      </w:r>
    </w:p>
    <w:p>
      <w:pPr>
        <w:spacing w:after="0" w:line="26" w:lineRule="exact"/>
        <w:rPr>
          <w:rFonts w:ascii="Arial" w:cs="Arial" w:eastAsia="Arial" w:hAnsi="Arial"/>
          <w:sz w:val="16"/>
          <w:szCs w:val="16"/>
          <w:color w:val="auto"/>
        </w:rPr>
      </w:pPr>
    </w:p>
    <w:p>
      <w:pPr>
        <w:ind w:left="440" w:right="240" w:hanging="433"/>
        <w:spacing w:after="0" w:line="256"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of the elements of such employee’s compensation for 2023 in accordance with the requirements of Item 402(c)(2)(x) of Regulation S-K, resulting in annual total compensation of $71,075. The difference between such employee’s annual total compensation and such employee’s Form W-2 compensation represents $2,403 in matching contributions made by the Company to such employee’s 401(k) Plan account.</w:t>
      </w:r>
    </w:p>
    <w:p>
      <w:pPr>
        <w:spacing w:after="0" w:line="84" w:lineRule="exact"/>
        <w:rPr>
          <w:rFonts w:ascii="Arial" w:cs="Arial" w:eastAsia="Arial" w:hAnsi="Arial"/>
          <w:sz w:val="16"/>
          <w:szCs w:val="16"/>
          <w:color w:val="auto"/>
        </w:rPr>
      </w:pPr>
    </w:p>
    <w:p>
      <w:pPr>
        <w:ind w:left="440" w:right="920" w:hanging="433"/>
        <w:spacing w:after="0" w:line="279"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the annual total compensation of Mr. Powell Brown, we used the amount reported in the “Total” column of the Summary Compensation Table.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57</w:t>
      </w:r>
    </w:p>
    <w:p>
      <w:pPr>
        <w:sectPr>
          <w:pgSz w:w="11900" w:h="16838" w:orient="portrait"/>
          <w:cols w:equalWidth="0" w:num="1">
            <w:col w:w="10920"/>
          </w:cols>
          <w:pgMar w:left="480" w:top="304" w:right="49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 accordance with the SEC’s disclosure requirements regarding pay versus performance (“PVP”), this section presents the SEC-defined “Compensation Actually Paid” (“CAP”). Also required by SEC’s new PVP rules, this section compares CAP to various measures used to gauge our performance.</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Our compensation decisions are made independently of disclosure requirements. CAP is a supplemental measure to be viewed alongside performance measures described under “Compensation Discussion and Analysis,” not in replacement.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Pay Versus Performance Table</w:t>
      </w:r>
    </w:p>
    <w:p>
      <w:pPr>
        <w:spacing w:after="0" w:line="10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accordance with the SEC’s PVP rules, the following table sets forth information concerning the compensation of our Named Executive Officers for each of the fiscal years ended December 31, 2023, 2022 and 2021, and our financial performance for each such fiscal year: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w w:val="97"/>
              </w:rPr>
              <w:t>Average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002856"/>
              </w:rPr>
              <w:t>Value of Initial Fixed $100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Summary</w:t>
            </w:r>
          </w:p>
        </w:tc>
        <w:tc>
          <w:tcPr>
            <w:tcW w:w="1400" w:type="dxa"/>
            <w:vAlign w:val="bottom"/>
          </w:tcPr>
          <w:p>
            <w:pPr>
              <w:jc w:val="center"/>
              <w:ind w:right="45"/>
              <w:spacing w:after="0"/>
              <w:rPr>
                <w:sz w:val="20"/>
                <w:szCs w:val="20"/>
                <w:color w:val="auto"/>
              </w:rPr>
            </w:pPr>
            <w:r>
              <w:rPr>
                <w:rFonts w:ascii="Arial" w:cs="Arial" w:eastAsia="Arial" w:hAnsi="Arial"/>
                <w:sz w:val="14"/>
                <w:szCs w:val="14"/>
                <w:b w:val="1"/>
                <w:bCs w:val="1"/>
                <w:color w:val="002856"/>
              </w:rPr>
              <w:t>Average</w:t>
            </w:r>
          </w:p>
        </w:tc>
        <w:tc>
          <w:tcPr>
            <w:tcW w:w="100" w:type="dxa"/>
            <w:vAlign w:val="bottom"/>
          </w:tcPr>
          <w:p>
            <w:pPr>
              <w:spacing w:after="0"/>
              <w:rPr>
                <w:sz w:val="14"/>
                <w:szCs w:val="14"/>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002856"/>
              </w:rPr>
              <w:t>Investment Based on:</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080" w:type="dxa"/>
            <w:vAlign w:val="bottom"/>
          </w:tcPr>
          <w:p>
            <w:pPr>
              <w:spacing w:after="0"/>
              <w:rPr>
                <w:sz w:val="12"/>
                <w:szCs w:val="12"/>
                <w:color w:val="auto"/>
              </w:rPr>
            </w:pPr>
          </w:p>
        </w:tc>
        <w:tc>
          <w:tcPr>
            <w:tcW w:w="1760" w:type="dxa"/>
            <w:vAlign w:val="bottom"/>
          </w:tcPr>
          <w:p>
            <w:pPr>
              <w:jc w:val="right"/>
              <w:ind w:right="225"/>
              <w:spacing w:after="0" w:line="145" w:lineRule="exact"/>
              <w:rPr>
                <w:sz w:val="20"/>
                <w:szCs w:val="20"/>
                <w:color w:val="auto"/>
              </w:rPr>
            </w:pPr>
            <w:r>
              <w:rPr>
                <w:rFonts w:ascii="Arial" w:cs="Arial" w:eastAsia="Arial" w:hAnsi="Arial"/>
                <w:sz w:val="14"/>
                <w:szCs w:val="14"/>
                <w:b w:val="1"/>
                <w:bCs w:val="1"/>
                <w:color w:val="002856"/>
              </w:rPr>
              <w:t>Summary</w:t>
            </w:r>
          </w:p>
        </w:tc>
        <w:tc>
          <w:tcPr>
            <w:tcW w:w="132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002856"/>
              </w:rPr>
              <w:t>Compensation</w:t>
            </w:r>
          </w:p>
        </w:tc>
        <w:tc>
          <w:tcPr>
            <w:tcW w:w="1400" w:type="dxa"/>
            <w:vAlign w:val="bottom"/>
          </w:tcPr>
          <w:p>
            <w:pPr>
              <w:jc w:val="center"/>
              <w:ind w:right="45"/>
              <w:spacing w:after="0" w:line="145" w:lineRule="exact"/>
              <w:rPr>
                <w:sz w:val="20"/>
                <w:szCs w:val="20"/>
                <w:color w:val="auto"/>
              </w:rPr>
            </w:pPr>
            <w:r>
              <w:rPr>
                <w:rFonts w:ascii="Arial" w:cs="Arial" w:eastAsia="Arial" w:hAnsi="Arial"/>
                <w:sz w:val="14"/>
                <w:szCs w:val="14"/>
                <w:b w:val="1"/>
                <w:bCs w:val="1"/>
                <w:color w:val="002856"/>
              </w:rPr>
              <w:t>Compensation</w:t>
            </w:r>
          </w:p>
        </w:tc>
        <w:tc>
          <w:tcPr>
            <w:tcW w:w="100" w:type="dxa"/>
            <w:vAlign w:val="bottom"/>
            <w:tcBorders>
              <w:top w:val="single" w:sz="8" w:color="C6093B"/>
            </w:tcBorders>
          </w:tcPr>
          <w:p>
            <w:pPr>
              <w:spacing w:after="0"/>
              <w:rPr>
                <w:sz w:val="12"/>
                <w:szCs w:val="12"/>
                <w:color w:val="auto"/>
              </w:rPr>
            </w:pPr>
          </w:p>
        </w:tc>
        <w:tc>
          <w:tcPr>
            <w:tcW w:w="880" w:type="dxa"/>
            <w:vAlign w:val="bottom"/>
            <w:tcBorders>
              <w:top w:val="single" w:sz="8" w:color="C6093B"/>
            </w:tcBorders>
          </w:tcPr>
          <w:p>
            <w:pPr>
              <w:spacing w:after="0"/>
              <w:rPr>
                <w:sz w:val="12"/>
                <w:szCs w:val="12"/>
                <w:color w:val="auto"/>
              </w:rPr>
            </w:pPr>
          </w:p>
        </w:tc>
        <w:tc>
          <w:tcPr>
            <w:tcW w:w="980" w:type="dxa"/>
            <w:vAlign w:val="bottom"/>
            <w:tcBorders>
              <w:top w:val="single" w:sz="8" w:color="C6093B"/>
            </w:tcBorders>
            <w:gridSpan w:val="2"/>
          </w:tcPr>
          <w:p>
            <w:pPr>
              <w:jc w:val="center"/>
              <w:ind w:left="63"/>
              <w:spacing w:after="0" w:line="145" w:lineRule="exact"/>
              <w:rPr>
                <w:sz w:val="20"/>
                <w:szCs w:val="20"/>
                <w:color w:val="auto"/>
              </w:rPr>
            </w:pPr>
            <w:r>
              <w:rPr>
                <w:rFonts w:ascii="Arial" w:cs="Arial" w:eastAsia="Arial" w:hAnsi="Arial"/>
                <w:sz w:val="14"/>
                <w:szCs w:val="14"/>
                <w:b w:val="1"/>
                <w:bCs w:val="1"/>
                <w:color w:val="002856"/>
                <w:w w:val="99"/>
              </w:rPr>
              <w:t>Peer Group</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002856"/>
              </w:rPr>
              <w:t>Net</w:t>
            </w:r>
          </w:p>
        </w:tc>
        <w:tc>
          <w:tcPr>
            <w:tcW w:w="940" w:type="dxa"/>
            <w:vAlign w:val="bottom"/>
          </w:tcPr>
          <w:p>
            <w:pPr>
              <w:jc w:val="center"/>
              <w:ind w:right="5"/>
              <w:spacing w:after="0" w:line="145" w:lineRule="exact"/>
              <w:rPr>
                <w:sz w:val="20"/>
                <w:szCs w:val="20"/>
                <w:color w:val="auto"/>
              </w:rPr>
            </w:pPr>
            <w:r>
              <w:rPr>
                <w:rFonts w:ascii="Arial" w:cs="Arial" w:eastAsia="Arial" w:hAnsi="Arial"/>
                <w:sz w:val="14"/>
                <w:szCs w:val="14"/>
                <w:b w:val="1"/>
                <w:bCs w:val="1"/>
                <w:color w:val="002856"/>
              </w:rPr>
              <w:t>Organic</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1760" w:type="dxa"/>
            <w:vAlign w:val="bottom"/>
          </w:tcPr>
          <w:p>
            <w:pPr>
              <w:jc w:val="right"/>
              <w:ind w:right="65"/>
              <w:spacing w:after="0" w:line="147" w:lineRule="exact"/>
              <w:rPr>
                <w:sz w:val="20"/>
                <w:szCs w:val="20"/>
                <w:color w:val="auto"/>
              </w:rPr>
            </w:pPr>
            <w:r>
              <w:rPr>
                <w:rFonts w:ascii="Arial" w:cs="Arial" w:eastAsia="Arial" w:hAnsi="Arial"/>
                <w:sz w:val="14"/>
                <w:szCs w:val="14"/>
                <w:b w:val="1"/>
                <w:bCs w:val="1"/>
                <w:color w:val="002856"/>
              </w:rPr>
              <w:t>Compensation</w:t>
            </w: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Compensation</w:t>
            </w:r>
          </w:p>
        </w:tc>
        <w:tc>
          <w:tcPr>
            <w:tcW w:w="126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w w:val="99"/>
              </w:rPr>
              <w:t>Table Total for</w:t>
            </w:r>
          </w:p>
        </w:tc>
        <w:tc>
          <w:tcPr>
            <w:tcW w:w="1400" w:type="dxa"/>
            <w:vAlign w:val="bottom"/>
          </w:tcPr>
          <w:p>
            <w:pPr>
              <w:jc w:val="center"/>
              <w:ind w:right="45"/>
              <w:spacing w:after="0" w:line="147" w:lineRule="exact"/>
              <w:rPr>
                <w:sz w:val="20"/>
                <w:szCs w:val="20"/>
                <w:color w:val="auto"/>
              </w:rPr>
            </w:pPr>
            <w:r>
              <w:rPr>
                <w:rFonts w:ascii="Arial" w:cs="Arial" w:eastAsia="Arial" w:hAnsi="Arial"/>
                <w:sz w:val="14"/>
                <w:szCs w:val="14"/>
                <w:b w:val="1"/>
                <w:bCs w:val="1"/>
                <w:color w:val="002856"/>
              </w:rPr>
              <w:t>Actually Paid</w:t>
            </w:r>
          </w:p>
        </w:tc>
        <w:tc>
          <w:tcPr>
            <w:tcW w:w="100" w:type="dxa"/>
            <w:vAlign w:val="bottom"/>
          </w:tcPr>
          <w:p>
            <w:pPr>
              <w:spacing w:after="0"/>
              <w:rPr>
                <w:sz w:val="12"/>
                <w:szCs w:val="12"/>
                <w:color w:val="auto"/>
              </w:rPr>
            </w:pPr>
          </w:p>
        </w:tc>
        <w:tc>
          <w:tcPr>
            <w:tcW w:w="880" w:type="dxa"/>
            <w:vAlign w:val="bottom"/>
          </w:tcPr>
          <w:p>
            <w:pPr>
              <w:jc w:val="right"/>
              <w:ind w:right="305"/>
              <w:spacing w:after="0" w:line="147" w:lineRule="exact"/>
              <w:rPr>
                <w:sz w:val="20"/>
                <w:szCs w:val="20"/>
                <w:color w:val="auto"/>
              </w:rPr>
            </w:pPr>
            <w:r>
              <w:rPr>
                <w:rFonts w:ascii="Arial" w:cs="Arial" w:eastAsia="Arial" w:hAnsi="Arial"/>
                <w:sz w:val="14"/>
                <w:szCs w:val="14"/>
                <w:b w:val="1"/>
                <w:bCs w:val="1"/>
                <w:color w:val="002856"/>
              </w:rPr>
              <w:t>Total</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002856"/>
                <w:w w:val="95"/>
              </w:rPr>
              <w:t>Total</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Revenue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760" w:type="dxa"/>
            <w:vAlign w:val="bottom"/>
          </w:tcPr>
          <w:p>
            <w:pPr>
              <w:jc w:val="right"/>
              <w:ind w:right="85"/>
              <w:spacing w:after="0"/>
              <w:rPr>
                <w:sz w:val="20"/>
                <w:szCs w:val="20"/>
                <w:color w:val="auto"/>
              </w:rPr>
            </w:pPr>
            <w:r>
              <w:rPr>
                <w:rFonts w:ascii="Arial" w:cs="Arial" w:eastAsia="Arial" w:hAnsi="Arial"/>
                <w:sz w:val="14"/>
                <w:szCs w:val="14"/>
                <w:b w:val="1"/>
                <w:bCs w:val="1"/>
                <w:color w:val="002856"/>
              </w:rPr>
              <w:t>Table Total for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Actually Paid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w w:val="99"/>
              </w:rPr>
              <w:t>Non-CEO</w:t>
            </w:r>
          </w:p>
        </w:tc>
        <w:tc>
          <w:tcPr>
            <w:tcW w:w="1400" w:type="dxa"/>
            <w:vAlign w:val="bottom"/>
          </w:tcPr>
          <w:p>
            <w:pPr>
              <w:jc w:val="center"/>
              <w:ind w:right="45"/>
              <w:spacing w:after="0"/>
              <w:rPr>
                <w:sz w:val="20"/>
                <w:szCs w:val="20"/>
                <w:color w:val="auto"/>
              </w:rPr>
            </w:pPr>
            <w:r>
              <w:rPr>
                <w:rFonts w:ascii="Arial" w:cs="Arial" w:eastAsia="Arial" w:hAnsi="Arial"/>
                <w:sz w:val="14"/>
                <w:szCs w:val="14"/>
                <w:b w:val="1"/>
                <w:bCs w:val="1"/>
                <w:color w:val="002856"/>
              </w:rPr>
              <w:t>to Non-CEO</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002856"/>
              </w:rPr>
              <w:t>Shareholder</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002856"/>
              </w:rPr>
              <w:t>Shareholder</w:t>
            </w:r>
          </w:p>
        </w:tc>
        <w:tc>
          <w:tcPr>
            <w:tcW w:w="240" w:type="dxa"/>
            <w:vAlign w:val="bottom"/>
          </w:tcPr>
          <w:p>
            <w:pPr>
              <w:spacing w:after="0"/>
              <w:rPr>
                <w:sz w:val="13"/>
                <w:szCs w:val="13"/>
                <w:color w:val="auto"/>
              </w:rPr>
            </w:pPr>
          </w:p>
        </w:tc>
        <w:tc>
          <w:tcPr>
            <w:tcW w:w="820" w:type="dxa"/>
            <w:vAlign w:val="bottom"/>
          </w:tcPr>
          <w:p>
            <w:pPr>
              <w:jc w:val="right"/>
              <w:ind w:right="203"/>
              <w:spacing w:after="0"/>
              <w:rPr>
                <w:sz w:val="20"/>
                <w:szCs w:val="20"/>
                <w:color w:val="auto"/>
              </w:rPr>
            </w:pPr>
            <w:r>
              <w:rPr>
                <w:rFonts w:ascii="Arial" w:cs="Arial" w:eastAsia="Arial" w:hAnsi="Arial"/>
                <w:sz w:val="14"/>
                <w:szCs w:val="14"/>
                <w:b w:val="1"/>
                <w:bCs w:val="1"/>
                <w:color w:val="002856"/>
              </w:rPr>
              <w:t>Income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2856"/>
              </w:rPr>
              <w:t>growth</w:t>
            </w:r>
          </w:p>
        </w:tc>
        <w:tc>
          <w:tcPr>
            <w:tcW w:w="0" w:type="dxa"/>
            <w:vAlign w:val="bottom"/>
          </w:tcPr>
          <w:p>
            <w:pPr>
              <w:spacing w:after="0"/>
              <w:rPr>
                <w:sz w:val="1"/>
                <w:szCs w:val="1"/>
                <w:color w:val="auto"/>
              </w:rPr>
            </w:pPr>
          </w:p>
        </w:tc>
      </w:tr>
      <w:tr>
        <w:trPr>
          <w:trHeight w:val="190"/>
        </w:trPr>
        <w:tc>
          <w:tcPr>
            <w:tcW w:w="108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Year</w:t>
            </w:r>
          </w:p>
        </w:tc>
        <w:tc>
          <w:tcPr>
            <w:tcW w:w="1760" w:type="dxa"/>
            <w:vAlign w:val="bottom"/>
            <w:tcBorders>
              <w:bottom w:val="single" w:sz="8" w:color="C6093B"/>
            </w:tcBorders>
          </w:tcPr>
          <w:p>
            <w:pPr>
              <w:jc w:val="right"/>
              <w:ind w:right="305"/>
              <w:spacing w:after="0"/>
              <w:rPr>
                <w:sz w:val="20"/>
                <w:szCs w:val="20"/>
                <w:color w:val="auto"/>
              </w:rPr>
            </w:pPr>
            <w:r>
              <w:rPr>
                <w:rFonts w:ascii="Arial" w:cs="Arial" w:eastAsia="Arial" w:hAnsi="Arial"/>
                <w:sz w:val="14"/>
                <w:szCs w:val="14"/>
                <w:b w:val="1"/>
                <w:bCs w:val="1"/>
                <w:color w:val="002856"/>
              </w:rPr>
              <w:t>CEO ($)</w:t>
            </w:r>
          </w:p>
        </w:tc>
        <w:tc>
          <w:tcPr>
            <w:tcW w:w="1320" w:type="dxa"/>
            <w:vAlign w:val="bottom"/>
            <w:tcBorders>
              <w:bottom w:val="single" w:sz="8" w:color="C6093B"/>
            </w:tcBorders>
          </w:tcPr>
          <w:p>
            <w:pPr>
              <w:jc w:val="center"/>
              <w:spacing w:after="0" w:line="183" w:lineRule="exact"/>
              <w:rPr>
                <w:sz w:val="20"/>
                <w:szCs w:val="20"/>
                <w:color w:val="auto"/>
              </w:rPr>
            </w:pPr>
            <w:r>
              <w:rPr>
                <w:rFonts w:ascii="Arial" w:cs="Arial" w:eastAsia="Arial" w:hAnsi="Arial"/>
                <w:sz w:val="14"/>
                <w:szCs w:val="14"/>
                <w:b w:val="1"/>
                <w:bCs w:val="1"/>
                <w:color w:val="002856"/>
                <w:w w:val="97"/>
              </w:rPr>
              <w:t>to CEO ($)</w:t>
            </w:r>
            <w:r>
              <w:rPr>
                <w:rFonts w:ascii="Arial" w:cs="Arial" w:eastAsia="Arial" w:hAnsi="Arial"/>
                <w:sz w:val="17"/>
                <w:szCs w:val="17"/>
                <w:b w:val="1"/>
                <w:bCs w:val="1"/>
                <w:color w:val="002856"/>
                <w:w w:val="97"/>
                <w:vertAlign w:val="superscript"/>
              </w:rPr>
              <w:t>(1)</w:t>
            </w:r>
          </w:p>
        </w:tc>
        <w:tc>
          <w:tcPr>
            <w:tcW w:w="12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NEOs ($)</w:t>
            </w:r>
          </w:p>
        </w:tc>
        <w:tc>
          <w:tcPr>
            <w:tcW w:w="1400" w:type="dxa"/>
            <w:vAlign w:val="bottom"/>
            <w:tcBorders>
              <w:bottom w:val="single" w:sz="8" w:color="C6093B"/>
            </w:tcBorders>
          </w:tcPr>
          <w:p>
            <w:pPr>
              <w:jc w:val="center"/>
              <w:ind w:right="45"/>
              <w:spacing w:after="0" w:line="183" w:lineRule="exact"/>
              <w:rPr>
                <w:sz w:val="20"/>
                <w:szCs w:val="20"/>
                <w:color w:val="auto"/>
              </w:rPr>
            </w:pPr>
            <w:r>
              <w:rPr>
                <w:rFonts w:ascii="Arial" w:cs="Arial" w:eastAsia="Arial" w:hAnsi="Arial"/>
                <w:sz w:val="14"/>
                <w:szCs w:val="14"/>
                <w:b w:val="1"/>
                <w:bCs w:val="1"/>
                <w:color w:val="002856"/>
                <w:w w:val="98"/>
              </w:rPr>
              <w:t>NEOs ($)</w:t>
            </w:r>
            <w:r>
              <w:rPr>
                <w:rFonts w:ascii="Arial" w:cs="Arial" w:eastAsia="Arial" w:hAnsi="Arial"/>
                <w:sz w:val="17"/>
                <w:szCs w:val="17"/>
                <w:b w:val="1"/>
                <w:bCs w:val="1"/>
                <w:color w:val="002856"/>
                <w:w w:val="98"/>
                <w:vertAlign w:val="superscript"/>
              </w:rPr>
              <w:t>(2)</w:t>
            </w:r>
          </w:p>
        </w:tc>
        <w:tc>
          <w:tcPr>
            <w:tcW w:w="100" w:type="dxa"/>
            <w:vAlign w:val="bottom"/>
            <w:tcBorders>
              <w:bottom w:val="single" w:sz="8" w:color="C6093B"/>
            </w:tcBorders>
          </w:tcPr>
          <w:p>
            <w:pPr>
              <w:spacing w:after="0"/>
              <w:rPr>
                <w:sz w:val="16"/>
                <w:szCs w:val="16"/>
                <w:color w:val="auto"/>
              </w:rPr>
            </w:pPr>
          </w:p>
        </w:tc>
        <w:tc>
          <w:tcPr>
            <w:tcW w:w="880" w:type="dxa"/>
            <w:vAlign w:val="bottom"/>
            <w:tcBorders>
              <w:bottom w:val="single" w:sz="8" w:color="C6093B"/>
            </w:tcBorders>
          </w:tcPr>
          <w:p>
            <w:pPr>
              <w:jc w:val="right"/>
              <w:ind w:right="245"/>
              <w:spacing w:after="0"/>
              <w:rPr>
                <w:sz w:val="20"/>
                <w:szCs w:val="20"/>
                <w:color w:val="auto"/>
              </w:rPr>
            </w:pPr>
            <w:r>
              <w:rPr>
                <w:rFonts w:ascii="Arial" w:cs="Arial" w:eastAsia="Arial" w:hAnsi="Arial"/>
                <w:sz w:val="14"/>
                <w:szCs w:val="14"/>
                <w:b w:val="1"/>
                <w:bCs w:val="1"/>
                <w:color w:val="002856"/>
              </w:rPr>
              <w:t>Return</w:t>
            </w:r>
          </w:p>
        </w:tc>
        <w:tc>
          <w:tcPr>
            <w:tcW w:w="260" w:type="dxa"/>
            <w:vAlign w:val="bottom"/>
            <w:tcBorders>
              <w:bottom w:val="single" w:sz="8" w:color="C6093B"/>
            </w:tcBorders>
          </w:tcPr>
          <w:p>
            <w:pPr>
              <w:spacing w:after="0"/>
              <w:rPr>
                <w:sz w:val="16"/>
                <w:szCs w:val="16"/>
                <w:color w:val="auto"/>
              </w:rPr>
            </w:pPr>
          </w:p>
        </w:tc>
        <w:tc>
          <w:tcPr>
            <w:tcW w:w="860" w:type="dxa"/>
            <w:vAlign w:val="bottom"/>
            <w:tcBorders>
              <w:bottom w:val="single" w:sz="8" w:color="C6093B"/>
            </w:tcBorders>
            <w:gridSpan w:val="2"/>
          </w:tcPr>
          <w:p>
            <w:pPr>
              <w:jc w:val="center"/>
              <w:ind w:right="260"/>
              <w:spacing w:after="0" w:line="183" w:lineRule="exact"/>
              <w:rPr>
                <w:sz w:val="20"/>
                <w:szCs w:val="20"/>
                <w:color w:val="auto"/>
              </w:rPr>
            </w:pPr>
            <w:r>
              <w:rPr>
                <w:rFonts w:ascii="Arial" w:cs="Arial" w:eastAsia="Arial" w:hAnsi="Arial"/>
                <w:sz w:val="14"/>
                <w:szCs w:val="14"/>
                <w:b w:val="1"/>
                <w:bCs w:val="1"/>
                <w:color w:val="002856"/>
                <w:w w:val="94"/>
              </w:rPr>
              <w:t>Return</w:t>
            </w:r>
            <w:r>
              <w:rPr>
                <w:rFonts w:ascii="Arial" w:cs="Arial" w:eastAsia="Arial" w:hAnsi="Arial"/>
                <w:sz w:val="17"/>
                <w:szCs w:val="17"/>
                <w:b w:val="1"/>
                <w:bCs w:val="1"/>
                <w:color w:val="002856"/>
                <w:w w:val="94"/>
                <w:vertAlign w:val="superscript"/>
              </w:rPr>
              <w:t>(3)</w:t>
            </w:r>
          </w:p>
        </w:tc>
        <w:tc>
          <w:tcPr>
            <w:tcW w:w="1060" w:type="dxa"/>
            <w:vAlign w:val="bottom"/>
            <w:tcBorders>
              <w:bottom w:val="single" w:sz="8" w:color="C6093B"/>
            </w:tcBorders>
            <w:gridSpan w:val="2"/>
          </w:tcPr>
          <w:p>
            <w:pPr>
              <w:ind w:left="120"/>
              <w:spacing w:after="0"/>
              <w:rPr>
                <w:sz w:val="20"/>
                <w:szCs w:val="20"/>
                <w:color w:val="auto"/>
              </w:rPr>
            </w:pPr>
            <w:r>
              <w:rPr>
                <w:rFonts w:ascii="Arial" w:cs="Arial" w:eastAsia="Arial" w:hAnsi="Arial"/>
                <w:sz w:val="14"/>
                <w:szCs w:val="14"/>
                <w:b w:val="1"/>
                <w:bCs w:val="1"/>
                <w:color w:val="002856"/>
              </w:rPr>
              <w:t>(in millions)</w:t>
            </w:r>
          </w:p>
        </w:tc>
        <w:tc>
          <w:tcPr>
            <w:tcW w:w="940" w:type="dxa"/>
            <w:vAlign w:val="bottom"/>
            <w:tcBorders>
              <w:bottom w:val="single" w:sz="8" w:color="C6093B"/>
            </w:tcBorders>
          </w:tcPr>
          <w:p>
            <w:pPr>
              <w:jc w:val="center"/>
              <w:spacing w:after="0" w:line="183" w:lineRule="exact"/>
              <w:rPr>
                <w:sz w:val="20"/>
                <w:szCs w:val="20"/>
                <w:color w:val="auto"/>
              </w:rPr>
            </w:pPr>
            <w:r>
              <w:rPr>
                <w:rFonts w:ascii="Arial" w:cs="Arial" w:eastAsia="Arial" w:hAnsi="Arial"/>
                <w:sz w:val="14"/>
                <w:szCs w:val="14"/>
                <w:b w:val="1"/>
                <w:bCs w:val="1"/>
                <w:color w:val="002856"/>
                <w:w w:val="90"/>
              </w:rPr>
              <w:t>Rate</w:t>
            </w:r>
            <w:r>
              <w:rPr>
                <w:rFonts w:ascii="Arial" w:cs="Arial" w:eastAsia="Arial" w:hAnsi="Arial"/>
                <w:sz w:val="17"/>
                <w:szCs w:val="17"/>
                <w:b w:val="1"/>
                <w:bCs w:val="1"/>
                <w:color w:val="002856"/>
                <w:w w:val="90"/>
                <w:vertAlign w:val="superscript"/>
              </w:rPr>
              <w:t>(4)</w:t>
            </w:r>
          </w:p>
        </w:tc>
        <w:tc>
          <w:tcPr>
            <w:tcW w:w="0" w:type="dxa"/>
            <w:vAlign w:val="bottom"/>
          </w:tcPr>
          <w:p>
            <w:pPr>
              <w:spacing w:after="0"/>
              <w:rPr>
                <w:sz w:val="1"/>
                <w:szCs w:val="1"/>
                <w:color w:val="auto"/>
              </w:rPr>
            </w:pPr>
          </w:p>
        </w:tc>
      </w:tr>
      <w:tr>
        <w:trPr>
          <w:trHeight w:val="241"/>
        </w:trPr>
        <w:tc>
          <w:tcPr>
            <w:tcW w:w="108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2023</w:t>
            </w:r>
          </w:p>
        </w:tc>
        <w:tc>
          <w:tcPr>
            <w:tcW w:w="176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auto"/>
              </w:rPr>
              <w:t>9,786,745</w:t>
            </w:r>
          </w:p>
        </w:tc>
        <w:tc>
          <w:tcPr>
            <w:tcW w:w="1320" w:type="dxa"/>
            <w:vAlign w:val="bottom"/>
            <w:tcBorders>
              <w:bottom w:val="single" w:sz="8" w:color="4C4C4C"/>
            </w:tcBorders>
          </w:tcPr>
          <w:p>
            <w:pPr>
              <w:jc w:val="right"/>
              <w:ind w:right="104"/>
              <w:spacing w:after="0"/>
              <w:rPr>
                <w:sz w:val="20"/>
                <w:szCs w:val="20"/>
                <w:color w:val="auto"/>
              </w:rPr>
            </w:pPr>
            <w:r>
              <w:rPr>
                <w:rFonts w:ascii="Arial" w:cs="Arial" w:eastAsia="Arial" w:hAnsi="Arial"/>
                <w:sz w:val="16"/>
                <w:szCs w:val="16"/>
                <w:color w:val="auto"/>
              </w:rPr>
              <w:t>23,865,891</w:t>
            </w:r>
          </w:p>
        </w:tc>
        <w:tc>
          <w:tcPr>
            <w:tcW w:w="1260" w:type="dxa"/>
            <w:vAlign w:val="bottom"/>
            <w:tcBorders>
              <w:bottom w:val="single" w:sz="8" w:color="4C4C4C"/>
            </w:tcBorders>
          </w:tcPr>
          <w:p>
            <w:pPr>
              <w:jc w:val="right"/>
              <w:ind w:right="46"/>
              <w:spacing w:after="0"/>
              <w:rPr>
                <w:sz w:val="20"/>
                <w:szCs w:val="20"/>
                <w:color w:val="auto"/>
              </w:rPr>
            </w:pPr>
            <w:r>
              <w:rPr>
                <w:rFonts w:ascii="Arial" w:cs="Arial" w:eastAsia="Arial" w:hAnsi="Arial"/>
                <w:sz w:val="16"/>
                <w:szCs w:val="16"/>
                <w:color w:val="auto"/>
              </w:rPr>
              <w:t>3,272,317</w:t>
            </w:r>
          </w:p>
        </w:tc>
        <w:tc>
          <w:tcPr>
            <w:tcW w:w="1400" w:type="dxa"/>
            <w:vAlign w:val="bottom"/>
            <w:tcBorders>
              <w:bottom w:val="single" w:sz="8" w:color="4C4C4C"/>
            </w:tcBorders>
          </w:tcPr>
          <w:p>
            <w:pPr>
              <w:jc w:val="right"/>
              <w:ind w:right="185"/>
              <w:spacing w:after="0"/>
              <w:rPr>
                <w:sz w:val="20"/>
                <w:szCs w:val="20"/>
                <w:color w:val="auto"/>
              </w:rPr>
            </w:pPr>
            <w:r>
              <w:rPr>
                <w:rFonts w:ascii="Arial" w:cs="Arial" w:eastAsia="Arial" w:hAnsi="Arial"/>
                <w:sz w:val="16"/>
                <w:szCs w:val="16"/>
                <w:color w:val="auto"/>
              </w:rPr>
              <w:t>5,477,863</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4C4C4C"/>
            </w:tcBorders>
          </w:tcPr>
          <w:p>
            <w:pPr>
              <w:jc w:val="right"/>
              <w:ind w:right="45"/>
              <w:spacing w:after="0"/>
              <w:rPr>
                <w:sz w:val="20"/>
                <w:szCs w:val="20"/>
                <w:color w:val="auto"/>
              </w:rPr>
            </w:pPr>
            <w:r>
              <w:rPr>
                <w:rFonts w:ascii="Arial" w:cs="Arial" w:eastAsia="Arial" w:hAnsi="Arial"/>
                <w:sz w:val="16"/>
                <w:szCs w:val="16"/>
                <w:color w:val="auto"/>
              </w:rPr>
              <w:t>153</w:t>
            </w:r>
          </w:p>
        </w:tc>
        <w:tc>
          <w:tcPr>
            <w:tcW w:w="26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6"/>
                <w:szCs w:val="16"/>
                <w:color w:val="auto"/>
              </w:rPr>
              <w:t>161</w:t>
            </w:r>
          </w:p>
        </w:tc>
        <w:tc>
          <w:tcPr>
            <w:tcW w:w="240" w:type="dxa"/>
            <w:vAlign w:val="bottom"/>
            <w:tcBorders>
              <w:bottom w:val="single" w:sz="8" w:color="4C4C4C"/>
            </w:tcBorders>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ind w:right="43"/>
              <w:spacing w:after="0"/>
              <w:rPr>
                <w:sz w:val="20"/>
                <w:szCs w:val="20"/>
                <w:color w:val="auto"/>
              </w:rPr>
            </w:pPr>
            <w:r>
              <w:rPr>
                <w:rFonts w:ascii="Arial" w:cs="Arial" w:eastAsia="Arial" w:hAnsi="Arial"/>
                <w:sz w:val="16"/>
                <w:szCs w:val="16"/>
                <w:color w:val="auto"/>
              </w:rPr>
              <w:t>870.5</w:t>
            </w:r>
          </w:p>
        </w:tc>
        <w:tc>
          <w:tcPr>
            <w:tcW w:w="9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4C4C4C"/>
            </w:tcBorders>
          </w:tcPr>
          <w:p>
            <w:pPr>
              <w:ind w:left="80"/>
              <w:spacing w:after="0"/>
              <w:rPr>
                <w:sz w:val="20"/>
                <w:szCs w:val="20"/>
                <w:color w:val="auto"/>
              </w:rPr>
            </w:pPr>
            <w:r>
              <w:rPr>
                <w:rFonts w:ascii="Arial" w:cs="Arial" w:eastAsia="Arial" w:hAnsi="Arial"/>
                <w:sz w:val="16"/>
                <w:szCs w:val="16"/>
                <w:color w:val="auto"/>
              </w:rPr>
              <w:t>2022</w:t>
            </w:r>
          </w:p>
        </w:tc>
        <w:tc>
          <w:tcPr>
            <w:tcW w:w="176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auto"/>
              </w:rPr>
              <w:t>6,741,633</w:t>
            </w:r>
          </w:p>
        </w:tc>
        <w:tc>
          <w:tcPr>
            <w:tcW w:w="132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auto"/>
              </w:rPr>
              <w:t>(5,295,763)</w:t>
            </w:r>
          </w:p>
        </w:tc>
        <w:tc>
          <w:tcPr>
            <w:tcW w:w="1260" w:type="dxa"/>
            <w:vAlign w:val="bottom"/>
            <w:tcBorders>
              <w:bottom w:val="single" w:sz="8" w:color="4C4C4C"/>
            </w:tcBorders>
          </w:tcPr>
          <w:p>
            <w:pPr>
              <w:jc w:val="right"/>
              <w:ind w:right="46"/>
              <w:spacing w:after="0"/>
              <w:rPr>
                <w:sz w:val="20"/>
                <w:szCs w:val="20"/>
                <w:color w:val="auto"/>
              </w:rPr>
            </w:pPr>
            <w:r>
              <w:rPr>
                <w:rFonts w:ascii="Arial" w:cs="Arial" w:eastAsia="Arial" w:hAnsi="Arial"/>
                <w:sz w:val="16"/>
                <w:szCs w:val="16"/>
                <w:color w:val="auto"/>
              </w:rPr>
              <w:t>4,728,133</w:t>
            </w:r>
          </w:p>
        </w:tc>
        <w:tc>
          <w:tcPr>
            <w:tcW w:w="1400" w:type="dxa"/>
            <w:vAlign w:val="bottom"/>
            <w:tcBorders>
              <w:bottom w:val="single" w:sz="8" w:color="4C4C4C"/>
            </w:tcBorders>
          </w:tcPr>
          <w:p>
            <w:pPr>
              <w:jc w:val="right"/>
              <w:ind w:right="185"/>
              <w:spacing w:after="0"/>
              <w:rPr>
                <w:sz w:val="20"/>
                <w:szCs w:val="20"/>
                <w:color w:val="auto"/>
              </w:rPr>
            </w:pPr>
            <w:r>
              <w:rPr>
                <w:rFonts w:ascii="Arial" w:cs="Arial" w:eastAsia="Arial" w:hAnsi="Arial"/>
                <w:sz w:val="16"/>
                <w:szCs w:val="16"/>
                <w:color w:val="auto"/>
              </w:rPr>
              <w:t>2,800,269</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4C4C4C"/>
            </w:tcBorders>
          </w:tcPr>
          <w:p>
            <w:pPr>
              <w:jc w:val="right"/>
              <w:ind w:right="45"/>
              <w:spacing w:after="0"/>
              <w:rPr>
                <w:sz w:val="20"/>
                <w:szCs w:val="20"/>
                <w:color w:val="auto"/>
              </w:rPr>
            </w:pPr>
            <w:r>
              <w:rPr>
                <w:rFonts w:ascii="Arial" w:cs="Arial" w:eastAsia="Arial" w:hAnsi="Arial"/>
                <w:sz w:val="16"/>
                <w:szCs w:val="16"/>
                <w:color w:val="auto"/>
              </w:rPr>
              <w:t>122</w:t>
            </w:r>
          </w:p>
        </w:tc>
        <w:tc>
          <w:tcPr>
            <w:tcW w:w="26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4C4C4C"/>
            </w:tcBorders>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C4C4C"/>
            </w:tcBorders>
          </w:tcPr>
          <w:p>
            <w:pPr>
              <w:jc w:val="right"/>
              <w:ind w:right="43"/>
              <w:spacing w:after="0"/>
              <w:rPr>
                <w:sz w:val="20"/>
                <w:szCs w:val="20"/>
                <w:color w:val="auto"/>
              </w:rPr>
            </w:pPr>
            <w:r>
              <w:rPr>
                <w:rFonts w:ascii="Arial" w:cs="Arial" w:eastAsia="Arial" w:hAnsi="Arial"/>
                <w:sz w:val="16"/>
                <w:szCs w:val="16"/>
                <w:color w:val="auto"/>
              </w:rPr>
              <w:t>671.8</w:t>
            </w:r>
          </w:p>
        </w:tc>
        <w:tc>
          <w:tcPr>
            <w:tcW w:w="9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1"/>
        </w:trPr>
        <w:tc>
          <w:tcPr>
            <w:tcW w:w="1080" w:type="dxa"/>
            <w:vAlign w:val="bottom"/>
            <w:tcBorders>
              <w:bottom w:val="single" w:sz="8" w:color="C6093B"/>
            </w:tcBorders>
          </w:tcPr>
          <w:p>
            <w:pPr>
              <w:ind w:left="80"/>
              <w:spacing w:after="0"/>
              <w:rPr>
                <w:sz w:val="20"/>
                <w:szCs w:val="20"/>
                <w:color w:val="auto"/>
              </w:rPr>
            </w:pPr>
            <w:r>
              <w:rPr>
                <w:rFonts w:ascii="Arial" w:cs="Arial" w:eastAsia="Arial" w:hAnsi="Arial"/>
                <w:sz w:val="16"/>
                <w:szCs w:val="16"/>
                <w:color w:val="auto"/>
              </w:rPr>
              <w:t>2021</w:t>
            </w:r>
          </w:p>
        </w:tc>
        <w:tc>
          <w:tcPr>
            <w:tcW w:w="1760" w:type="dxa"/>
            <w:vAlign w:val="bottom"/>
            <w:tcBorders>
              <w:bottom w:val="single" w:sz="8" w:color="C6093B"/>
            </w:tcBorders>
          </w:tcPr>
          <w:p>
            <w:pPr>
              <w:jc w:val="right"/>
              <w:ind w:right="65"/>
              <w:spacing w:after="0"/>
              <w:rPr>
                <w:sz w:val="20"/>
                <w:szCs w:val="20"/>
                <w:color w:val="auto"/>
              </w:rPr>
            </w:pPr>
            <w:r>
              <w:rPr>
                <w:rFonts w:ascii="Arial" w:cs="Arial" w:eastAsia="Arial" w:hAnsi="Arial"/>
                <w:sz w:val="16"/>
                <w:szCs w:val="16"/>
                <w:color w:val="auto"/>
              </w:rPr>
              <w:t>9,201,035</w:t>
            </w:r>
          </w:p>
        </w:tc>
        <w:tc>
          <w:tcPr>
            <w:tcW w:w="1320" w:type="dxa"/>
            <w:vAlign w:val="bottom"/>
            <w:tcBorders>
              <w:bottom w:val="single" w:sz="8" w:color="C6093B"/>
            </w:tcBorders>
          </w:tcPr>
          <w:p>
            <w:pPr>
              <w:jc w:val="right"/>
              <w:ind w:right="104"/>
              <w:spacing w:after="0"/>
              <w:rPr>
                <w:sz w:val="20"/>
                <w:szCs w:val="20"/>
                <w:color w:val="auto"/>
              </w:rPr>
            </w:pPr>
            <w:r>
              <w:rPr>
                <w:rFonts w:ascii="Arial" w:cs="Arial" w:eastAsia="Arial" w:hAnsi="Arial"/>
                <w:sz w:val="16"/>
                <w:szCs w:val="16"/>
                <w:color w:val="auto"/>
              </w:rPr>
              <w:t>32,778,563</w:t>
            </w:r>
          </w:p>
        </w:tc>
        <w:tc>
          <w:tcPr>
            <w:tcW w:w="1260" w:type="dxa"/>
            <w:vAlign w:val="bottom"/>
            <w:tcBorders>
              <w:bottom w:val="single" w:sz="8" w:color="C6093B"/>
            </w:tcBorders>
          </w:tcPr>
          <w:p>
            <w:pPr>
              <w:jc w:val="right"/>
              <w:ind w:right="46"/>
              <w:spacing w:after="0"/>
              <w:rPr>
                <w:sz w:val="20"/>
                <w:szCs w:val="20"/>
                <w:color w:val="auto"/>
              </w:rPr>
            </w:pPr>
            <w:r>
              <w:rPr>
                <w:rFonts w:ascii="Arial" w:cs="Arial" w:eastAsia="Arial" w:hAnsi="Arial"/>
                <w:sz w:val="16"/>
                <w:szCs w:val="16"/>
                <w:color w:val="auto"/>
              </w:rPr>
              <w:t>3,508,148</w:t>
            </w:r>
          </w:p>
        </w:tc>
        <w:tc>
          <w:tcPr>
            <w:tcW w:w="1400" w:type="dxa"/>
            <w:vAlign w:val="bottom"/>
            <w:tcBorders>
              <w:bottom w:val="single" w:sz="8" w:color="C6093B"/>
            </w:tcBorders>
          </w:tcPr>
          <w:p>
            <w:pPr>
              <w:jc w:val="right"/>
              <w:ind w:right="185"/>
              <w:spacing w:after="0"/>
              <w:rPr>
                <w:sz w:val="20"/>
                <w:szCs w:val="20"/>
                <w:color w:val="auto"/>
              </w:rPr>
            </w:pPr>
            <w:r>
              <w:rPr>
                <w:rFonts w:ascii="Arial" w:cs="Arial" w:eastAsia="Arial" w:hAnsi="Arial"/>
                <w:sz w:val="16"/>
                <w:szCs w:val="16"/>
                <w:color w:val="auto"/>
              </w:rPr>
              <w:t>6,939,244</w:t>
            </w:r>
          </w:p>
        </w:tc>
        <w:tc>
          <w:tcPr>
            <w:tcW w:w="100" w:type="dxa"/>
            <w:vAlign w:val="bottom"/>
            <w:tcBorders>
              <w:bottom w:val="single" w:sz="8" w:color="C6093B"/>
            </w:tcBorders>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6093B"/>
            </w:tcBorders>
          </w:tcPr>
          <w:p>
            <w:pPr>
              <w:jc w:val="right"/>
              <w:ind w:right="45"/>
              <w:spacing w:after="0"/>
              <w:rPr>
                <w:sz w:val="20"/>
                <w:szCs w:val="20"/>
                <w:color w:val="auto"/>
              </w:rPr>
            </w:pPr>
            <w:r>
              <w:rPr>
                <w:rFonts w:ascii="Arial" w:cs="Arial" w:eastAsia="Arial" w:hAnsi="Arial"/>
                <w:sz w:val="16"/>
                <w:szCs w:val="16"/>
                <w:color w:val="auto"/>
              </w:rPr>
              <w:t>149</w:t>
            </w:r>
          </w:p>
        </w:tc>
        <w:tc>
          <w:tcPr>
            <w:tcW w:w="260" w:type="dxa"/>
            <w:vAlign w:val="bottom"/>
            <w:tcBorders>
              <w:bottom w:val="single" w:sz="8" w:color="C6093B"/>
            </w:tcBorders>
          </w:tcPr>
          <w:p>
            <w:pPr>
              <w:ind w:lef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6093B"/>
            </w:tcBorders>
            <w:gridSpan w:val="2"/>
          </w:tcPr>
          <w:p>
            <w:pPr>
              <w:jc w:val="right"/>
              <w:ind w:right="140"/>
              <w:spacing w:after="0"/>
              <w:rPr>
                <w:sz w:val="20"/>
                <w:szCs w:val="20"/>
                <w:color w:val="auto"/>
              </w:rPr>
            </w:pPr>
            <w:r>
              <w:rPr>
                <w:rFonts w:ascii="Arial" w:cs="Arial" w:eastAsia="Arial" w:hAnsi="Arial"/>
                <w:sz w:val="16"/>
                <w:szCs w:val="16"/>
                <w:color w:val="auto"/>
              </w:rPr>
              <w:t>142</w:t>
            </w:r>
          </w:p>
        </w:tc>
        <w:tc>
          <w:tcPr>
            <w:tcW w:w="240" w:type="dxa"/>
            <w:vAlign w:val="bottom"/>
            <w:tcBorders>
              <w:bottom w:val="single" w:sz="8" w:color="C6093B"/>
            </w:tcBorders>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6093B"/>
            </w:tcBorders>
          </w:tcPr>
          <w:p>
            <w:pPr>
              <w:jc w:val="right"/>
              <w:ind w:right="43"/>
              <w:spacing w:after="0"/>
              <w:rPr>
                <w:sz w:val="20"/>
                <w:szCs w:val="20"/>
                <w:color w:val="auto"/>
              </w:rPr>
            </w:pPr>
            <w:r>
              <w:rPr>
                <w:rFonts w:ascii="Arial" w:cs="Arial" w:eastAsia="Arial" w:hAnsi="Arial"/>
                <w:sz w:val="16"/>
                <w:szCs w:val="16"/>
                <w:color w:val="auto"/>
              </w:rPr>
              <w:t>587.1</w:t>
            </w:r>
          </w:p>
        </w:tc>
        <w:tc>
          <w:tcPr>
            <w:tcW w:w="94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right="60" w:hanging="213"/>
        <w:spacing w:after="0" w:line="222" w:lineRule="auto"/>
        <w:tabs>
          <w:tab w:leader="none" w:pos="22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The Compensation Actually Paid to J. Powell Brown, President and Chief Executive Officer of the Company, for each of the fiscal years ended December 31, 2023, 2022 and 2021, is calculated, as follows:</w:t>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2856"/>
              </w:rPr>
              <w:t>Reported change</w:t>
            </w: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2080" w:type="dxa"/>
            <w:vAlign w:val="bottom"/>
          </w:tcPr>
          <w:p>
            <w:pPr>
              <w:jc w:val="right"/>
              <w:ind w:right="125"/>
              <w:spacing w:after="0"/>
              <w:rPr>
                <w:sz w:val="20"/>
                <w:szCs w:val="20"/>
                <w:color w:val="auto"/>
              </w:rPr>
            </w:pPr>
            <w:r>
              <w:rPr>
                <w:rFonts w:ascii="Arial" w:cs="Arial" w:eastAsia="Arial" w:hAnsi="Arial"/>
                <w:sz w:val="14"/>
                <w:szCs w:val="14"/>
                <w:b w:val="1"/>
                <w:bCs w:val="1"/>
                <w:color w:val="002856"/>
              </w:rPr>
              <w:t>Reported summary</w:t>
            </w:r>
          </w:p>
        </w:tc>
        <w:tc>
          <w:tcPr>
            <w:tcW w:w="14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2856"/>
              </w:rPr>
              <w:t>Equity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2856"/>
              </w:rPr>
              <w:t>in the actuarial</w:t>
            </w:r>
          </w:p>
        </w:tc>
        <w:tc>
          <w:tcPr>
            <w:tcW w:w="14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002856"/>
              </w:rPr>
              <w:t>Pension benefit</w:t>
            </w:r>
          </w:p>
        </w:tc>
        <w:tc>
          <w:tcPr>
            <w:tcW w:w="1560" w:type="dxa"/>
            <w:vAlign w:val="bottom"/>
          </w:tcPr>
          <w:p>
            <w:pPr>
              <w:jc w:val="center"/>
              <w:ind w:left="25"/>
              <w:spacing w:after="0"/>
              <w:rPr>
                <w:sz w:val="20"/>
                <w:szCs w:val="20"/>
                <w:color w:val="auto"/>
              </w:rPr>
            </w:pPr>
            <w:r>
              <w:rPr>
                <w:rFonts w:ascii="Arial" w:cs="Arial" w:eastAsia="Arial" w:hAnsi="Arial"/>
                <w:sz w:val="14"/>
                <w:szCs w:val="14"/>
                <w:b w:val="1"/>
                <w:bCs w:val="1"/>
                <w:color w:val="002856"/>
              </w:rPr>
              <w:t>Compensation</w:t>
            </w: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2080" w:type="dxa"/>
            <w:vAlign w:val="bottom"/>
          </w:tcPr>
          <w:p>
            <w:pPr>
              <w:jc w:val="center"/>
              <w:ind w:left="305"/>
              <w:spacing w:after="0" w:line="147" w:lineRule="exact"/>
              <w:rPr>
                <w:sz w:val="20"/>
                <w:szCs w:val="20"/>
                <w:color w:val="auto"/>
              </w:rPr>
            </w:pPr>
            <w:r>
              <w:rPr>
                <w:rFonts w:ascii="Arial" w:cs="Arial" w:eastAsia="Arial" w:hAnsi="Arial"/>
                <w:sz w:val="14"/>
                <w:szCs w:val="14"/>
                <w:b w:val="1"/>
                <w:bCs w:val="1"/>
                <w:color w:val="002856"/>
              </w:rPr>
              <w:t>compensation</w:t>
            </w:r>
          </w:p>
        </w:tc>
        <w:tc>
          <w:tcPr>
            <w:tcW w:w="1420" w:type="dxa"/>
            <w:vAlign w:val="bottom"/>
          </w:tcPr>
          <w:p>
            <w:pPr>
              <w:jc w:val="right"/>
              <w:ind w:right="124"/>
              <w:spacing w:after="0" w:line="147" w:lineRule="exact"/>
              <w:rPr>
                <w:sz w:val="20"/>
                <w:szCs w:val="20"/>
                <w:color w:val="auto"/>
              </w:rPr>
            </w:pPr>
            <w:r>
              <w:rPr>
                <w:rFonts w:ascii="Arial" w:cs="Arial" w:eastAsia="Arial" w:hAnsi="Arial"/>
                <w:sz w:val="14"/>
                <w:szCs w:val="14"/>
                <w:b w:val="1"/>
                <w:bCs w:val="1"/>
                <w:color w:val="002856"/>
              </w:rPr>
              <w:t>Reported value</w:t>
            </w: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award</w:t>
            </w:r>
          </w:p>
        </w:tc>
        <w:tc>
          <w:tcPr>
            <w:tcW w:w="1540" w:type="dxa"/>
            <w:vAlign w:val="bottom"/>
          </w:tcPr>
          <w:p>
            <w:pPr>
              <w:jc w:val="center"/>
              <w:spacing w:after="0" w:line="147" w:lineRule="exact"/>
              <w:rPr>
                <w:sz w:val="20"/>
                <w:szCs w:val="20"/>
                <w:color w:val="auto"/>
              </w:rPr>
            </w:pPr>
            <w:r>
              <w:rPr>
                <w:rFonts w:ascii="Arial" w:cs="Arial" w:eastAsia="Arial" w:hAnsi="Arial"/>
                <w:sz w:val="14"/>
                <w:szCs w:val="14"/>
                <w:b w:val="1"/>
                <w:bCs w:val="1"/>
                <w:color w:val="002856"/>
              </w:rPr>
              <w:t>present value of</w:t>
            </w:r>
          </w:p>
        </w:tc>
        <w:tc>
          <w:tcPr>
            <w:tcW w:w="1460" w:type="dxa"/>
            <w:vAlign w:val="bottom"/>
            <w:vMerge w:val="continue"/>
          </w:tcPr>
          <w:p>
            <w:pPr>
              <w:spacing w:after="0"/>
              <w:rPr>
                <w:sz w:val="12"/>
                <w:szCs w:val="12"/>
                <w:color w:val="auto"/>
              </w:rPr>
            </w:pPr>
          </w:p>
        </w:tc>
        <w:tc>
          <w:tcPr>
            <w:tcW w:w="156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002856"/>
              </w:rPr>
              <w:t>actually paid to</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2080" w:type="dxa"/>
            <w:vAlign w:val="bottom"/>
          </w:tcPr>
          <w:p>
            <w:pPr>
              <w:jc w:val="center"/>
              <w:ind w:left="305"/>
              <w:spacing w:after="0"/>
              <w:rPr>
                <w:sz w:val="20"/>
                <w:szCs w:val="20"/>
                <w:color w:val="auto"/>
              </w:rPr>
            </w:pPr>
            <w:r>
              <w:rPr>
                <w:rFonts w:ascii="Arial" w:cs="Arial" w:eastAsia="Arial" w:hAnsi="Arial"/>
                <w:sz w:val="14"/>
                <w:szCs w:val="14"/>
                <w:b w:val="1"/>
                <w:bCs w:val="1"/>
                <w:color w:val="002856"/>
              </w:rPr>
              <w:t>table total for CEO</w:t>
            </w:r>
          </w:p>
        </w:tc>
        <w:tc>
          <w:tcPr>
            <w:tcW w:w="1420" w:type="dxa"/>
            <w:vAlign w:val="bottom"/>
          </w:tcPr>
          <w:p>
            <w:pPr>
              <w:jc w:val="right"/>
              <w:ind w:right="344"/>
              <w:spacing w:after="0"/>
              <w:rPr>
                <w:sz w:val="20"/>
                <w:szCs w:val="20"/>
                <w:color w:val="auto"/>
              </w:rPr>
            </w:pPr>
            <w:r>
              <w:rPr>
                <w:rFonts w:ascii="Arial" w:cs="Arial" w:eastAsia="Arial" w:hAnsi="Arial"/>
                <w:sz w:val="14"/>
                <w:szCs w:val="14"/>
                <w:b w:val="1"/>
                <w:bCs w:val="1"/>
                <w:color w:val="002856"/>
              </w:rPr>
              <w:t>of equity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2856"/>
              </w:rPr>
              <w:t>adjustments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2856"/>
              </w:rPr>
              <w:t>pension benefits</w:t>
            </w:r>
          </w:p>
        </w:tc>
        <w:tc>
          <w:tcPr>
            <w:tcW w:w="1460" w:type="dxa"/>
            <w:vAlign w:val="bottom"/>
          </w:tcPr>
          <w:p>
            <w:pPr>
              <w:jc w:val="right"/>
              <w:ind w:right="224"/>
              <w:spacing w:after="0"/>
              <w:rPr>
                <w:sz w:val="20"/>
                <w:szCs w:val="20"/>
                <w:color w:val="auto"/>
              </w:rPr>
            </w:pPr>
            <w:r>
              <w:rPr>
                <w:rFonts w:ascii="Arial" w:cs="Arial" w:eastAsia="Arial" w:hAnsi="Arial"/>
                <w:sz w:val="14"/>
                <w:szCs w:val="14"/>
                <w:b w:val="1"/>
                <w:bCs w:val="1"/>
                <w:color w:val="002856"/>
              </w:rPr>
              <w:t>adjustments</w:t>
            </w:r>
          </w:p>
        </w:tc>
        <w:tc>
          <w:tcPr>
            <w:tcW w:w="1560" w:type="dxa"/>
            <w:vAlign w:val="bottom"/>
          </w:tcPr>
          <w:p>
            <w:pPr>
              <w:jc w:val="center"/>
              <w:ind w:left="25"/>
              <w:spacing w:after="0"/>
              <w:rPr>
                <w:sz w:val="20"/>
                <w:szCs w:val="20"/>
                <w:color w:val="auto"/>
              </w:rPr>
            </w:pPr>
            <w:r>
              <w:rPr>
                <w:rFonts w:ascii="Arial" w:cs="Arial" w:eastAsia="Arial" w:hAnsi="Arial"/>
                <w:sz w:val="14"/>
                <w:szCs w:val="14"/>
                <w:b w:val="1"/>
                <w:bCs w:val="1"/>
                <w:color w:val="002856"/>
                <w:w w:val="98"/>
              </w:rPr>
              <w:t>CEO</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C6093B"/>
            </w:tcBorders>
          </w:tcPr>
          <w:p>
            <w:pPr>
              <w:ind w:left="60"/>
              <w:spacing w:after="0"/>
              <w:rPr>
                <w:sz w:val="20"/>
                <w:szCs w:val="20"/>
                <w:color w:val="auto"/>
              </w:rPr>
            </w:pPr>
            <w:r>
              <w:rPr>
                <w:rFonts w:ascii="Arial" w:cs="Arial" w:eastAsia="Arial" w:hAnsi="Arial"/>
                <w:sz w:val="14"/>
                <w:szCs w:val="14"/>
                <w:b w:val="1"/>
                <w:bCs w:val="1"/>
                <w:color w:val="002856"/>
              </w:rPr>
              <w:t>Year</w:t>
            </w:r>
          </w:p>
        </w:tc>
        <w:tc>
          <w:tcPr>
            <w:tcW w:w="2080" w:type="dxa"/>
            <w:vAlign w:val="bottom"/>
            <w:tcBorders>
              <w:bottom w:val="single" w:sz="8" w:color="C6093B"/>
            </w:tcBorders>
          </w:tcPr>
          <w:p>
            <w:pPr>
              <w:jc w:val="center"/>
              <w:ind w:left="305"/>
              <w:spacing w:after="0"/>
              <w:rPr>
                <w:sz w:val="20"/>
                <w:szCs w:val="20"/>
                <w:color w:val="auto"/>
              </w:rPr>
            </w:pPr>
            <w:r>
              <w:rPr>
                <w:rFonts w:ascii="Arial" w:cs="Arial" w:eastAsia="Arial" w:hAnsi="Arial"/>
                <w:sz w:val="14"/>
                <w:szCs w:val="14"/>
                <w:b w:val="1"/>
                <w:bCs w:val="1"/>
                <w:color w:val="002856"/>
                <w:w w:val="99"/>
              </w:rPr>
              <w:t>($) (a)</w:t>
            </w:r>
          </w:p>
        </w:tc>
        <w:tc>
          <w:tcPr>
            <w:tcW w:w="1420" w:type="dxa"/>
            <w:vAlign w:val="bottom"/>
            <w:tcBorders>
              <w:bottom w:val="single" w:sz="8" w:color="C6093B"/>
            </w:tcBorders>
          </w:tcPr>
          <w:p>
            <w:pPr>
              <w:jc w:val="right"/>
              <w:ind w:right="164"/>
              <w:spacing w:after="0"/>
              <w:rPr>
                <w:sz w:val="20"/>
                <w:szCs w:val="20"/>
                <w:color w:val="auto"/>
              </w:rPr>
            </w:pPr>
            <w:r>
              <w:rPr>
                <w:rFonts w:ascii="Arial" w:cs="Arial" w:eastAsia="Arial" w:hAnsi="Arial"/>
                <w:sz w:val="14"/>
                <w:szCs w:val="14"/>
                <w:b w:val="1"/>
                <w:bCs w:val="1"/>
                <w:color w:val="002856"/>
              </w:rPr>
              <w:t>awards ($) (b)</w:t>
            </w:r>
          </w:p>
        </w:tc>
        <w:tc>
          <w:tcPr>
            <w:tcW w:w="130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 (c)*</w:t>
            </w:r>
          </w:p>
        </w:tc>
        <w:tc>
          <w:tcPr>
            <w:tcW w:w="15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 (d)</w:t>
            </w:r>
          </w:p>
        </w:tc>
        <w:tc>
          <w:tcPr>
            <w:tcW w:w="1460" w:type="dxa"/>
            <w:vAlign w:val="bottom"/>
            <w:tcBorders>
              <w:bottom w:val="single" w:sz="8" w:color="C6093B"/>
            </w:tcBorders>
          </w:tcPr>
          <w:p>
            <w:pPr>
              <w:jc w:val="right"/>
              <w:ind w:right="464"/>
              <w:spacing w:after="0"/>
              <w:rPr>
                <w:sz w:val="20"/>
                <w:szCs w:val="20"/>
                <w:color w:val="auto"/>
              </w:rPr>
            </w:pPr>
            <w:r>
              <w:rPr>
                <w:rFonts w:ascii="Arial" w:cs="Arial" w:eastAsia="Arial" w:hAnsi="Arial"/>
                <w:sz w:val="14"/>
                <w:szCs w:val="14"/>
                <w:b w:val="1"/>
                <w:bCs w:val="1"/>
                <w:color w:val="002856"/>
              </w:rPr>
              <w:t>($) (e)</w:t>
            </w:r>
          </w:p>
        </w:tc>
        <w:tc>
          <w:tcPr>
            <w:tcW w:w="1560" w:type="dxa"/>
            <w:vAlign w:val="bottom"/>
            <w:tcBorders>
              <w:bottom w:val="single" w:sz="8" w:color="C6093B"/>
            </w:tcBorders>
          </w:tcPr>
          <w:p>
            <w:pPr>
              <w:jc w:val="center"/>
              <w:ind w:left="25"/>
              <w:spacing w:after="0"/>
              <w:rPr>
                <w:sz w:val="20"/>
                <w:szCs w:val="20"/>
                <w:color w:val="auto"/>
              </w:rPr>
            </w:pPr>
            <w:r>
              <w:rPr>
                <w:rFonts w:ascii="Arial" w:cs="Arial" w:eastAsia="Arial" w:hAnsi="Arial"/>
                <w:sz w:val="14"/>
                <w:szCs w:val="14"/>
                <w:b w:val="1"/>
                <w:bCs w:val="1"/>
                <w:color w:val="002856"/>
              </w:rPr>
              <w:t>($) (a - b + c - d + e)</w:t>
            </w:r>
          </w:p>
        </w:tc>
        <w:tc>
          <w:tcPr>
            <w:tcW w:w="0" w:type="dxa"/>
            <w:vAlign w:val="bottom"/>
          </w:tcPr>
          <w:p>
            <w:pPr>
              <w:spacing w:after="0"/>
              <w:rPr>
                <w:sz w:val="1"/>
                <w:szCs w:val="1"/>
                <w:color w:val="auto"/>
              </w:rPr>
            </w:pPr>
          </w:p>
        </w:tc>
      </w:tr>
      <w:tr>
        <w:trPr>
          <w:trHeight w:val="241"/>
        </w:trPr>
        <w:tc>
          <w:tcPr>
            <w:tcW w:w="100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2023</w:t>
            </w:r>
          </w:p>
        </w:tc>
        <w:tc>
          <w:tcPr>
            <w:tcW w:w="208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9,786,745</w:t>
            </w:r>
          </w:p>
        </w:tc>
        <w:tc>
          <w:tcPr>
            <w:tcW w:w="142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2,941,861</w:t>
            </w:r>
          </w:p>
        </w:tc>
        <w:tc>
          <w:tcPr>
            <w:tcW w:w="1300" w:type="dxa"/>
            <w:vAlign w:val="bottom"/>
            <w:tcBorders>
              <w:bottom w:val="single" w:sz="8" w:color="4C4C4C"/>
            </w:tcBorders>
          </w:tcPr>
          <w:p>
            <w:pPr>
              <w:jc w:val="right"/>
              <w:ind w:right="165"/>
              <w:spacing w:after="0"/>
              <w:rPr>
                <w:sz w:val="20"/>
                <w:szCs w:val="20"/>
                <w:color w:val="auto"/>
              </w:rPr>
            </w:pPr>
            <w:r>
              <w:rPr>
                <w:rFonts w:ascii="Arial" w:cs="Arial" w:eastAsia="Arial" w:hAnsi="Arial"/>
                <w:sz w:val="16"/>
                <w:szCs w:val="16"/>
                <w:color w:val="auto"/>
              </w:rPr>
              <w:t>17,021,007</w:t>
            </w:r>
          </w:p>
        </w:tc>
        <w:tc>
          <w:tcPr>
            <w:tcW w:w="1540" w:type="dxa"/>
            <w:vAlign w:val="bottom"/>
            <w:tcBorders>
              <w:bottom w:val="single" w:sz="8" w:color="4C4C4C"/>
            </w:tcBorders>
          </w:tcPr>
          <w:p>
            <w:pPr>
              <w:ind w:left="12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4C4C4C"/>
            </w:tcBorders>
          </w:tcPr>
          <w:p>
            <w:pPr>
              <w:jc w:val="right"/>
              <w:ind w:right="25"/>
              <w:spacing w:after="0"/>
              <w:rPr>
                <w:sz w:val="20"/>
                <w:szCs w:val="20"/>
                <w:color w:val="auto"/>
              </w:rPr>
            </w:pPr>
            <w:r>
              <w:rPr>
                <w:rFonts w:ascii="Arial" w:cs="Arial" w:eastAsia="Arial" w:hAnsi="Arial"/>
                <w:sz w:val="16"/>
                <w:szCs w:val="16"/>
                <w:color w:val="auto"/>
              </w:rPr>
              <w:t>23,865,891</w:t>
            </w:r>
          </w:p>
        </w:tc>
        <w:tc>
          <w:tcPr>
            <w:tcW w:w="0" w:type="dxa"/>
            <w:vAlign w:val="bottom"/>
          </w:tcPr>
          <w:p>
            <w:pPr>
              <w:spacing w:after="0"/>
              <w:rPr>
                <w:sz w:val="1"/>
                <w:szCs w:val="1"/>
                <w:color w:val="auto"/>
              </w:rPr>
            </w:pPr>
          </w:p>
        </w:tc>
      </w:tr>
      <w:tr>
        <w:trPr>
          <w:trHeight w:val="234"/>
        </w:trPr>
        <w:tc>
          <w:tcPr>
            <w:tcW w:w="100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2022</w:t>
            </w:r>
          </w:p>
        </w:tc>
        <w:tc>
          <w:tcPr>
            <w:tcW w:w="208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6,741,633</w:t>
            </w:r>
          </w:p>
        </w:tc>
        <w:tc>
          <w:tcPr>
            <w:tcW w:w="142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2,953,648</w:t>
            </w:r>
          </w:p>
        </w:tc>
        <w:tc>
          <w:tcPr>
            <w:tcW w:w="1300" w:type="dxa"/>
            <w:vAlign w:val="bottom"/>
            <w:tcBorders>
              <w:bottom w:val="single" w:sz="8" w:color="4C4C4C"/>
            </w:tcBorders>
          </w:tcPr>
          <w:p>
            <w:pPr>
              <w:jc w:val="right"/>
              <w:ind w:right="105"/>
              <w:spacing w:after="0"/>
              <w:rPr>
                <w:sz w:val="20"/>
                <w:szCs w:val="20"/>
                <w:color w:val="auto"/>
              </w:rPr>
            </w:pPr>
            <w:r>
              <w:rPr>
                <w:rFonts w:ascii="Arial" w:cs="Arial" w:eastAsia="Arial" w:hAnsi="Arial"/>
                <w:sz w:val="16"/>
                <w:szCs w:val="16"/>
                <w:color w:val="auto"/>
              </w:rPr>
              <w:t>(9,083,748)</w:t>
            </w:r>
          </w:p>
        </w:tc>
        <w:tc>
          <w:tcPr>
            <w:tcW w:w="1540" w:type="dxa"/>
            <w:vAlign w:val="bottom"/>
            <w:tcBorders>
              <w:bottom w:val="single" w:sz="8" w:color="4C4C4C"/>
            </w:tcBorders>
          </w:tcPr>
          <w:p>
            <w:pPr>
              <w:ind w:left="12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4C4C4C"/>
            </w:tcBorders>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(5,295,763)</w:t>
            </w:r>
          </w:p>
        </w:tc>
        <w:tc>
          <w:tcPr>
            <w:tcW w:w="0" w:type="dxa"/>
            <w:vAlign w:val="bottom"/>
          </w:tcPr>
          <w:p>
            <w:pPr>
              <w:spacing w:after="0"/>
              <w:rPr>
                <w:sz w:val="1"/>
                <w:szCs w:val="1"/>
                <w:color w:val="auto"/>
              </w:rPr>
            </w:pPr>
          </w:p>
        </w:tc>
      </w:tr>
      <w:tr>
        <w:trPr>
          <w:trHeight w:val="241"/>
        </w:trPr>
        <w:tc>
          <w:tcPr>
            <w:tcW w:w="1000" w:type="dxa"/>
            <w:vAlign w:val="bottom"/>
            <w:tcBorders>
              <w:bottom w:val="single" w:sz="8" w:color="C6093B"/>
            </w:tcBorders>
          </w:tcPr>
          <w:p>
            <w:pPr>
              <w:ind w:left="60"/>
              <w:spacing w:after="0"/>
              <w:rPr>
                <w:sz w:val="20"/>
                <w:szCs w:val="20"/>
                <w:color w:val="auto"/>
              </w:rPr>
            </w:pPr>
            <w:r>
              <w:rPr>
                <w:rFonts w:ascii="Arial" w:cs="Arial" w:eastAsia="Arial" w:hAnsi="Arial"/>
                <w:sz w:val="16"/>
                <w:szCs w:val="16"/>
                <w:color w:val="auto"/>
              </w:rPr>
              <w:t>2021</w:t>
            </w:r>
          </w:p>
        </w:tc>
        <w:tc>
          <w:tcPr>
            <w:tcW w:w="2080" w:type="dxa"/>
            <w:vAlign w:val="bottom"/>
            <w:tcBorders>
              <w:bottom w:val="single" w:sz="8" w:color="C6093B"/>
            </w:tcBorders>
          </w:tcPr>
          <w:p>
            <w:pPr>
              <w:jc w:val="right"/>
              <w:ind w:right="125"/>
              <w:spacing w:after="0"/>
              <w:rPr>
                <w:sz w:val="20"/>
                <w:szCs w:val="20"/>
                <w:color w:val="auto"/>
              </w:rPr>
            </w:pPr>
            <w:r>
              <w:rPr>
                <w:rFonts w:ascii="Arial" w:cs="Arial" w:eastAsia="Arial" w:hAnsi="Arial"/>
                <w:sz w:val="16"/>
                <w:szCs w:val="16"/>
                <w:color w:val="auto"/>
              </w:rPr>
              <w:t>9,201,035</w:t>
            </w:r>
          </w:p>
        </w:tc>
        <w:tc>
          <w:tcPr>
            <w:tcW w:w="1420" w:type="dxa"/>
            <w:vAlign w:val="bottom"/>
            <w:tcBorders>
              <w:bottom w:val="single" w:sz="8" w:color="C6093B"/>
            </w:tcBorders>
          </w:tcPr>
          <w:p>
            <w:pPr>
              <w:jc w:val="right"/>
              <w:ind w:right="124"/>
              <w:spacing w:after="0"/>
              <w:rPr>
                <w:sz w:val="20"/>
                <w:szCs w:val="20"/>
                <w:color w:val="auto"/>
              </w:rPr>
            </w:pPr>
            <w:r>
              <w:rPr>
                <w:rFonts w:ascii="Arial" w:cs="Arial" w:eastAsia="Arial" w:hAnsi="Arial"/>
                <w:sz w:val="16"/>
                <w:szCs w:val="16"/>
                <w:color w:val="auto"/>
              </w:rPr>
              <w:t>2,940,017</w:t>
            </w:r>
          </w:p>
        </w:tc>
        <w:tc>
          <w:tcPr>
            <w:tcW w:w="1300" w:type="dxa"/>
            <w:vAlign w:val="bottom"/>
            <w:tcBorders>
              <w:bottom w:val="single" w:sz="8" w:color="C6093B"/>
            </w:tcBorders>
          </w:tcPr>
          <w:p>
            <w:pPr>
              <w:jc w:val="right"/>
              <w:ind w:right="165"/>
              <w:spacing w:after="0"/>
              <w:rPr>
                <w:sz w:val="20"/>
                <w:szCs w:val="20"/>
                <w:color w:val="auto"/>
              </w:rPr>
            </w:pPr>
            <w:r>
              <w:rPr>
                <w:rFonts w:ascii="Arial" w:cs="Arial" w:eastAsia="Arial" w:hAnsi="Arial"/>
                <w:sz w:val="16"/>
                <w:szCs w:val="16"/>
                <w:color w:val="auto"/>
              </w:rPr>
              <w:t>26,517,545</w:t>
            </w:r>
          </w:p>
        </w:tc>
        <w:tc>
          <w:tcPr>
            <w:tcW w:w="1540" w:type="dxa"/>
            <w:vAlign w:val="bottom"/>
            <w:tcBorders>
              <w:bottom w:val="single" w:sz="8" w:color="C6093B"/>
            </w:tcBorders>
          </w:tcPr>
          <w:p>
            <w:pPr>
              <w:ind w:left="12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6093B"/>
            </w:tcBorders>
          </w:tcPr>
          <w:p>
            <w:pPr>
              <w:jc w:val="right"/>
              <w:ind w:right="124"/>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6093B"/>
            </w:tcBorders>
          </w:tcPr>
          <w:p>
            <w:pPr>
              <w:jc w:val="right"/>
              <w:ind w:right="25"/>
              <w:spacing w:after="0"/>
              <w:rPr>
                <w:sz w:val="20"/>
                <w:szCs w:val="20"/>
                <w:color w:val="auto"/>
              </w:rPr>
            </w:pPr>
            <w:r>
              <w:rPr>
                <w:rFonts w:ascii="Arial" w:cs="Arial" w:eastAsia="Arial" w:hAnsi="Arial"/>
                <w:sz w:val="16"/>
                <w:szCs w:val="16"/>
                <w:color w:val="auto"/>
              </w:rPr>
              <w:t>32,778,563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The equity award adjustments shown in this column are calculated as follows: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w w:val="99"/>
              </w:rPr>
              <w:t>Value of</w:t>
            </w:r>
          </w:p>
        </w:tc>
        <w:tc>
          <w:tcPr>
            <w:tcW w:w="1120" w:type="dxa"/>
            <w:vAlign w:val="bottom"/>
          </w:tcPr>
          <w:p>
            <w:pPr>
              <w:spacing w:after="0"/>
              <w:rPr>
                <w:sz w:val="14"/>
                <w:szCs w:val="14"/>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dividends or</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other</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Fair value at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earnings paid</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Year over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the end of the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on stock or</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w w:val="99"/>
              </w:rPr>
              <w:t>Year over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Fair value as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change in fair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prior year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option awards</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change 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vesting date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value of equity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equity awards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not otherwise</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jc w:val="center"/>
              <w:ind w:left="205"/>
              <w:spacing w:after="0"/>
              <w:rPr>
                <w:sz w:val="20"/>
                <w:szCs w:val="20"/>
                <w:color w:val="auto"/>
              </w:rPr>
            </w:pPr>
            <w:r>
              <w:rPr>
                <w:rFonts w:ascii="Arial" w:cs="Arial" w:eastAsia="Arial" w:hAnsi="Arial"/>
                <w:sz w:val="14"/>
                <w:szCs w:val="14"/>
                <w:b w:val="1"/>
                <w:bCs w:val="1"/>
                <w:color w:val="002856"/>
              </w:rPr>
              <w:t>Year end fair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fair 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equity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awards granted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that failed to</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reflected in</w:t>
            </w: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1660" w:type="dxa"/>
            <w:vAlign w:val="bottom"/>
          </w:tcPr>
          <w:p>
            <w:pPr>
              <w:jc w:val="center"/>
              <w:ind w:left="225"/>
              <w:spacing w:after="0"/>
              <w:rPr>
                <w:sz w:val="20"/>
                <w:szCs w:val="20"/>
                <w:color w:val="auto"/>
              </w:rPr>
            </w:pPr>
            <w:r>
              <w:rPr>
                <w:rFonts w:ascii="Arial" w:cs="Arial" w:eastAsia="Arial" w:hAnsi="Arial"/>
                <w:sz w:val="14"/>
                <w:szCs w:val="14"/>
                <w:b w:val="1"/>
                <w:bCs w:val="1"/>
                <w:color w:val="002856"/>
              </w:rPr>
              <w:t>value of equity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of outstanding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awards granted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in prior years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meet vesting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fair value 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856"/>
              </w:rPr>
              <w:t>Total equity</w:t>
            </w:r>
          </w:p>
        </w:tc>
      </w:tr>
      <w:tr>
        <w:trPr>
          <w:trHeight w:val="160"/>
        </w:trPr>
        <w:tc>
          <w:tcPr>
            <w:tcW w:w="860" w:type="dxa"/>
            <w:vAlign w:val="bottom"/>
          </w:tcPr>
          <w:p>
            <w:pPr>
              <w:spacing w:after="0"/>
              <w:rPr>
                <w:sz w:val="13"/>
                <w:szCs w:val="13"/>
                <w:color w:val="auto"/>
              </w:rPr>
            </w:pPr>
          </w:p>
        </w:tc>
        <w:tc>
          <w:tcPr>
            <w:tcW w:w="1660" w:type="dxa"/>
            <w:vAlign w:val="bottom"/>
          </w:tcPr>
          <w:p>
            <w:pPr>
              <w:jc w:val="center"/>
              <w:ind w:left="205"/>
              <w:spacing w:after="0"/>
              <w:rPr>
                <w:sz w:val="20"/>
                <w:szCs w:val="20"/>
                <w:color w:val="auto"/>
              </w:rPr>
            </w:pPr>
            <w:r>
              <w:rPr>
                <w:rFonts w:ascii="Arial" w:cs="Arial" w:eastAsia="Arial" w:hAnsi="Arial"/>
                <w:sz w:val="14"/>
                <w:szCs w:val="14"/>
                <w:b w:val="1"/>
                <w:bCs w:val="1"/>
                <w:color w:val="002856"/>
              </w:rPr>
              <w:t>awards granted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and unvested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and vested in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that vested in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conditions in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total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856"/>
                <w:w w:val="98"/>
              </w:rPr>
              <w:t>award</w:t>
            </w:r>
          </w:p>
        </w:tc>
      </w:tr>
      <w:tr>
        <w:trPr>
          <w:trHeight w:val="160"/>
        </w:trPr>
        <w:tc>
          <w:tcPr>
            <w:tcW w:w="860" w:type="dxa"/>
            <w:vAlign w:val="bottom"/>
          </w:tcPr>
          <w:p>
            <w:pPr>
              <w:spacing w:after="0"/>
              <w:rPr>
                <w:sz w:val="13"/>
                <w:szCs w:val="13"/>
                <w:color w:val="auto"/>
              </w:rPr>
            </w:pPr>
          </w:p>
        </w:tc>
        <w:tc>
          <w:tcPr>
            <w:tcW w:w="1660" w:type="dxa"/>
            <w:vAlign w:val="bottom"/>
          </w:tcPr>
          <w:p>
            <w:pPr>
              <w:jc w:val="center"/>
              <w:ind w:left="205"/>
              <w:spacing w:after="0"/>
              <w:rPr>
                <w:sz w:val="20"/>
                <w:szCs w:val="20"/>
                <w:color w:val="auto"/>
              </w:rPr>
            </w:pPr>
            <w:r>
              <w:rPr>
                <w:rFonts w:ascii="Arial" w:cs="Arial" w:eastAsia="Arial" w:hAnsi="Arial"/>
                <w:sz w:val="14"/>
                <w:szCs w:val="14"/>
                <w:b w:val="1"/>
                <w:bCs w:val="1"/>
                <w:color w:val="002856"/>
              </w:rPr>
              <w:t>during the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equity 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the 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the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the year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2856"/>
              </w:rPr>
              <w:t>adjustments</w:t>
            </w:r>
          </w:p>
        </w:tc>
      </w:tr>
      <w:tr>
        <w:trPr>
          <w:trHeight w:val="177"/>
        </w:trPr>
        <w:tc>
          <w:tcPr>
            <w:tcW w:w="860" w:type="dxa"/>
            <w:vAlign w:val="bottom"/>
            <w:tcBorders>
              <w:bottom w:val="single" w:sz="8" w:color="C6093B"/>
            </w:tcBorders>
          </w:tcPr>
          <w:p>
            <w:pPr>
              <w:ind w:left="60"/>
              <w:spacing w:after="0"/>
              <w:rPr>
                <w:sz w:val="20"/>
                <w:szCs w:val="20"/>
                <w:color w:val="auto"/>
              </w:rPr>
            </w:pPr>
            <w:r>
              <w:rPr>
                <w:rFonts w:ascii="Arial" w:cs="Arial" w:eastAsia="Arial" w:hAnsi="Arial"/>
                <w:sz w:val="14"/>
                <w:szCs w:val="14"/>
                <w:b w:val="1"/>
                <w:bCs w:val="1"/>
                <w:color w:val="002856"/>
              </w:rPr>
              <w:t>Year</w:t>
            </w:r>
          </w:p>
        </w:tc>
        <w:tc>
          <w:tcPr>
            <w:tcW w:w="1660" w:type="dxa"/>
            <w:vAlign w:val="bottom"/>
            <w:tcBorders>
              <w:bottom w:val="single" w:sz="8" w:color="C6093B"/>
            </w:tcBorders>
          </w:tcPr>
          <w:p>
            <w:pPr>
              <w:jc w:val="center"/>
              <w:ind w:left="205"/>
              <w:spacing w:after="0"/>
              <w:rPr>
                <w:sz w:val="20"/>
                <w:szCs w:val="20"/>
                <w:color w:val="auto"/>
              </w:rPr>
            </w:pPr>
            <w:r>
              <w:rPr>
                <w:rFonts w:ascii="Arial" w:cs="Arial" w:eastAsia="Arial" w:hAnsi="Arial"/>
                <w:sz w:val="14"/>
                <w:szCs w:val="14"/>
                <w:b w:val="1"/>
                <w:bCs w:val="1"/>
                <w:color w:val="002856"/>
              </w:rPr>
              <w:t>($)</w:t>
            </w:r>
          </w:p>
        </w:tc>
        <w:tc>
          <w:tcPr>
            <w:tcW w:w="13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w:t>
            </w:r>
          </w:p>
        </w:tc>
        <w:tc>
          <w:tcPr>
            <w:tcW w:w="13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4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2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3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1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w:t>
            </w:r>
          </w:p>
        </w:tc>
      </w:tr>
      <w:tr>
        <w:trPr>
          <w:trHeight w:val="241"/>
        </w:trPr>
        <w:tc>
          <w:tcPr>
            <w:tcW w:w="8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2023</w:t>
            </w:r>
          </w:p>
        </w:tc>
        <w:tc>
          <w:tcPr>
            <w:tcW w:w="1660" w:type="dxa"/>
            <w:vAlign w:val="bottom"/>
            <w:tcBorders>
              <w:bottom w:val="single" w:sz="8" w:color="4C4C4C"/>
            </w:tcBorders>
          </w:tcPr>
          <w:p>
            <w:pPr>
              <w:jc w:val="right"/>
              <w:ind w:right="85"/>
              <w:spacing w:after="0"/>
              <w:rPr>
                <w:sz w:val="20"/>
                <w:szCs w:val="20"/>
                <w:color w:val="auto"/>
              </w:rPr>
            </w:pPr>
            <w:r>
              <w:rPr>
                <w:rFonts w:ascii="Arial" w:cs="Arial" w:eastAsia="Arial" w:hAnsi="Arial"/>
                <w:sz w:val="16"/>
                <w:szCs w:val="16"/>
                <w:color w:val="auto"/>
              </w:rPr>
              <w:t>6,473,499</w:t>
            </w:r>
          </w:p>
        </w:tc>
        <w:tc>
          <w:tcPr>
            <w:tcW w:w="1360" w:type="dxa"/>
            <w:vAlign w:val="bottom"/>
            <w:tcBorders>
              <w:bottom w:val="single" w:sz="8" w:color="4C4C4C"/>
            </w:tcBorders>
          </w:tcPr>
          <w:p>
            <w:pPr>
              <w:jc w:val="right"/>
              <w:ind w:right="126"/>
              <w:spacing w:after="0"/>
              <w:rPr>
                <w:sz w:val="20"/>
                <w:szCs w:val="20"/>
                <w:color w:val="auto"/>
              </w:rPr>
            </w:pPr>
            <w:r>
              <w:rPr>
                <w:rFonts w:ascii="Arial" w:cs="Arial" w:eastAsia="Arial" w:hAnsi="Arial"/>
                <w:sz w:val="16"/>
                <w:szCs w:val="16"/>
                <w:color w:val="auto"/>
              </w:rPr>
              <w:t>10,621,261</w:t>
            </w:r>
          </w:p>
        </w:tc>
        <w:tc>
          <w:tcPr>
            <w:tcW w:w="1360" w:type="dxa"/>
            <w:vAlign w:val="bottom"/>
            <w:tcBorders>
              <w:bottom w:val="single" w:sz="8" w:color="4C4C4C"/>
            </w:tcBorders>
          </w:tcPr>
          <w:p>
            <w:pPr>
              <w:ind w:left="10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C4C4C"/>
            </w:tcBorders>
          </w:tcPr>
          <w:p>
            <w:pPr>
              <w:jc w:val="right"/>
              <w:ind w:right="86"/>
              <w:spacing w:after="0"/>
              <w:rPr>
                <w:sz w:val="20"/>
                <w:szCs w:val="20"/>
                <w:color w:val="auto"/>
              </w:rPr>
            </w:pPr>
            <w:r>
              <w:rPr>
                <w:rFonts w:ascii="Arial" w:cs="Arial" w:eastAsia="Arial" w:hAnsi="Arial"/>
                <w:sz w:val="16"/>
                <w:szCs w:val="16"/>
                <w:color w:val="auto"/>
              </w:rPr>
              <w:t>(73,753)</w:t>
            </w:r>
          </w:p>
        </w:tc>
        <w:tc>
          <w:tcPr>
            <w:tcW w:w="1260" w:type="dxa"/>
            <w:vAlign w:val="bottom"/>
            <w:tcBorders>
              <w:bottom w:val="single" w:sz="8" w:color="4C4C4C"/>
            </w:tcBorders>
          </w:tcPr>
          <w:p>
            <w:pPr>
              <w:ind w:left="9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C4C4C"/>
            </w:tcBorders>
          </w:tcPr>
          <w:p>
            <w:pPr>
              <w:ind w:left="9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C4C4C"/>
            </w:tcBorders>
          </w:tcPr>
          <w:p>
            <w:pPr>
              <w:jc w:val="right"/>
              <w:ind w:right="25"/>
              <w:spacing w:after="0"/>
              <w:rPr>
                <w:sz w:val="20"/>
                <w:szCs w:val="20"/>
                <w:color w:val="auto"/>
              </w:rPr>
            </w:pPr>
            <w:r>
              <w:rPr>
                <w:rFonts w:ascii="Arial" w:cs="Arial" w:eastAsia="Arial" w:hAnsi="Arial"/>
                <w:sz w:val="16"/>
                <w:szCs w:val="16"/>
                <w:color w:val="auto"/>
              </w:rPr>
              <w:t>17,021,007</w:t>
            </w:r>
          </w:p>
        </w:tc>
      </w:tr>
      <w:tr>
        <w:trPr>
          <w:trHeight w:val="234"/>
        </w:trPr>
        <w:tc>
          <w:tcPr>
            <w:tcW w:w="8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2022</w:t>
            </w:r>
          </w:p>
        </w:tc>
        <w:tc>
          <w:tcPr>
            <w:tcW w:w="1660" w:type="dxa"/>
            <w:vAlign w:val="bottom"/>
            <w:tcBorders>
              <w:bottom w:val="single" w:sz="8" w:color="4C4C4C"/>
            </w:tcBorders>
          </w:tcPr>
          <w:p>
            <w:pPr>
              <w:jc w:val="right"/>
              <w:ind w:right="85"/>
              <w:spacing w:after="0"/>
              <w:rPr>
                <w:sz w:val="20"/>
                <w:szCs w:val="20"/>
                <w:color w:val="auto"/>
              </w:rPr>
            </w:pPr>
            <w:r>
              <w:rPr>
                <w:rFonts w:ascii="Arial" w:cs="Arial" w:eastAsia="Arial" w:hAnsi="Arial"/>
                <w:sz w:val="16"/>
                <w:szCs w:val="16"/>
                <w:color w:val="auto"/>
              </w:rPr>
              <w:t>2,506,468</w:t>
            </w:r>
          </w:p>
        </w:tc>
        <w:tc>
          <w:tcPr>
            <w:tcW w:w="1360" w:type="dxa"/>
            <w:vAlign w:val="bottom"/>
            <w:tcBorders>
              <w:bottom w:val="single" w:sz="8" w:color="4C4C4C"/>
            </w:tcBorders>
          </w:tcPr>
          <w:p>
            <w:pPr>
              <w:jc w:val="right"/>
              <w:ind w:right="86"/>
              <w:spacing w:after="0"/>
              <w:rPr>
                <w:sz w:val="20"/>
                <w:szCs w:val="20"/>
                <w:color w:val="auto"/>
              </w:rPr>
            </w:pPr>
            <w:r>
              <w:rPr>
                <w:rFonts w:ascii="Arial" w:cs="Arial" w:eastAsia="Arial" w:hAnsi="Arial"/>
                <w:sz w:val="16"/>
                <w:szCs w:val="16"/>
                <w:color w:val="auto"/>
              </w:rPr>
              <w:t>(10,904,630)</w:t>
            </w:r>
          </w:p>
        </w:tc>
        <w:tc>
          <w:tcPr>
            <w:tcW w:w="1360" w:type="dxa"/>
            <w:vAlign w:val="bottom"/>
            <w:tcBorders>
              <w:bottom w:val="single" w:sz="8" w:color="4C4C4C"/>
            </w:tcBorders>
          </w:tcPr>
          <w:p>
            <w:pPr>
              <w:ind w:left="10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4C4C4C"/>
            </w:tcBorders>
          </w:tcPr>
          <w:p>
            <w:pPr>
              <w:jc w:val="right"/>
              <w:ind w:right="86"/>
              <w:spacing w:after="0"/>
              <w:rPr>
                <w:sz w:val="20"/>
                <w:szCs w:val="20"/>
                <w:color w:val="auto"/>
              </w:rPr>
            </w:pPr>
            <w:r>
              <w:rPr>
                <w:rFonts w:ascii="Arial" w:cs="Arial" w:eastAsia="Arial" w:hAnsi="Arial"/>
                <w:sz w:val="16"/>
                <w:szCs w:val="16"/>
                <w:color w:val="auto"/>
              </w:rPr>
              <w:t>(685,586)</w:t>
            </w:r>
          </w:p>
        </w:tc>
        <w:tc>
          <w:tcPr>
            <w:tcW w:w="1260" w:type="dxa"/>
            <w:vAlign w:val="bottom"/>
            <w:tcBorders>
              <w:bottom w:val="single" w:sz="8" w:color="4C4C4C"/>
            </w:tcBorders>
          </w:tcPr>
          <w:p>
            <w:pPr>
              <w:ind w:left="9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C4C4C"/>
            </w:tcBorders>
          </w:tcPr>
          <w:p>
            <w:pPr>
              <w:ind w:left="9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(9,083,748)</w:t>
            </w:r>
          </w:p>
        </w:tc>
      </w:tr>
      <w:tr>
        <w:trPr>
          <w:trHeight w:val="241"/>
        </w:trPr>
        <w:tc>
          <w:tcPr>
            <w:tcW w:w="860" w:type="dxa"/>
            <w:vAlign w:val="bottom"/>
            <w:tcBorders>
              <w:bottom w:val="single" w:sz="8" w:color="C6093B"/>
            </w:tcBorders>
          </w:tcPr>
          <w:p>
            <w:pPr>
              <w:ind w:left="60"/>
              <w:spacing w:after="0"/>
              <w:rPr>
                <w:sz w:val="20"/>
                <w:szCs w:val="20"/>
                <w:color w:val="auto"/>
              </w:rPr>
            </w:pPr>
            <w:r>
              <w:rPr>
                <w:rFonts w:ascii="Arial" w:cs="Arial" w:eastAsia="Arial" w:hAnsi="Arial"/>
                <w:sz w:val="16"/>
                <w:szCs w:val="16"/>
                <w:color w:val="auto"/>
              </w:rPr>
              <w:t>2021</w:t>
            </w:r>
          </w:p>
        </w:tc>
        <w:tc>
          <w:tcPr>
            <w:tcW w:w="1660" w:type="dxa"/>
            <w:vAlign w:val="bottom"/>
            <w:tcBorders>
              <w:bottom w:val="single" w:sz="8" w:color="C6093B"/>
            </w:tcBorders>
          </w:tcPr>
          <w:p>
            <w:pPr>
              <w:jc w:val="right"/>
              <w:ind w:right="85"/>
              <w:spacing w:after="0"/>
              <w:rPr>
                <w:sz w:val="20"/>
                <w:szCs w:val="20"/>
                <w:color w:val="auto"/>
              </w:rPr>
            </w:pPr>
            <w:r>
              <w:rPr>
                <w:rFonts w:ascii="Arial" w:cs="Arial" w:eastAsia="Arial" w:hAnsi="Arial"/>
                <w:sz w:val="16"/>
                <w:szCs w:val="16"/>
                <w:color w:val="auto"/>
              </w:rPr>
              <w:t>7,989,712</w:t>
            </w:r>
          </w:p>
        </w:tc>
        <w:tc>
          <w:tcPr>
            <w:tcW w:w="1360" w:type="dxa"/>
            <w:vAlign w:val="bottom"/>
            <w:tcBorders>
              <w:bottom w:val="single" w:sz="8" w:color="C6093B"/>
            </w:tcBorders>
          </w:tcPr>
          <w:p>
            <w:pPr>
              <w:jc w:val="right"/>
              <w:ind w:right="126"/>
              <w:spacing w:after="0"/>
              <w:rPr>
                <w:sz w:val="20"/>
                <w:szCs w:val="20"/>
                <w:color w:val="auto"/>
              </w:rPr>
            </w:pPr>
            <w:r>
              <w:rPr>
                <w:rFonts w:ascii="Arial" w:cs="Arial" w:eastAsia="Arial" w:hAnsi="Arial"/>
                <w:sz w:val="16"/>
                <w:szCs w:val="16"/>
                <w:color w:val="auto"/>
              </w:rPr>
              <w:t>18,728,632</w:t>
            </w:r>
          </w:p>
        </w:tc>
        <w:tc>
          <w:tcPr>
            <w:tcW w:w="1360" w:type="dxa"/>
            <w:vAlign w:val="bottom"/>
            <w:tcBorders>
              <w:bottom w:val="single" w:sz="8" w:color="C6093B"/>
            </w:tcBorders>
          </w:tcPr>
          <w:p>
            <w:pPr>
              <w:ind w:left="10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6093B"/>
            </w:tcBorders>
          </w:tcPr>
          <w:p>
            <w:pPr>
              <w:jc w:val="right"/>
              <w:ind w:right="86"/>
              <w:spacing w:after="0"/>
              <w:rPr>
                <w:sz w:val="20"/>
                <w:szCs w:val="20"/>
                <w:color w:val="auto"/>
              </w:rPr>
            </w:pPr>
            <w:r>
              <w:rPr>
                <w:rFonts w:ascii="Arial" w:cs="Arial" w:eastAsia="Arial" w:hAnsi="Arial"/>
                <w:sz w:val="16"/>
                <w:szCs w:val="16"/>
                <w:color w:val="auto"/>
              </w:rPr>
              <w:t>(200,798)</w:t>
            </w:r>
          </w:p>
        </w:tc>
        <w:tc>
          <w:tcPr>
            <w:tcW w:w="1260" w:type="dxa"/>
            <w:vAlign w:val="bottom"/>
            <w:tcBorders>
              <w:bottom w:val="single" w:sz="8" w:color="C6093B"/>
            </w:tcBorders>
          </w:tcPr>
          <w:p>
            <w:pPr>
              <w:ind w:left="9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6093B"/>
            </w:tcBorders>
          </w:tcPr>
          <w:p>
            <w:pPr>
              <w:ind w:left="9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6093B"/>
            </w:tcBorders>
          </w:tcPr>
          <w:p>
            <w:pPr>
              <w:jc w:val="right"/>
              <w:ind w:right="25"/>
              <w:spacing w:after="0"/>
              <w:rPr>
                <w:sz w:val="20"/>
                <w:szCs w:val="20"/>
                <w:color w:val="auto"/>
              </w:rPr>
            </w:pPr>
            <w:r>
              <w:rPr>
                <w:rFonts w:ascii="Arial" w:cs="Arial" w:eastAsia="Arial" w:hAnsi="Arial"/>
                <w:sz w:val="16"/>
                <w:szCs w:val="16"/>
                <w:color w:val="auto"/>
              </w:rPr>
              <w:t>26,517,545</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58</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1440"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9020"/>
        <w:spacing w:after="0"/>
        <w:rPr>
          <w:sz w:val="20"/>
          <w:szCs w:val="20"/>
          <w:color w:val="auto"/>
        </w:rPr>
      </w:pPr>
      <w:r>
        <w:rPr>
          <w:rFonts w:ascii="Arial" w:cs="Arial" w:eastAsia="Arial" w:hAnsi="Arial"/>
          <w:sz w:val="14"/>
          <w:szCs w:val="14"/>
          <w:b w:val="1"/>
          <w:bCs w:val="1"/>
          <w:u w:val="single" w:color="auto"/>
          <w:color w:val="002856"/>
        </w:rPr>
        <w:t>PAY VERSUS PERFORMANCE</w:t>
      </w:r>
    </w:p>
    <w:p>
      <w:pPr>
        <w:spacing w:after="0" w:line="138" w:lineRule="exact"/>
        <w:rPr>
          <w:sz w:val="20"/>
          <w:szCs w:val="20"/>
          <w:color w:val="auto"/>
        </w:rPr>
      </w:pPr>
    </w:p>
    <w:p>
      <w:pPr>
        <w:ind w:left="800" w:right="20" w:hanging="205"/>
        <w:spacing w:after="0" w:line="222" w:lineRule="auto"/>
        <w:tabs>
          <w:tab w:leader="none" w:pos="800" w:val="left"/>
        </w:tabs>
        <w:numPr>
          <w:ilvl w:val="0"/>
          <w:numId w:val="54"/>
        </w:numPr>
        <w:rPr>
          <w:rFonts w:ascii="Arial" w:cs="Arial" w:eastAsia="Arial" w:hAnsi="Arial"/>
          <w:sz w:val="16"/>
          <w:szCs w:val="16"/>
          <w:color w:val="auto"/>
          <w:vertAlign w:val="superscript"/>
        </w:rPr>
      </w:pPr>
      <w:r>
        <w:rPr>
          <w:rFonts w:ascii="Arial" w:cs="Arial" w:eastAsia="Arial" w:hAnsi="Arial"/>
          <w:sz w:val="12"/>
          <w:szCs w:val="12"/>
          <w:color w:val="auto"/>
        </w:rPr>
        <w:t>The average Compensation Actually Paid to our Named Executive Officers, other than J. Powell Brown, President and Chief Executive Officer of the Company, for each of the fiscal years ended December 31, 2023, 2022 and 2021, is calculated, as follows.</w:t>
      </w:r>
    </w:p>
    <w:p>
      <w:pPr>
        <w:spacing w:after="0" w:line="21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w w:val="97"/>
              </w:rPr>
              <w:t>Average</w:t>
            </w: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26"/>
              <w:spacing w:after="0"/>
              <w:rPr>
                <w:sz w:val="20"/>
                <w:szCs w:val="20"/>
                <w:color w:val="auto"/>
              </w:rPr>
            </w:pPr>
            <w:r>
              <w:rPr>
                <w:rFonts w:ascii="Arial" w:cs="Arial" w:eastAsia="Arial" w:hAnsi="Arial"/>
                <w:sz w:val="14"/>
                <w:szCs w:val="14"/>
                <w:b w:val="1"/>
                <w:bCs w:val="1"/>
                <w:color w:val="002856"/>
              </w:rPr>
              <w:t>Average</w:t>
            </w: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reported</w:t>
            </w: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06"/>
              <w:spacing w:after="0"/>
              <w:rPr>
                <w:sz w:val="20"/>
                <w:szCs w:val="20"/>
                <w:color w:val="auto"/>
              </w:rPr>
            </w:pPr>
            <w:r>
              <w:rPr>
                <w:rFonts w:ascii="Arial" w:cs="Arial" w:eastAsia="Arial" w:hAnsi="Arial"/>
                <w:sz w:val="14"/>
                <w:szCs w:val="14"/>
                <w:b w:val="1"/>
                <w:bCs w:val="1"/>
                <w:color w:val="002856"/>
              </w:rPr>
              <w:t>reported</w:t>
            </w:r>
          </w:p>
        </w:tc>
        <w:tc>
          <w:tcPr>
            <w:tcW w:w="1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change in</w:t>
            </w: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26"/>
              <w:spacing w:after="0"/>
              <w:rPr>
                <w:sz w:val="20"/>
                <w:szCs w:val="20"/>
                <w:color w:val="auto"/>
              </w:rPr>
            </w:pPr>
            <w:r>
              <w:rPr>
                <w:rFonts w:ascii="Arial" w:cs="Arial" w:eastAsia="Arial" w:hAnsi="Arial"/>
                <w:sz w:val="14"/>
                <w:szCs w:val="14"/>
                <w:b w:val="1"/>
                <w:bCs w:val="1"/>
                <w:color w:val="002856"/>
              </w:rPr>
              <w:t>summary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12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the actuarial</w:t>
            </w:r>
          </w:p>
        </w:tc>
        <w:tc>
          <w:tcPr>
            <w:tcW w:w="1440" w:type="dxa"/>
            <w:vAlign w:val="bottom"/>
          </w:tcPr>
          <w:p>
            <w:pPr>
              <w:spacing w:after="0"/>
              <w:rPr>
                <w:sz w:val="13"/>
                <w:szCs w:val="13"/>
                <w:color w:val="auto"/>
              </w:rPr>
            </w:pPr>
          </w:p>
        </w:tc>
        <w:tc>
          <w:tcPr>
            <w:tcW w:w="1520" w:type="dxa"/>
            <w:vAlign w:val="bottom"/>
          </w:tcPr>
          <w:p>
            <w:pPr>
              <w:jc w:val="center"/>
              <w:ind w:left="85"/>
              <w:spacing w:after="0"/>
              <w:rPr>
                <w:sz w:val="20"/>
                <w:szCs w:val="20"/>
                <w:color w:val="auto"/>
              </w:rPr>
            </w:pPr>
            <w:r>
              <w:rPr>
                <w:rFonts w:ascii="Arial" w:cs="Arial" w:eastAsia="Arial" w:hAnsi="Arial"/>
                <w:sz w:val="14"/>
                <w:szCs w:val="14"/>
                <w:b w:val="1"/>
                <w:bCs w:val="1"/>
                <w:color w:val="002856"/>
              </w:rPr>
              <w:t>Average</w:t>
            </w: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26"/>
              <w:spacing w:after="0"/>
              <w:rPr>
                <w:sz w:val="20"/>
                <w:szCs w:val="20"/>
                <w:color w:val="auto"/>
              </w:rPr>
            </w:pPr>
            <w:r>
              <w:rPr>
                <w:rFonts w:ascii="Arial" w:cs="Arial" w:eastAsia="Arial" w:hAnsi="Arial"/>
                <w:sz w:val="14"/>
                <w:szCs w:val="14"/>
                <w:b w:val="1"/>
                <w:bCs w:val="1"/>
                <w:color w:val="002856"/>
              </w:rPr>
              <w:t>compensation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reported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w w:val="99"/>
              </w:rPr>
              <w:t>present value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1520" w:type="dxa"/>
            <w:vAlign w:val="bottom"/>
          </w:tcPr>
          <w:p>
            <w:pPr>
              <w:jc w:val="center"/>
              <w:ind w:left="85"/>
              <w:spacing w:after="0"/>
              <w:rPr>
                <w:sz w:val="20"/>
                <w:szCs w:val="20"/>
                <w:color w:val="auto"/>
              </w:rPr>
            </w:pPr>
            <w:r>
              <w:rPr>
                <w:rFonts w:ascii="Arial" w:cs="Arial" w:eastAsia="Arial" w:hAnsi="Arial"/>
                <w:sz w:val="14"/>
                <w:szCs w:val="14"/>
                <w:b w:val="1"/>
                <w:bCs w:val="1"/>
                <w:color w:val="002856"/>
              </w:rPr>
              <w:t>compensation</w:t>
            </w: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06"/>
              <w:spacing w:after="0"/>
              <w:rPr>
                <w:sz w:val="20"/>
                <w:szCs w:val="20"/>
                <w:color w:val="auto"/>
              </w:rPr>
            </w:pPr>
            <w:r>
              <w:rPr>
                <w:rFonts w:ascii="Arial" w:cs="Arial" w:eastAsia="Arial" w:hAnsi="Arial"/>
                <w:sz w:val="14"/>
                <w:szCs w:val="14"/>
                <w:b w:val="1"/>
                <w:bCs w:val="1"/>
                <w:color w:val="002856"/>
              </w:rPr>
              <w:t>table total for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value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equity award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of pension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856"/>
              </w:rPr>
              <w:t>pension benefit</w:t>
            </w:r>
          </w:p>
        </w:tc>
        <w:tc>
          <w:tcPr>
            <w:tcW w:w="1520" w:type="dxa"/>
            <w:vAlign w:val="bottom"/>
          </w:tcPr>
          <w:p>
            <w:pPr>
              <w:jc w:val="center"/>
              <w:ind w:left="85"/>
              <w:spacing w:after="0"/>
              <w:rPr>
                <w:sz w:val="20"/>
                <w:szCs w:val="20"/>
                <w:color w:val="auto"/>
              </w:rPr>
            </w:pPr>
            <w:r>
              <w:rPr>
                <w:rFonts w:ascii="Arial" w:cs="Arial" w:eastAsia="Arial" w:hAnsi="Arial"/>
                <w:sz w:val="14"/>
                <w:szCs w:val="14"/>
                <w:b w:val="1"/>
                <w:bCs w:val="1"/>
                <w:color w:val="002856"/>
              </w:rPr>
              <w:t>actually paid to</w:t>
            </w:r>
          </w:p>
        </w:tc>
      </w:tr>
      <w:tr>
        <w:trPr>
          <w:trHeight w:val="160"/>
        </w:trPr>
        <w:tc>
          <w:tcPr>
            <w:tcW w:w="1300" w:type="dxa"/>
            <w:vAlign w:val="bottom"/>
          </w:tcPr>
          <w:p>
            <w:pPr>
              <w:spacing w:after="0"/>
              <w:rPr>
                <w:sz w:val="13"/>
                <w:szCs w:val="13"/>
                <w:color w:val="auto"/>
              </w:rPr>
            </w:pPr>
          </w:p>
        </w:tc>
        <w:tc>
          <w:tcPr>
            <w:tcW w:w="2140" w:type="dxa"/>
            <w:vAlign w:val="bottom"/>
          </w:tcPr>
          <w:p>
            <w:pPr>
              <w:jc w:val="center"/>
              <w:ind w:left="626"/>
              <w:spacing w:after="0"/>
              <w:rPr>
                <w:sz w:val="20"/>
                <w:szCs w:val="20"/>
                <w:color w:val="auto"/>
              </w:rPr>
            </w:pPr>
            <w:r>
              <w:rPr>
                <w:rFonts w:ascii="Arial" w:cs="Arial" w:eastAsia="Arial" w:hAnsi="Arial"/>
                <w:sz w:val="14"/>
                <w:szCs w:val="14"/>
                <w:b w:val="1"/>
                <w:bCs w:val="1"/>
                <w:color w:val="002856"/>
              </w:rPr>
              <w:t>non-CEO NEOs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equity awards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856"/>
              </w:rPr>
              <w:t>adjustments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02856"/>
              </w:rPr>
              <w:t>benefits ($)</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2856"/>
              </w:rPr>
              <w:t>adjustments ($)</w:t>
            </w:r>
          </w:p>
        </w:tc>
        <w:tc>
          <w:tcPr>
            <w:tcW w:w="1520" w:type="dxa"/>
            <w:vAlign w:val="bottom"/>
          </w:tcPr>
          <w:p>
            <w:pPr>
              <w:jc w:val="center"/>
              <w:ind w:left="85"/>
              <w:spacing w:after="0"/>
              <w:rPr>
                <w:sz w:val="20"/>
                <w:szCs w:val="20"/>
                <w:color w:val="auto"/>
              </w:rPr>
            </w:pPr>
            <w:r>
              <w:rPr>
                <w:rFonts w:ascii="Arial" w:cs="Arial" w:eastAsia="Arial" w:hAnsi="Arial"/>
                <w:sz w:val="14"/>
                <w:szCs w:val="14"/>
                <w:b w:val="1"/>
                <w:bCs w:val="1"/>
                <w:color w:val="002856"/>
              </w:rPr>
              <w:t>non-CEO NEOs</w:t>
            </w:r>
          </w:p>
        </w:tc>
      </w:tr>
      <w:tr>
        <w:trPr>
          <w:trHeight w:val="177"/>
        </w:trPr>
        <w:tc>
          <w:tcPr>
            <w:tcW w:w="1300" w:type="dxa"/>
            <w:vAlign w:val="bottom"/>
            <w:tcBorders>
              <w:bottom w:val="single" w:sz="8" w:color="C6093B"/>
            </w:tcBorders>
          </w:tcPr>
          <w:p>
            <w:pPr>
              <w:ind w:left="60"/>
              <w:spacing w:after="0"/>
              <w:rPr>
                <w:sz w:val="20"/>
                <w:szCs w:val="20"/>
                <w:color w:val="auto"/>
              </w:rPr>
            </w:pPr>
            <w:r>
              <w:rPr>
                <w:rFonts w:ascii="Arial" w:cs="Arial" w:eastAsia="Arial" w:hAnsi="Arial"/>
                <w:sz w:val="14"/>
                <w:szCs w:val="14"/>
                <w:b w:val="1"/>
                <w:bCs w:val="1"/>
                <w:color w:val="002856"/>
              </w:rPr>
              <w:t>Year</w:t>
            </w:r>
          </w:p>
        </w:tc>
        <w:tc>
          <w:tcPr>
            <w:tcW w:w="2140" w:type="dxa"/>
            <w:vAlign w:val="bottom"/>
            <w:tcBorders>
              <w:bottom w:val="single" w:sz="8" w:color="C6093B"/>
            </w:tcBorders>
          </w:tcPr>
          <w:p>
            <w:pPr>
              <w:jc w:val="center"/>
              <w:ind w:left="626"/>
              <w:spacing w:after="0"/>
              <w:rPr>
                <w:sz w:val="20"/>
                <w:szCs w:val="20"/>
                <w:color w:val="auto"/>
              </w:rPr>
            </w:pPr>
            <w:r>
              <w:rPr>
                <w:rFonts w:ascii="Arial" w:cs="Arial" w:eastAsia="Arial" w:hAnsi="Arial"/>
                <w:sz w:val="14"/>
                <w:szCs w:val="14"/>
                <w:b w:val="1"/>
                <w:bCs w:val="1"/>
                <w:color w:val="002856"/>
              </w:rPr>
              <w:t>($) (a)</w:t>
            </w:r>
          </w:p>
        </w:tc>
        <w:tc>
          <w:tcPr>
            <w:tcW w:w="13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 (b)</w:t>
            </w:r>
          </w:p>
        </w:tc>
        <w:tc>
          <w:tcPr>
            <w:tcW w:w="12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 (c)*</w:t>
            </w:r>
          </w:p>
        </w:tc>
        <w:tc>
          <w:tcPr>
            <w:tcW w:w="13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(d)</w:t>
            </w:r>
          </w:p>
        </w:tc>
        <w:tc>
          <w:tcPr>
            <w:tcW w:w="144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(e)</w:t>
            </w:r>
          </w:p>
        </w:tc>
        <w:tc>
          <w:tcPr>
            <w:tcW w:w="1520" w:type="dxa"/>
            <w:vAlign w:val="bottom"/>
            <w:tcBorders>
              <w:bottom w:val="single" w:sz="8" w:color="C6093B"/>
            </w:tcBorders>
          </w:tcPr>
          <w:p>
            <w:pPr>
              <w:jc w:val="center"/>
              <w:ind w:left="85"/>
              <w:spacing w:after="0"/>
              <w:rPr>
                <w:sz w:val="20"/>
                <w:szCs w:val="20"/>
                <w:color w:val="auto"/>
              </w:rPr>
            </w:pPr>
            <w:r>
              <w:rPr>
                <w:rFonts w:ascii="Arial" w:cs="Arial" w:eastAsia="Arial" w:hAnsi="Arial"/>
                <w:sz w:val="14"/>
                <w:szCs w:val="14"/>
                <w:b w:val="1"/>
                <w:bCs w:val="1"/>
                <w:color w:val="002856"/>
              </w:rPr>
              <w:t>($) (a - b + c - d + e)</w:t>
            </w:r>
          </w:p>
        </w:tc>
      </w:tr>
      <w:tr>
        <w:trPr>
          <w:trHeight w:val="241"/>
        </w:trPr>
        <w:tc>
          <w:tcPr>
            <w:tcW w:w="130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2023</w:t>
            </w:r>
          </w:p>
        </w:tc>
        <w:tc>
          <w:tcPr>
            <w:tcW w:w="2140" w:type="dxa"/>
            <w:vAlign w:val="bottom"/>
            <w:tcBorders>
              <w:bottom w:val="single" w:sz="8" w:color="4C4C4C"/>
            </w:tcBorders>
          </w:tcPr>
          <w:p>
            <w:pPr>
              <w:jc w:val="right"/>
              <w:ind w:right="126"/>
              <w:spacing w:after="0"/>
              <w:rPr>
                <w:sz w:val="20"/>
                <w:szCs w:val="20"/>
                <w:color w:val="auto"/>
              </w:rPr>
            </w:pPr>
            <w:r>
              <w:rPr>
                <w:rFonts w:ascii="Arial" w:cs="Arial" w:eastAsia="Arial" w:hAnsi="Arial"/>
                <w:sz w:val="16"/>
                <w:szCs w:val="16"/>
                <w:color w:val="auto"/>
              </w:rPr>
              <w:t>3,272,317</w:t>
            </w:r>
          </w:p>
        </w:tc>
        <w:tc>
          <w:tcPr>
            <w:tcW w:w="136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612,845</w:t>
            </w:r>
          </w:p>
        </w:tc>
        <w:tc>
          <w:tcPr>
            <w:tcW w:w="126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2,818,391</w:t>
            </w:r>
          </w:p>
        </w:tc>
        <w:tc>
          <w:tcPr>
            <w:tcW w:w="1340" w:type="dxa"/>
            <w:vAlign w:val="bottom"/>
            <w:tcBorders>
              <w:bottom w:val="single" w:sz="8" w:color="4C4C4C"/>
            </w:tcBorders>
          </w:tcPr>
          <w:p>
            <w:pPr>
              <w:ind w:left="90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5,477,863</w:t>
            </w:r>
          </w:p>
        </w:tc>
      </w:tr>
      <w:tr>
        <w:trPr>
          <w:trHeight w:val="234"/>
        </w:trPr>
        <w:tc>
          <w:tcPr>
            <w:tcW w:w="130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2022</w:t>
            </w:r>
          </w:p>
        </w:tc>
        <w:tc>
          <w:tcPr>
            <w:tcW w:w="2140" w:type="dxa"/>
            <w:vAlign w:val="bottom"/>
            <w:tcBorders>
              <w:bottom w:val="single" w:sz="8" w:color="4C4C4C"/>
            </w:tcBorders>
          </w:tcPr>
          <w:p>
            <w:pPr>
              <w:jc w:val="right"/>
              <w:ind w:right="126"/>
              <w:spacing w:after="0"/>
              <w:rPr>
                <w:sz w:val="20"/>
                <w:szCs w:val="20"/>
                <w:color w:val="auto"/>
              </w:rPr>
            </w:pPr>
            <w:r>
              <w:rPr>
                <w:rFonts w:ascii="Arial" w:cs="Arial" w:eastAsia="Arial" w:hAnsi="Arial"/>
                <w:sz w:val="16"/>
                <w:szCs w:val="16"/>
                <w:color w:val="auto"/>
              </w:rPr>
              <w:t>4,728,133</w:t>
            </w:r>
          </w:p>
        </w:tc>
        <w:tc>
          <w:tcPr>
            <w:tcW w:w="136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2,541,365</w:t>
            </w:r>
          </w:p>
        </w:tc>
        <w:tc>
          <w:tcPr>
            <w:tcW w:w="1260" w:type="dxa"/>
            <w:vAlign w:val="bottom"/>
            <w:tcBorders>
              <w:bottom w:val="single" w:sz="8" w:color="4C4C4C"/>
            </w:tcBorders>
          </w:tcPr>
          <w:p>
            <w:pPr>
              <w:jc w:val="right"/>
              <w:ind w:right="125"/>
              <w:spacing w:after="0"/>
              <w:rPr>
                <w:sz w:val="20"/>
                <w:szCs w:val="20"/>
                <w:color w:val="auto"/>
              </w:rPr>
            </w:pPr>
            <w:r>
              <w:rPr>
                <w:rFonts w:ascii="Arial" w:cs="Arial" w:eastAsia="Arial" w:hAnsi="Arial"/>
                <w:sz w:val="16"/>
                <w:szCs w:val="16"/>
                <w:color w:val="auto"/>
              </w:rPr>
              <w:t>613,501</w:t>
            </w:r>
          </w:p>
        </w:tc>
        <w:tc>
          <w:tcPr>
            <w:tcW w:w="1340" w:type="dxa"/>
            <w:vAlign w:val="bottom"/>
            <w:tcBorders>
              <w:bottom w:val="single" w:sz="8" w:color="4C4C4C"/>
            </w:tcBorders>
          </w:tcPr>
          <w:p>
            <w:pPr>
              <w:ind w:left="90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4C4C4C"/>
            </w:tcBorders>
          </w:tcPr>
          <w:p>
            <w:pPr>
              <w:ind w:left="100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2,800,269</w:t>
            </w:r>
          </w:p>
        </w:tc>
      </w:tr>
      <w:tr>
        <w:trPr>
          <w:trHeight w:val="241"/>
        </w:trPr>
        <w:tc>
          <w:tcPr>
            <w:tcW w:w="1300" w:type="dxa"/>
            <w:vAlign w:val="bottom"/>
            <w:tcBorders>
              <w:bottom w:val="single" w:sz="8" w:color="C6093B"/>
            </w:tcBorders>
          </w:tcPr>
          <w:p>
            <w:pPr>
              <w:ind w:left="60"/>
              <w:spacing w:after="0"/>
              <w:rPr>
                <w:sz w:val="20"/>
                <w:szCs w:val="20"/>
                <w:color w:val="auto"/>
              </w:rPr>
            </w:pPr>
            <w:r>
              <w:rPr>
                <w:rFonts w:ascii="Arial" w:cs="Arial" w:eastAsia="Arial" w:hAnsi="Arial"/>
                <w:sz w:val="16"/>
                <w:szCs w:val="16"/>
                <w:color w:val="auto"/>
              </w:rPr>
              <w:t>2021</w:t>
            </w:r>
          </w:p>
        </w:tc>
        <w:tc>
          <w:tcPr>
            <w:tcW w:w="2140" w:type="dxa"/>
            <w:vAlign w:val="bottom"/>
            <w:tcBorders>
              <w:bottom w:val="single" w:sz="8" w:color="C6093B"/>
            </w:tcBorders>
          </w:tcPr>
          <w:p>
            <w:pPr>
              <w:jc w:val="right"/>
              <w:ind w:right="126"/>
              <w:spacing w:after="0"/>
              <w:rPr>
                <w:sz w:val="20"/>
                <w:szCs w:val="20"/>
                <w:color w:val="auto"/>
              </w:rPr>
            </w:pPr>
            <w:r>
              <w:rPr>
                <w:rFonts w:ascii="Arial" w:cs="Arial" w:eastAsia="Arial" w:hAnsi="Arial"/>
                <w:sz w:val="16"/>
                <w:szCs w:val="16"/>
                <w:color w:val="auto"/>
              </w:rPr>
              <w:t>3,508,148</w:t>
            </w:r>
          </w:p>
        </w:tc>
        <w:tc>
          <w:tcPr>
            <w:tcW w:w="1360" w:type="dxa"/>
            <w:vAlign w:val="bottom"/>
            <w:tcBorders>
              <w:bottom w:val="single" w:sz="8" w:color="C6093B"/>
            </w:tcBorders>
          </w:tcPr>
          <w:p>
            <w:pPr>
              <w:jc w:val="right"/>
              <w:ind w:right="125"/>
              <w:spacing w:after="0"/>
              <w:rPr>
                <w:sz w:val="20"/>
                <w:szCs w:val="20"/>
                <w:color w:val="auto"/>
              </w:rPr>
            </w:pPr>
            <w:r>
              <w:rPr>
                <w:rFonts w:ascii="Arial" w:cs="Arial" w:eastAsia="Arial" w:hAnsi="Arial"/>
                <w:sz w:val="16"/>
                <w:szCs w:val="16"/>
                <w:color w:val="auto"/>
              </w:rPr>
              <w:t>575,709</w:t>
            </w:r>
          </w:p>
        </w:tc>
        <w:tc>
          <w:tcPr>
            <w:tcW w:w="1260" w:type="dxa"/>
            <w:vAlign w:val="bottom"/>
            <w:tcBorders>
              <w:bottom w:val="single" w:sz="8" w:color="C6093B"/>
            </w:tcBorders>
          </w:tcPr>
          <w:p>
            <w:pPr>
              <w:jc w:val="right"/>
              <w:ind w:right="125"/>
              <w:spacing w:after="0"/>
              <w:rPr>
                <w:sz w:val="20"/>
                <w:szCs w:val="20"/>
                <w:color w:val="auto"/>
              </w:rPr>
            </w:pPr>
            <w:r>
              <w:rPr>
                <w:rFonts w:ascii="Arial" w:cs="Arial" w:eastAsia="Arial" w:hAnsi="Arial"/>
                <w:sz w:val="16"/>
                <w:szCs w:val="16"/>
                <w:color w:val="auto"/>
              </w:rPr>
              <w:t>4,006,805</w:t>
            </w:r>
          </w:p>
        </w:tc>
        <w:tc>
          <w:tcPr>
            <w:tcW w:w="1340" w:type="dxa"/>
            <w:vAlign w:val="bottom"/>
            <w:tcBorders>
              <w:bottom w:val="single" w:sz="8" w:color="C6093B"/>
            </w:tcBorders>
          </w:tcPr>
          <w:p>
            <w:pPr>
              <w:ind w:left="90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C6093B"/>
            </w:tcBorders>
          </w:tcPr>
          <w:p>
            <w:pPr>
              <w:ind w:left="100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6,939,244</w:t>
            </w:r>
          </w:p>
        </w:tc>
      </w:tr>
    </w:tbl>
    <w:p>
      <w:pPr>
        <w:spacing w:after="0" w:line="6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 The equity award adjustments shown in this column are calculated as follows:</w:t>
      </w:r>
    </w:p>
    <w:p>
      <w:pPr>
        <w:spacing w:after="0" w:line="245"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w w:val="97"/>
              </w:rPr>
              <w:t>Average</w:t>
            </w:r>
          </w:p>
        </w:tc>
        <w:tc>
          <w:tcPr>
            <w:tcW w:w="1100" w:type="dxa"/>
            <w:vAlign w:val="bottom"/>
          </w:tcPr>
          <w:p>
            <w:pPr>
              <w:spacing w:after="0"/>
              <w:rPr>
                <w:sz w:val="14"/>
                <w:szCs w:val="14"/>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fair 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value of</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w w:val="99"/>
              </w:rPr>
              <w:t>at the end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dividends or</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Average year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w w:val="99"/>
              </w:rPr>
              <w:t>of the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w w:val="97"/>
              </w:rPr>
              <w:t>other</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Average fair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over year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prior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earnings paid</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value as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change in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w w:val="99"/>
              </w:rPr>
              <w:t>of equity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on stock or</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vesting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fair value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awards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w w:val="98"/>
              </w:rPr>
              <w:t>option</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rPr>
              <w:t>Average year over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date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equity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w w:val="99"/>
              </w:rPr>
              <w:t>that failed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awards not</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jc w:val="center"/>
              <w:ind w:left="106"/>
              <w:spacing w:after="0"/>
              <w:rPr>
                <w:sz w:val="20"/>
                <w:szCs w:val="20"/>
                <w:color w:val="auto"/>
              </w:rPr>
            </w:pPr>
            <w:r>
              <w:rPr>
                <w:rFonts w:ascii="Arial" w:cs="Arial" w:eastAsia="Arial" w:hAnsi="Arial"/>
                <w:sz w:val="14"/>
                <w:szCs w:val="14"/>
                <w:b w:val="1"/>
                <w:bCs w:val="1"/>
                <w:color w:val="002856"/>
              </w:rPr>
              <w:t>Average year end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rPr>
              <w:t>year change in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awards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to meet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otherwise</w:t>
            </w:r>
          </w:p>
        </w:tc>
        <w:tc>
          <w:tcPr>
            <w:tcW w:w="1100" w:type="dxa"/>
            <w:vAlign w:val="bottom"/>
          </w:tcPr>
          <w:p>
            <w:pPr>
              <w:spacing w:after="0"/>
              <w:rPr>
                <w:sz w:val="13"/>
                <w:szCs w:val="13"/>
                <w:color w:val="auto"/>
              </w:rPr>
            </w:pPr>
          </w:p>
        </w:tc>
      </w:tr>
      <w:tr>
        <w:trPr>
          <w:trHeight w:val="160"/>
        </w:trPr>
        <w:tc>
          <w:tcPr>
            <w:tcW w:w="820" w:type="dxa"/>
            <w:vAlign w:val="bottom"/>
          </w:tcPr>
          <w:p>
            <w:pPr>
              <w:spacing w:after="0"/>
              <w:rPr>
                <w:sz w:val="13"/>
                <w:szCs w:val="13"/>
                <w:color w:val="auto"/>
              </w:rPr>
            </w:pPr>
          </w:p>
        </w:tc>
        <w:tc>
          <w:tcPr>
            <w:tcW w:w="1760" w:type="dxa"/>
            <w:vAlign w:val="bottom"/>
          </w:tcPr>
          <w:p>
            <w:pPr>
              <w:jc w:val="center"/>
              <w:ind w:left="126"/>
              <w:spacing w:after="0"/>
              <w:rPr>
                <w:sz w:val="20"/>
                <w:szCs w:val="20"/>
                <w:color w:val="auto"/>
              </w:rPr>
            </w:pPr>
            <w:r>
              <w:rPr>
                <w:rFonts w:ascii="Arial" w:cs="Arial" w:eastAsia="Arial" w:hAnsi="Arial"/>
                <w:sz w:val="14"/>
                <w:szCs w:val="14"/>
                <w:b w:val="1"/>
                <w:bCs w:val="1"/>
                <w:color w:val="002856"/>
              </w:rPr>
              <w:t>fair value of</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rPr>
              <w:t>fair value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w w:val="99"/>
              </w:rPr>
              <w:t>awards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granted in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vesting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reflected in</w:t>
            </w:r>
          </w:p>
        </w:tc>
        <w:tc>
          <w:tcPr>
            <w:tcW w:w="1100" w:type="dxa"/>
            <w:vAlign w:val="bottom"/>
          </w:tcPr>
          <w:p>
            <w:pPr>
              <w:jc w:val="center"/>
              <w:ind w:left="65"/>
              <w:spacing w:after="0"/>
              <w:rPr>
                <w:sz w:val="20"/>
                <w:szCs w:val="20"/>
                <w:color w:val="auto"/>
              </w:rPr>
            </w:pPr>
            <w:r>
              <w:rPr>
                <w:rFonts w:ascii="Arial" w:cs="Arial" w:eastAsia="Arial" w:hAnsi="Arial"/>
                <w:sz w:val="14"/>
                <w:szCs w:val="14"/>
                <w:b w:val="1"/>
                <w:bCs w:val="1"/>
                <w:color w:val="002856"/>
              </w:rPr>
              <w:t>Average</w:t>
            </w:r>
          </w:p>
        </w:tc>
      </w:tr>
      <w:tr>
        <w:trPr>
          <w:trHeight w:val="160"/>
        </w:trPr>
        <w:tc>
          <w:tcPr>
            <w:tcW w:w="820" w:type="dxa"/>
            <w:vAlign w:val="bottom"/>
          </w:tcPr>
          <w:p>
            <w:pPr>
              <w:spacing w:after="0"/>
              <w:rPr>
                <w:sz w:val="13"/>
                <w:szCs w:val="13"/>
                <w:color w:val="auto"/>
              </w:rPr>
            </w:pPr>
          </w:p>
        </w:tc>
        <w:tc>
          <w:tcPr>
            <w:tcW w:w="1760" w:type="dxa"/>
            <w:vAlign w:val="bottom"/>
          </w:tcPr>
          <w:p>
            <w:pPr>
              <w:jc w:val="center"/>
              <w:ind w:left="106"/>
              <w:spacing w:after="0"/>
              <w:rPr>
                <w:sz w:val="20"/>
                <w:szCs w:val="20"/>
                <w:color w:val="auto"/>
              </w:rPr>
            </w:pPr>
            <w:r>
              <w:rPr>
                <w:rFonts w:ascii="Arial" w:cs="Arial" w:eastAsia="Arial" w:hAnsi="Arial"/>
                <w:sz w:val="14"/>
                <w:szCs w:val="14"/>
                <w:b w:val="1"/>
                <w:bCs w:val="1"/>
                <w:color w:val="002856"/>
              </w:rPr>
              <w:t>equity awards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rPr>
              <w:t>outstanding and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granted and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prior years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conditions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fair value or</w:t>
            </w:r>
          </w:p>
        </w:tc>
        <w:tc>
          <w:tcPr>
            <w:tcW w:w="1100" w:type="dxa"/>
            <w:vAlign w:val="bottom"/>
          </w:tcPr>
          <w:p>
            <w:pPr>
              <w:jc w:val="center"/>
              <w:ind w:left="65"/>
              <w:spacing w:after="0"/>
              <w:rPr>
                <w:sz w:val="20"/>
                <w:szCs w:val="20"/>
                <w:color w:val="auto"/>
              </w:rPr>
            </w:pPr>
            <w:r>
              <w:rPr>
                <w:rFonts w:ascii="Arial" w:cs="Arial" w:eastAsia="Arial" w:hAnsi="Arial"/>
                <w:sz w:val="14"/>
                <w:szCs w:val="14"/>
                <w:b w:val="1"/>
                <w:bCs w:val="1"/>
                <w:color w:val="002856"/>
              </w:rPr>
              <w:t>total equity</w:t>
            </w:r>
          </w:p>
        </w:tc>
      </w:tr>
      <w:tr>
        <w:trPr>
          <w:trHeight w:val="160"/>
        </w:trPr>
        <w:tc>
          <w:tcPr>
            <w:tcW w:w="820" w:type="dxa"/>
            <w:vAlign w:val="bottom"/>
          </w:tcPr>
          <w:p>
            <w:pPr>
              <w:spacing w:after="0"/>
              <w:rPr>
                <w:sz w:val="13"/>
                <w:szCs w:val="13"/>
                <w:color w:val="auto"/>
              </w:rPr>
            </w:pPr>
          </w:p>
        </w:tc>
        <w:tc>
          <w:tcPr>
            <w:tcW w:w="1760" w:type="dxa"/>
            <w:vAlign w:val="bottom"/>
          </w:tcPr>
          <w:p>
            <w:pPr>
              <w:jc w:val="center"/>
              <w:ind w:left="126"/>
              <w:spacing w:after="0"/>
              <w:rPr>
                <w:sz w:val="20"/>
                <w:szCs w:val="20"/>
                <w:color w:val="auto"/>
              </w:rPr>
            </w:pPr>
            <w:r>
              <w:rPr>
                <w:rFonts w:ascii="Arial" w:cs="Arial" w:eastAsia="Arial" w:hAnsi="Arial"/>
                <w:sz w:val="14"/>
                <w:szCs w:val="14"/>
                <w:b w:val="1"/>
                <w:bCs w:val="1"/>
                <w:color w:val="002856"/>
              </w:rPr>
              <w:t>granted during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rPr>
              <w:t>unvested equity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vested in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that vested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in the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total</w:t>
            </w:r>
          </w:p>
        </w:tc>
        <w:tc>
          <w:tcPr>
            <w:tcW w:w="1100" w:type="dxa"/>
            <w:vAlign w:val="bottom"/>
          </w:tcPr>
          <w:p>
            <w:pPr>
              <w:jc w:val="center"/>
              <w:ind w:left="85"/>
              <w:spacing w:after="0"/>
              <w:rPr>
                <w:sz w:val="20"/>
                <w:szCs w:val="20"/>
                <w:color w:val="auto"/>
              </w:rPr>
            </w:pPr>
            <w:r>
              <w:rPr>
                <w:rFonts w:ascii="Arial" w:cs="Arial" w:eastAsia="Arial" w:hAnsi="Arial"/>
                <w:sz w:val="14"/>
                <w:szCs w:val="14"/>
                <w:b w:val="1"/>
                <w:bCs w:val="1"/>
                <w:color w:val="002856"/>
              </w:rPr>
              <w:t>award</w:t>
            </w:r>
          </w:p>
        </w:tc>
      </w:tr>
      <w:tr>
        <w:trPr>
          <w:trHeight w:val="160"/>
        </w:trPr>
        <w:tc>
          <w:tcPr>
            <w:tcW w:w="820" w:type="dxa"/>
            <w:vAlign w:val="bottom"/>
          </w:tcPr>
          <w:p>
            <w:pPr>
              <w:spacing w:after="0"/>
              <w:rPr>
                <w:sz w:val="13"/>
                <w:szCs w:val="13"/>
                <w:color w:val="auto"/>
              </w:rPr>
            </w:pPr>
          </w:p>
        </w:tc>
        <w:tc>
          <w:tcPr>
            <w:tcW w:w="1760" w:type="dxa"/>
            <w:vAlign w:val="bottom"/>
          </w:tcPr>
          <w:p>
            <w:pPr>
              <w:jc w:val="center"/>
              <w:ind w:left="106"/>
              <w:spacing w:after="0"/>
              <w:rPr>
                <w:sz w:val="20"/>
                <w:szCs w:val="20"/>
                <w:color w:val="auto"/>
              </w:rPr>
            </w:pPr>
            <w:r>
              <w:rPr>
                <w:rFonts w:ascii="Arial" w:cs="Arial" w:eastAsia="Arial" w:hAnsi="Arial"/>
                <w:sz w:val="14"/>
                <w:szCs w:val="14"/>
                <w:b w:val="1"/>
                <w:bCs w:val="1"/>
                <w:color w:val="002856"/>
              </w:rPr>
              <w:t>the year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002856"/>
                <w:w w:val="99"/>
              </w:rPr>
              <w:t>awards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02856"/>
              </w:rPr>
              <w:t>the year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2856"/>
              </w:rPr>
              <w:t>in the year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856"/>
              </w:rPr>
              <w:t>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02856"/>
              </w:rPr>
              <w:t>compensation</w:t>
            </w:r>
          </w:p>
        </w:tc>
        <w:tc>
          <w:tcPr>
            <w:tcW w:w="1100" w:type="dxa"/>
            <w:vAlign w:val="bottom"/>
          </w:tcPr>
          <w:p>
            <w:pPr>
              <w:jc w:val="center"/>
              <w:ind w:left="65"/>
              <w:spacing w:after="0"/>
              <w:rPr>
                <w:sz w:val="20"/>
                <w:szCs w:val="20"/>
                <w:color w:val="auto"/>
              </w:rPr>
            </w:pPr>
            <w:r>
              <w:rPr>
                <w:rFonts w:ascii="Arial" w:cs="Arial" w:eastAsia="Arial" w:hAnsi="Arial"/>
                <w:sz w:val="14"/>
                <w:szCs w:val="14"/>
                <w:b w:val="1"/>
                <w:bCs w:val="1"/>
                <w:color w:val="002856"/>
              </w:rPr>
              <w:t>adjustments</w:t>
            </w:r>
          </w:p>
        </w:tc>
      </w:tr>
      <w:tr>
        <w:trPr>
          <w:trHeight w:val="177"/>
        </w:trPr>
        <w:tc>
          <w:tcPr>
            <w:tcW w:w="820" w:type="dxa"/>
            <w:vAlign w:val="bottom"/>
            <w:tcBorders>
              <w:bottom w:val="single" w:sz="8" w:color="C6093B"/>
            </w:tcBorders>
          </w:tcPr>
          <w:p>
            <w:pPr>
              <w:ind w:left="60"/>
              <w:spacing w:after="0"/>
              <w:rPr>
                <w:sz w:val="20"/>
                <w:szCs w:val="20"/>
                <w:color w:val="auto"/>
              </w:rPr>
            </w:pPr>
            <w:r>
              <w:rPr>
                <w:rFonts w:ascii="Arial" w:cs="Arial" w:eastAsia="Arial" w:hAnsi="Arial"/>
                <w:sz w:val="14"/>
                <w:szCs w:val="14"/>
                <w:b w:val="1"/>
                <w:bCs w:val="1"/>
                <w:color w:val="002856"/>
              </w:rPr>
              <w:t>Year</w:t>
            </w:r>
          </w:p>
        </w:tc>
        <w:tc>
          <w:tcPr>
            <w:tcW w:w="1760" w:type="dxa"/>
            <w:vAlign w:val="bottom"/>
            <w:tcBorders>
              <w:bottom w:val="single" w:sz="8" w:color="C6093B"/>
            </w:tcBorders>
          </w:tcPr>
          <w:p>
            <w:pPr>
              <w:jc w:val="center"/>
              <w:ind w:left="106"/>
              <w:spacing w:after="0"/>
              <w:rPr>
                <w:sz w:val="20"/>
                <w:szCs w:val="20"/>
                <w:color w:val="auto"/>
              </w:rPr>
            </w:pPr>
            <w:r>
              <w:rPr>
                <w:rFonts w:ascii="Arial" w:cs="Arial" w:eastAsia="Arial" w:hAnsi="Arial"/>
                <w:sz w:val="14"/>
                <w:szCs w:val="14"/>
                <w:b w:val="1"/>
                <w:bCs w:val="1"/>
                <w:color w:val="002856"/>
              </w:rPr>
              <w:t>($)</w:t>
            </w:r>
          </w:p>
        </w:tc>
        <w:tc>
          <w:tcPr>
            <w:tcW w:w="168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3"/>
              </w:rPr>
              <w:t>($)</w:t>
            </w:r>
          </w:p>
        </w:tc>
        <w:tc>
          <w:tcPr>
            <w:tcW w:w="12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3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10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36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w:t>
            </w:r>
          </w:p>
        </w:tc>
        <w:tc>
          <w:tcPr>
            <w:tcW w:w="1100" w:type="dxa"/>
            <w:vAlign w:val="bottom"/>
            <w:tcBorders>
              <w:bottom w:val="single" w:sz="8" w:color="C6093B"/>
            </w:tcBorders>
          </w:tcPr>
          <w:p>
            <w:pPr>
              <w:jc w:val="center"/>
              <w:ind w:left="85"/>
              <w:spacing w:after="0"/>
              <w:rPr>
                <w:sz w:val="20"/>
                <w:szCs w:val="20"/>
                <w:color w:val="auto"/>
              </w:rPr>
            </w:pPr>
            <w:r>
              <w:rPr>
                <w:rFonts w:ascii="Arial" w:cs="Arial" w:eastAsia="Arial" w:hAnsi="Arial"/>
                <w:sz w:val="14"/>
                <w:szCs w:val="14"/>
                <w:b w:val="1"/>
                <w:bCs w:val="1"/>
                <w:color w:val="002856"/>
              </w:rPr>
              <w:t>($)</w:t>
            </w:r>
          </w:p>
        </w:tc>
      </w:tr>
      <w:tr>
        <w:trPr>
          <w:trHeight w:val="241"/>
        </w:trPr>
        <w:tc>
          <w:tcPr>
            <w:tcW w:w="82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2023</w:t>
            </w:r>
          </w:p>
        </w:tc>
        <w:tc>
          <w:tcPr>
            <w:tcW w:w="1760" w:type="dxa"/>
            <w:vAlign w:val="bottom"/>
            <w:tcBorders>
              <w:bottom w:val="single" w:sz="8" w:color="4C4C4C"/>
            </w:tcBorders>
          </w:tcPr>
          <w:p>
            <w:pPr>
              <w:jc w:val="right"/>
              <w:ind w:right="126"/>
              <w:spacing w:after="0"/>
              <w:rPr>
                <w:sz w:val="20"/>
                <w:szCs w:val="20"/>
                <w:color w:val="auto"/>
              </w:rPr>
            </w:pPr>
            <w:r>
              <w:rPr>
                <w:rFonts w:ascii="Arial" w:cs="Arial" w:eastAsia="Arial" w:hAnsi="Arial"/>
                <w:sz w:val="16"/>
                <w:szCs w:val="16"/>
                <w:color w:val="auto"/>
              </w:rPr>
              <w:t>1,348,566</w:t>
            </w:r>
          </w:p>
        </w:tc>
        <w:tc>
          <w:tcPr>
            <w:tcW w:w="1680" w:type="dxa"/>
            <w:vAlign w:val="bottom"/>
            <w:tcBorders>
              <w:bottom w:val="single" w:sz="8" w:color="4C4C4C"/>
            </w:tcBorders>
          </w:tcPr>
          <w:p>
            <w:pPr>
              <w:jc w:val="right"/>
              <w:ind w:right="166"/>
              <w:spacing w:after="0"/>
              <w:rPr>
                <w:sz w:val="20"/>
                <w:szCs w:val="20"/>
                <w:color w:val="auto"/>
              </w:rPr>
            </w:pPr>
            <w:r>
              <w:rPr>
                <w:rFonts w:ascii="Arial" w:cs="Arial" w:eastAsia="Arial" w:hAnsi="Arial"/>
                <w:sz w:val="16"/>
                <w:szCs w:val="16"/>
                <w:color w:val="auto"/>
              </w:rPr>
              <w:t>1,483,272</w:t>
            </w:r>
          </w:p>
        </w:tc>
        <w:tc>
          <w:tcPr>
            <w:tcW w:w="1220" w:type="dxa"/>
            <w:vAlign w:val="bottom"/>
            <w:tcBorders>
              <w:bottom w:val="single" w:sz="8" w:color="4C4C4C"/>
            </w:tcBorders>
          </w:tcPr>
          <w:p>
            <w:pPr>
              <w:ind w:left="78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4C4C4C"/>
            </w:tcBorders>
          </w:tcPr>
          <w:p>
            <w:pPr>
              <w:jc w:val="right"/>
              <w:ind w:right="107"/>
              <w:spacing w:after="0"/>
              <w:rPr>
                <w:sz w:val="20"/>
                <w:szCs w:val="20"/>
                <w:color w:val="auto"/>
              </w:rPr>
            </w:pPr>
            <w:r>
              <w:rPr>
                <w:rFonts w:ascii="Arial" w:cs="Arial" w:eastAsia="Arial" w:hAnsi="Arial"/>
                <w:sz w:val="16"/>
                <w:szCs w:val="16"/>
                <w:color w:val="auto"/>
              </w:rPr>
              <w:t>(13,447)</w:t>
            </w:r>
          </w:p>
        </w:tc>
        <w:tc>
          <w:tcPr>
            <w:tcW w:w="1100" w:type="dxa"/>
            <w:vAlign w:val="bottom"/>
            <w:tcBorders>
              <w:bottom w:val="single" w:sz="8" w:color="4C4C4C"/>
            </w:tcBorders>
          </w:tcPr>
          <w:p>
            <w:pPr>
              <w:ind w:left="6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4C4C4C"/>
            </w:tcBorders>
          </w:tcPr>
          <w:p>
            <w:pPr>
              <w:ind w:left="9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2,818,391</w:t>
            </w:r>
          </w:p>
        </w:tc>
      </w:tr>
      <w:tr>
        <w:trPr>
          <w:trHeight w:val="234"/>
        </w:trPr>
        <w:tc>
          <w:tcPr>
            <w:tcW w:w="82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2022</w:t>
            </w:r>
          </w:p>
        </w:tc>
        <w:tc>
          <w:tcPr>
            <w:tcW w:w="1760" w:type="dxa"/>
            <w:vAlign w:val="bottom"/>
            <w:tcBorders>
              <w:bottom w:val="single" w:sz="8" w:color="4C4C4C"/>
            </w:tcBorders>
          </w:tcPr>
          <w:p>
            <w:pPr>
              <w:jc w:val="right"/>
              <w:ind w:right="126"/>
              <w:spacing w:after="0"/>
              <w:rPr>
                <w:sz w:val="20"/>
                <w:szCs w:val="20"/>
                <w:color w:val="auto"/>
              </w:rPr>
            </w:pPr>
            <w:r>
              <w:rPr>
                <w:rFonts w:ascii="Arial" w:cs="Arial" w:eastAsia="Arial" w:hAnsi="Arial"/>
                <w:sz w:val="16"/>
                <w:szCs w:val="16"/>
                <w:color w:val="auto"/>
              </w:rPr>
              <w:t>2,080,633</w:t>
            </w:r>
          </w:p>
        </w:tc>
        <w:tc>
          <w:tcPr>
            <w:tcW w:w="1680" w:type="dxa"/>
            <w:vAlign w:val="bottom"/>
            <w:tcBorders>
              <w:bottom w:val="single" w:sz="8" w:color="4C4C4C"/>
            </w:tcBorders>
          </w:tcPr>
          <w:p>
            <w:pPr>
              <w:jc w:val="right"/>
              <w:ind w:right="106"/>
              <w:spacing w:after="0"/>
              <w:rPr>
                <w:sz w:val="20"/>
                <w:szCs w:val="20"/>
                <w:color w:val="auto"/>
              </w:rPr>
            </w:pPr>
            <w:r>
              <w:rPr>
                <w:rFonts w:ascii="Arial" w:cs="Arial" w:eastAsia="Arial" w:hAnsi="Arial"/>
                <w:sz w:val="16"/>
                <w:szCs w:val="16"/>
                <w:color w:val="auto"/>
              </w:rPr>
              <w:t>(1,255,815)</w:t>
            </w:r>
          </w:p>
        </w:tc>
        <w:tc>
          <w:tcPr>
            <w:tcW w:w="1220" w:type="dxa"/>
            <w:vAlign w:val="bottom"/>
            <w:tcBorders>
              <w:bottom w:val="single" w:sz="8" w:color="4C4C4C"/>
            </w:tcBorders>
          </w:tcPr>
          <w:p>
            <w:pPr>
              <w:ind w:left="78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4C4C4C"/>
            </w:tcBorders>
          </w:tcPr>
          <w:p>
            <w:pPr>
              <w:jc w:val="right"/>
              <w:ind w:right="107"/>
              <w:spacing w:after="0"/>
              <w:rPr>
                <w:sz w:val="20"/>
                <w:szCs w:val="20"/>
                <w:color w:val="auto"/>
              </w:rPr>
            </w:pPr>
            <w:r>
              <w:rPr>
                <w:rFonts w:ascii="Arial" w:cs="Arial" w:eastAsia="Arial" w:hAnsi="Arial"/>
                <w:sz w:val="16"/>
                <w:szCs w:val="16"/>
                <w:color w:val="auto"/>
              </w:rPr>
              <w:t>(211,317)</w:t>
            </w:r>
          </w:p>
        </w:tc>
        <w:tc>
          <w:tcPr>
            <w:tcW w:w="1100" w:type="dxa"/>
            <w:vAlign w:val="bottom"/>
            <w:tcBorders>
              <w:bottom w:val="single" w:sz="8" w:color="4C4C4C"/>
            </w:tcBorders>
          </w:tcPr>
          <w:p>
            <w:pPr>
              <w:ind w:left="6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4C4C4C"/>
            </w:tcBorders>
          </w:tcPr>
          <w:p>
            <w:pPr>
              <w:ind w:left="9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rPr>
              <w:t>613,501</w:t>
            </w:r>
          </w:p>
        </w:tc>
      </w:tr>
      <w:tr>
        <w:trPr>
          <w:trHeight w:val="241"/>
        </w:trPr>
        <w:tc>
          <w:tcPr>
            <w:tcW w:w="820" w:type="dxa"/>
            <w:vAlign w:val="bottom"/>
            <w:tcBorders>
              <w:bottom w:val="single" w:sz="8" w:color="C6093B"/>
            </w:tcBorders>
          </w:tcPr>
          <w:p>
            <w:pPr>
              <w:ind w:left="60"/>
              <w:spacing w:after="0"/>
              <w:rPr>
                <w:sz w:val="20"/>
                <w:szCs w:val="20"/>
                <w:color w:val="auto"/>
              </w:rPr>
            </w:pPr>
            <w:r>
              <w:rPr>
                <w:rFonts w:ascii="Arial" w:cs="Arial" w:eastAsia="Arial" w:hAnsi="Arial"/>
                <w:sz w:val="16"/>
                <w:szCs w:val="16"/>
                <w:color w:val="auto"/>
              </w:rPr>
              <w:t>2021</w:t>
            </w:r>
          </w:p>
        </w:tc>
        <w:tc>
          <w:tcPr>
            <w:tcW w:w="1760" w:type="dxa"/>
            <w:vAlign w:val="bottom"/>
            <w:tcBorders>
              <w:bottom w:val="single" w:sz="8" w:color="C6093B"/>
            </w:tcBorders>
          </w:tcPr>
          <w:p>
            <w:pPr>
              <w:jc w:val="right"/>
              <w:ind w:right="126"/>
              <w:spacing w:after="0"/>
              <w:rPr>
                <w:sz w:val="20"/>
                <w:szCs w:val="20"/>
                <w:color w:val="auto"/>
              </w:rPr>
            </w:pPr>
            <w:r>
              <w:rPr>
                <w:rFonts w:ascii="Arial" w:cs="Arial" w:eastAsia="Arial" w:hAnsi="Arial"/>
                <w:sz w:val="16"/>
                <w:szCs w:val="16"/>
                <w:color w:val="auto"/>
              </w:rPr>
              <w:t>1,564,556</w:t>
            </w:r>
          </w:p>
        </w:tc>
        <w:tc>
          <w:tcPr>
            <w:tcW w:w="1680" w:type="dxa"/>
            <w:vAlign w:val="bottom"/>
            <w:tcBorders>
              <w:bottom w:val="single" w:sz="8" w:color="C6093B"/>
            </w:tcBorders>
          </w:tcPr>
          <w:p>
            <w:pPr>
              <w:jc w:val="right"/>
              <w:ind w:right="166"/>
              <w:spacing w:after="0"/>
              <w:rPr>
                <w:sz w:val="20"/>
                <w:szCs w:val="20"/>
                <w:color w:val="auto"/>
              </w:rPr>
            </w:pPr>
            <w:r>
              <w:rPr>
                <w:rFonts w:ascii="Arial" w:cs="Arial" w:eastAsia="Arial" w:hAnsi="Arial"/>
                <w:sz w:val="16"/>
                <w:szCs w:val="16"/>
                <w:color w:val="auto"/>
              </w:rPr>
              <w:t>2,529,319</w:t>
            </w:r>
          </w:p>
        </w:tc>
        <w:tc>
          <w:tcPr>
            <w:tcW w:w="1220" w:type="dxa"/>
            <w:vAlign w:val="bottom"/>
            <w:tcBorders>
              <w:bottom w:val="single" w:sz="8" w:color="C6093B"/>
            </w:tcBorders>
          </w:tcPr>
          <w:p>
            <w:pPr>
              <w:ind w:left="78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C6093B"/>
            </w:tcBorders>
          </w:tcPr>
          <w:p>
            <w:pPr>
              <w:jc w:val="right"/>
              <w:ind w:right="107"/>
              <w:spacing w:after="0"/>
              <w:rPr>
                <w:sz w:val="20"/>
                <w:szCs w:val="20"/>
                <w:color w:val="auto"/>
              </w:rPr>
            </w:pPr>
            <w:r>
              <w:rPr>
                <w:rFonts w:ascii="Arial" w:cs="Arial" w:eastAsia="Arial" w:hAnsi="Arial"/>
                <w:sz w:val="16"/>
                <w:szCs w:val="16"/>
                <w:color w:val="auto"/>
              </w:rPr>
              <w:t>(87,070)</w:t>
            </w:r>
          </w:p>
        </w:tc>
        <w:tc>
          <w:tcPr>
            <w:tcW w:w="1100" w:type="dxa"/>
            <w:vAlign w:val="bottom"/>
            <w:tcBorders>
              <w:bottom w:val="single" w:sz="8" w:color="C6093B"/>
            </w:tcBorders>
          </w:tcPr>
          <w:p>
            <w:pPr>
              <w:ind w:left="6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6093B"/>
            </w:tcBorders>
          </w:tcPr>
          <w:p>
            <w:pPr>
              <w:ind w:left="9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6093B"/>
            </w:tcBorders>
          </w:tcPr>
          <w:p>
            <w:pPr>
              <w:jc w:val="right"/>
              <w:spacing w:after="0"/>
              <w:rPr>
                <w:sz w:val="20"/>
                <w:szCs w:val="20"/>
                <w:color w:val="auto"/>
              </w:rPr>
            </w:pPr>
            <w:r>
              <w:rPr>
                <w:rFonts w:ascii="Arial" w:cs="Arial" w:eastAsia="Arial" w:hAnsi="Arial"/>
                <w:sz w:val="16"/>
                <w:szCs w:val="16"/>
                <w:color w:val="auto"/>
              </w:rPr>
              <w:t>4,006,805</w:t>
            </w:r>
          </w:p>
        </w:tc>
      </w:tr>
    </w:tbl>
    <w:p>
      <w:pPr>
        <w:spacing w:after="0" w:line="24" w:lineRule="exact"/>
        <w:rPr>
          <w:sz w:val="20"/>
          <w:szCs w:val="20"/>
          <w:color w:val="auto"/>
        </w:rPr>
      </w:pPr>
    </w:p>
    <w:p>
      <w:pPr>
        <w:ind w:left="800" w:hanging="205"/>
        <w:spacing w:after="0"/>
        <w:tabs>
          <w:tab w:leader="none" w:pos="800" w:val="left"/>
        </w:tabs>
        <w:numPr>
          <w:ilvl w:val="0"/>
          <w:numId w:val="55"/>
        </w:numPr>
        <w:rPr>
          <w:rFonts w:ascii="Arial" w:cs="Arial" w:eastAsia="Arial" w:hAnsi="Arial"/>
          <w:sz w:val="16"/>
          <w:szCs w:val="16"/>
          <w:color w:val="auto"/>
          <w:vertAlign w:val="superscript"/>
        </w:rPr>
      </w:pPr>
      <w:r>
        <w:rPr>
          <w:rFonts w:ascii="Arial" w:cs="Arial" w:eastAsia="Arial" w:hAnsi="Arial"/>
          <w:sz w:val="12"/>
          <w:szCs w:val="12"/>
          <w:color w:val="auto"/>
        </w:rPr>
        <w:t>Peer average among Arthur J. Gallagher &amp; Co, Aon plc, Marsh &amp; McLennan Companies and Willis Towers Watson Public Limited Company.</w:t>
      </w:r>
    </w:p>
    <w:p>
      <w:pPr>
        <w:ind w:left="800" w:right="300" w:hanging="205"/>
        <w:spacing w:after="0" w:line="213" w:lineRule="auto"/>
        <w:tabs>
          <w:tab w:leader="none" w:pos="800" w:val="left"/>
        </w:tabs>
        <w:numPr>
          <w:ilvl w:val="0"/>
          <w:numId w:val="55"/>
        </w:numPr>
        <w:rPr>
          <w:rFonts w:ascii="Arial" w:cs="Arial" w:eastAsia="Arial" w:hAnsi="Arial"/>
          <w:sz w:val="16"/>
          <w:szCs w:val="16"/>
          <w:color w:val="auto"/>
          <w:vertAlign w:val="superscript"/>
        </w:rPr>
      </w:pPr>
      <w:r>
        <w:rPr>
          <w:rFonts w:ascii="Arial" w:cs="Arial" w:eastAsia="Arial" w:hAnsi="Arial"/>
          <w:sz w:val="12"/>
          <w:szCs w:val="12"/>
          <w:color w:val="auto"/>
        </w:rPr>
        <w:t xml:space="preserve">See </w:t>
      </w:r>
      <w:r>
        <w:rPr>
          <w:rFonts w:ascii="Arial" w:cs="Arial" w:eastAsia="Arial" w:hAnsi="Arial"/>
          <w:sz w:val="12"/>
          <w:szCs w:val="12"/>
          <w:b w:val="1"/>
          <w:bCs w:val="1"/>
          <w:color w:val="1D4F90"/>
        </w:rPr>
        <w:t>Annex A</w:t>
      </w:r>
      <w:r>
        <w:rPr>
          <w:rFonts w:ascii="Arial" w:cs="Arial" w:eastAsia="Arial" w:hAnsi="Arial"/>
          <w:sz w:val="12"/>
          <w:szCs w:val="12"/>
          <w:color w:val="auto"/>
        </w:rPr>
        <w:t xml:space="preserve"> for additional information regarding Organic Revenue growth, which is a non-GAAP financial measure, including a reconciliation to the most closely comparable GAAP financial measure.</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D4F90"/>
        </w:rPr>
        <w:t>Relationship between Pay and Performance</w:t>
      </w:r>
    </w:p>
    <w:p>
      <w:pPr>
        <w:spacing w:after="0" w:line="124"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In accordance with the SEC’s PVP rules, we are providing the following graphs showing the relationships between information presented in the PVP table. Equity awards constitute a significant portion of compensation for our NEOs, and as a result, CAP will vary based on year-over-year changes in our stock price resulting in appreciation or depreciation in the value of equity awards granted to our NEOs. The value of equity awards will not be realized by the NEOs before any applicable performance goals are satisfied and the awards vest. The ultimate value of such awards is subject to changes in the stock price.</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RELATIONSHIP BETWEEN CAP, AND NET INCOME AND ORGANIC REVENUE GROWTH</w:t>
      </w:r>
    </w:p>
    <w:p>
      <w:pPr>
        <w:spacing w:after="0" w:line="110"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The graph below reflects the relationship between the CEO and average Non-CEO NEO CAP, the Company’s net income and the Company’s Organic Revenue growth for the fiscal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128270</wp:posOffset>
            </wp:positionV>
            <wp:extent cx="5953125" cy="18510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53125" cy="185102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12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59</w:t>
      </w:r>
    </w:p>
    <w:p>
      <w:pPr>
        <w:sectPr>
          <w:pgSz w:w="11900" w:h="16838" w:orient="portrait"/>
          <w:cols w:equalWidth="0" w:num="1">
            <w:col w:w="11080"/>
          </w:cols>
          <w:pgMar w:left="320" w:top="481" w:right="4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002856"/>
        </w:rPr>
        <w:t>PAY VERSUS PERFORMANCE</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D4F90"/>
        </w:rPr>
        <w:t>RELATIONSHIP BETWEEN CAP, AND COMPANY TOTAL SHAREHOLDER RETURN AND PEER GROUP TOTAL SHAREHOLDER RETURN</w:t>
      </w:r>
    </w:p>
    <w:p>
      <w:pPr>
        <w:spacing w:after="0" w:line="110"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graphs below reflect the relationship between the CEO and average Non-CEO NEO CAP, the Company’s total shareholder return (assuming an initial fixed investment of $100) and the peer group’s total shareholder return (assuming an initial fixed investment of $100) for the fiscal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135890</wp:posOffset>
            </wp:positionV>
            <wp:extent cx="5953125" cy="18002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531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2856"/>
        </w:rPr>
        <w:t>60</w:t>
      </w:r>
      <w:r>
        <w:rPr>
          <w:rFonts w:ascii="Arial" w:cs="Arial" w:eastAsia="Arial" w:hAnsi="Arial"/>
          <w:sz w:val="14"/>
          <w:szCs w:val="14"/>
          <w:color w:val="4C4C4C"/>
        </w:rPr>
        <w:t xml:space="preserve">  |  BROWN &amp; BROWN, INC.</w:t>
      </w:r>
    </w:p>
    <w:p>
      <w:pPr>
        <w:sectPr>
          <w:pgSz w:w="11900" w:h="16838" w:orient="portrait"/>
          <w:cols w:equalWidth="0" w:num="1">
            <w:col w:w="11080"/>
          </w:cols>
          <w:pgMar w:left="320" w:top="481"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002856"/>
        </w:rPr>
        <w:t>PAY VERSUS PERFORMANCE</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D4F90"/>
        </w:rPr>
        <w:t>List of Most Important Financial Performance Measures</w:t>
      </w:r>
    </w:p>
    <w:p>
      <w:pPr>
        <w:spacing w:after="0" w:line="124"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color w:val="auto"/>
        </w:rPr>
        <w:t>In accordance with the SEC’s PVP rules, the following tabular list sets forth the financial performance measures the Company has determined are the most important financial performance measures used to link compensation actually paid to Company performance during the last fiscal year:</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2856"/>
        </w:rPr>
        <w:t>Financial 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wp:posOffset>
            </wp:positionV>
            <wp:extent cx="692975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Organic Revenue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Adjusted EBITDAC Margin</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Adjusted EPS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Shareholder Return</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4" w:lineRule="exact"/>
        <w:rPr>
          <w:sz w:val="20"/>
          <w:szCs w:val="20"/>
          <w:color w:val="auto"/>
        </w:rPr>
      </w:pPr>
    </w:p>
    <w:p>
      <w:pPr>
        <w:ind w:left="380" w:right="600" w:hanging="213"/>
        <w:spacing w:after="0" w:line="279"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additional information related to how we link our executive compensation programs to Adjusted EBITDAC Margin, Organic Revenue growth and Adjusted EPS, see “Compensation Discussion and Analysis.”</w:t>
      </w:r>
    </w:p>
    <w:p>
      <w:pPr>
        <w:spacing w:after="0" w:line="26" w:lineRule="exact"/>
        <w:rPr>
          <w:rFonts w:ascii="Arial" w:cs="Arial" w:eastAsia="Arial" w:hAnsi="Arial"/>
          <w:sz w:val="12"/>
          <w:szCs w:val="12"/>
          <w:color w:val="auto"/>
        </w:rPr>
      </w:pPr>
    </w:p>
    <w:p>
      <w:pPr>
        <w:ind w:left="380" w:right="320" w:hanging="213"/>
        <w:spacing w:after="0" w:line="279"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While Total Shareholder Return is not used as one of the metrics tied to the payouts under our incentive plans, the actual value realized under our equity incentive awards is based upon the Company’s Total Shareholder Return (i.e., stock price and dividends paid) over the applicable performance and vesting periods.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61</w:t>
      </w:r>
    </w:p>
    <w:p>
      <w:pPr>
        <w:sectPr>
          <w:pgSz w:w="11900" w:h="16838" w:orient="portrait"/>
          <w:cols w:equalWidth="0" w:num="1">
            <w:col w:w="11080"/>
          </w:cols>
          <w:pgMar w:left="320" w:top="481" w:right="49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Security Ownership of Management and Certain Beneficial Owners</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table sets forth, as of March 4, 2024, the record date for the Meeting, information as to our common stock beneficially owned by (1) each of our directors, all of whom are director nominees, (2) each Named Executive Officer named in the Summary Compensation Table, (3) all of our directors and current executive officers as a group and (4) any person or entity whom we know to be the beneficial owner of more than five percent of the outstanding shares of our common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500" w:type="dxa"/>
            <w:vAlign w:val="bottom"/>
          </w:tcPr>
          <w:p>
            <w:pPr>
              <w:jc w:val="right"/>
              <w:ind w:right="269"/>
              <w:spacing w:after="0"/>
              <w:rPr>
                <w:sz w:val="20"/>
                <w:szCs w:val="20"/>
                <w:color w:val="auto"/>
              </w:rPr>
            </w:pPr>
            <w:r>
              <w:rPr>
                <w:rFonts w:ascii="Arial" w:cs="Arial" w:eastAsia="Arial" w:hAnsi="Arial"/>
                <w:sz w:val="14"/>
                <w:szCs w:val="14"/>
                <w:b w:val="1"/>
                <w:bCs w:val="1"/>
                <w:color w:val="002856"/>
              </w:rPr>
              <w:t>Amount and Nature</w:t>
            </w:r>
          </w:p>
        </w:tc>
        <w:tc>
          <w:tcPr>
            <w:tcW w:w="1120" w:type="dxa"/>
            <w:vAlign w:val="bottom"/>
          </w:tcPr>
          <w:p>
            <w:pPr>
              <w:spacing w:after="0"/>
              <w:rPr>
                <w:sz w:val="14"/>
                <w:szCs w:val="14"/>
                <w:color w:val="auto"/>
              </w:rPr>
            </w:pPr>
          </w:p>
        </w:tc>
      </w:tr>
      <w:tr>
        <w:trPr>
          <w:trHeight w:val="180"/>
        </w:trPr>
        <w:tc>
          <w:tcPr>
            <w:tcW w:w="6300" w:type="dxa"/>
            <w:vAlign w:val="bottom"/>
            <w:tcBorders>
              <w:bottom w:val="single" w:sz="8" w:color="C6093B"/>
            </w:tcBorders>
          </w:tcPr>
          <w:p>
            <w:pPr>
              <w:ind w:left="80"/>
              <w:spacing w:after="0" w:line="174" w:lineRule="exact"/>
              <w:rPr>
                <w:sz w:val="20"/>
                <w:szCs w:val="20"/>
                <w:color w:val="auto"/>
              </w:rPr>
            </w:pPr>
            <w:r>
              <w:rPr>
                <w:rFonts w:ascii="Arial" w:cs="Arial" w:eastAsia="Arial" w:hAnsi="Arial"/>
                <w:sz w:val="14"/>
                <w:szCs w:val="14"/>
                <w:b w:val="1"/>
                <w:bCs w:val="1"/>
                <w:color w:val="002856"/>
              </w:rPr>
              <w:t>Name of Beneficial Owner</w:t>
            </w:r>
            <w:r>
              <w:rPr>
                <w:rFonts w:ascii="Arial" w:cs="Arial" w:eastAsia="Arial" w:hAnsi="Arial"/>
                <w:sz w:val="20"/>
                <w:szCs w:val="20"/>
                <w:b w:val="1"/>
                <w:bCs w:val="1"/>
                <w:color w:val="002856"/>
                <w:vertAlign w:val="superscript"/>
              </w:rPr>
              <w:t>(1)</w:t>
            </w:r>
          </w:p>
        </w:tc>
        <w:tc>
          <w:tcPr>
            <w:tcW w:w="3500" w:type="dxa"/>
            <w:vAlign w:val="bottom"/>
            <w:tcBorders>
              <w:bottom w:val="single" w:sz="8" w:color="C6093B"/>
            </w:tcBorders>
          </w:tcPr>
          <w:p>
            <w:pPr>
              <w:jc w:val="right"/>
              <w:spacing w:after="0" w:line="174" w:lineRule="exact"/>
              <w:rPr>
                <w:sz w:val="20"/>
                <w:szCs w:val="20"/>
                <w:color w:val="auto"/>
              </w:rPr>
            </w:pPr>
            <w:r>
              <w:rPr>
                <w:rFonts w:ascii="Arial" w:cs="Arial" w:eastAsia="Arial" w:hAnsi="Arial"/>
                <w:sz w:val="14"/>
                <w:szCs w:val="14"/>
                <w:b w:val="1"/>
                <w:bCs w:val="1"/>
                <w:color w:val="002856"/>
              </w:rPr>
              <w:t>of Beneficial Ownership</w:t>
            </w:r>
            <w:r>
              <w:rPr>
                <w:rFonts w:ascii="Arial" w:cs="Arial" w:eastAsia="Arial" w:hAnsi="Arial"/>
                <w:sz w:val="20"/>
                <w:szCs w:val="20"/>
                <w:b w:val="1"/>
                <w:bCs w:val="1"/>
                <w:color w:val="002856"/>
                <w:vertAlign w:val="superscript"/>
              </w:rPr>
              <w:t>(2)(3)</w:t>
            </w:r>
          </w:p>
        </w:tc>
        <w:tc>
          <w:tcPr>
            <w:tcW w:w="1120" w:type="dxa"/>
            <w:vAlign w:val="bottom"/>
            <w:tcBorders>
              <w:bottom w:val="single" w:sz="8" w:color="C6093B"/>
            </w:tcBorders>
          </w:tcPr>
          <w:p>
            <w:pPr>
              <w:jc w:val="right"/>
              <w:spacing w:after="0"/>
              <w:rPr>
                <w:sz w:val="20"/>
                <w:szCs w:val="20"/>
                <w:color w:val="auto"/>
              </w:rPr>
            </w:pPr>
            <w:r>
              <w:rPr>
                <w:rFonts w:ascii="Arial" w:cs="Arial" w:eastAsia="Arial" w:hAnsi="Arial"/>
                <w:sz w:val="14"/>
                <w:szCs w:val="14"/>
                <w:b w:val="1"/>
                <w:bCs w:val="1"/>
                <w:color w:val="002856"/>
              </w:rPr>
              <w:t>Percent of Total</w:t>
            </w:r>
          </w:p>
        </w:tc>
      </w:tr>
      <w:tr>
        <w:trPr>
          <w:trHeight w:val="214"/>
        </w:trPr>
        <w:tc>
          <w:tcPr>
            <w:tcW w:w="6300" w:type="dxa"/>
            <w:vAlign w:val="bottom"/>
            <w:tcBorders>
              <w:bottom w:val="single" w:sz="8" w:color="4C4C4C"/>
            </w:tcBorders>
          </w:tcPr>
          <w:p>
            <w:pPr>
              <w:ind w:left="80"/>
              <w:spacing w:after="0" w:line="214" w:lineRule="exact"/>
              <w:rPr>
                <w:sz w:val="20"/>
                <w:szCs w:val="20"/>
                <w:color w:val="auto"/>
              </w:rPr>
            </w:pPr>
            <w:r>
              <w:rPr>
                <w:rFonts w:ascii="Arial" w:cs="Arial" w:eastAsia="Arial" w:hAnsi="Arial"/>
                <w:sz w:val="14"/>
                <w:szCs w:val="14"/>
                <w:b w:val="1"/>
                <w:bCs w:val="1"/>
                <w:color w:val="1D4F90"/>
              </w:rPr>
              <w:t>J. Hyatt Brown</w:t>
            </w:r>
            <w:r>
              <w:rPr>
                <w:rFonts w:ascii="Arial" w:cs="Arial" w:eastAsia="Arial" w:hAnsi="Arial"/>
                <w:sz w:val="21"/>
                <w:szCs w:val="21"/>
                <w:b w:val="1"/>
                <w:bCs w:val="1"/>
                <w:color w:val="1D4F90"/>
                <w:vertAlign w:val="superscript"/>
              </w:rPr>
              <w:t>(4)</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37,736,568</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13.23%</w:t>
            </w:r>
          </w:p>
        </w:tc>
      </w:tr>
      <w:tr>
        <w:trPr>
          <w:trHeight w:val="207"/>
        </w:trPr>
        <w:tc>
          <w:tcPr>
            <w:tcW w:w="6300" w:type="dxa"/>
            <w:vAlign w:val="bottom"/>
            <w:tcBorders>
              <w:bottom w:val="single" w:sz="8" w:color="4C4C4C"/>
            </w:tcBorders>
          </w:tcPr>
          <w:p>
            <w:pPr>
              <w:ind w:left="80"/>
              <w:spacing w:after="0" w:line="208" w:lineRule="exact"/>
              <w:rPr>
                <w:sz w:val="20"/>
                <w:szCs w:val="20"/>
                <w:color w:val="auto"/>
              </w:rPr>
            </w:pPr>
            <w:r>
              <w:rPr>
                <w:rFonts w:ascii="Arial" w:cs="Arial" w:eastAsia="Arial" w:hAnsi="Arial"/>
                <w:sz w:val="14"/>
                <w:szCs w:val="14"/>
                <w:b w:val="1"/>
                <w:bCs w:val="1"/>
                <w:color w:val="1D4F90"/>
              </w:rPr>
              <w:t>J. Powell Brown</w:t>
            </w:r>
            <w:r>
              <w:rPr>
                <w:rFonts w:ascii="Arial" w:cs="Arial" w:eastAsia="Arial" w:hAnsi="Arial"/>
                <w:sz w:val="21"/>
                <w:szCs w:val="21"/>
                <w:b w:val="1"/>
                <w:bCs w:val="1"/>
                <w:color w:val="1D4F90"/>
                <w:vertAlign w:val="superscript"/>
              </w:rPr>
              <w:t>(5)</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5,471,147</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1.92%</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Lawrence L. Gellerstedt III</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18,132</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James C. Hays</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366,048</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Theodore J. Hoepner</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117,076</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James S. Hunt</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22,000</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Toni Jennings</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52,750</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Paul J. Krump</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0%</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Timothy R.M. Main</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30,914</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Bronislaw E. Masojada</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4,000</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Jaymin B. Patel</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1,848</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H. Palmer Proctor, Jr.</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42,946</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Wendell S. Reilly</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232,976</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Kathleen A. Savio</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0%</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Chilton D. Varner</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56,947</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line="208" w:lineRule="exact"/>
              <w:rPr>
                <w:sz w:val="20"/>
                <w:szCs w:val="20"/>
                <w:color w:val="auto"/>
              </w:rPr>
            </w:pPr>
            <w:r>
              <w:rPr>
                <w:rFonts w:ascii="Arial" w:cs="Arial" w:eastAsia="Arial" w:hAnsi="Arial"/>
                <w:sz w:val="14"/>
                <w:szCs w:val="14"/>
                <w:b w:val="1"/>
                <w:bCs w:val="1"/>
                <w:color w:val="1D4F90"/>
              </w:rPr>
              <w:t>P. Barrett Brown</w:t>
            </w:r>
            <w:r>
              <w:rPr>
                <w:rFonts w:ascii="Arial" w:cs="Arial" w:eastAsia="Arial" w:hAnsi="Arial"/>
                <w:sz w:val="21"/>
                <w:szCs w:val="21"/>
                <w:b w:val="1"/>
                <w:bCs w:val="1"/>
                <w:color w:val="1D4F90"/>
                <w:vertAlign w:val="superscript"/>
              </w:rPr>
              <w:t>(6)</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1,424,749</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line="208" w:lineRule="exact"/>
              <w:rPr>
                <w:sz w:val="20"/>
                <w:szCs w:val="20"/>
                <w:color w:val="auto"/>
              </w:rPr>
            </w:pPr>
            <w:r>
              <w:rPr>
                <w:rFonts w:ascii="Arial" w:cs="Arial" w:eastAsia="Arial" w:hAnsi="Arial"/>
                <w:sz w:val="14"/>
                <w:szCs w:val="14"/>
                <w:b w:val="1"/>
                <w:bCs w:val="1"/>
                <w:color w:val="1D4F90"/>
              </w:rPr>
              <w:t>J. Scott Penny</w:t>
            </w:r>
            <w:r>
              <w:rPr>
                <w:rFonts w:ascii="Arial" w:cs="Arial" w:eastAsia="Arial" w:hAnsi="Arial"/>
                <w:sz w:val="21"/>
                <w:szCs w:val="21"/>
                <w:b w:val="1"/>
                <w:bCs w:val="1"/>
                <w:color w:val="1D4F90"/>
                <w:vertAlign w:val="superscript"/>
              </w:rPr>
              <w:t>(7)</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696,958</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Chris L. Walker</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170,077</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D4F90"/>
              </w:rPr>
              <w:t>R. Andrew Watts</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189,798</w:t>
            </w:r>
          </w:p>
        </w:tc>
        <w:tc>
          <w:tcPr>
            <w:tcW w:w="1120" w:type="dxa"/>
            <w:vAlign w:val="bottom"/>
            <w:tcBorders>
              <w:bottom w:val="single" w:sz="8" w:color="4C4C4C"/>
            </w:tcBorders>
          </w:tcPr>
          <w:p>
            <w:pPr>
              <w:jc w:val="right"/>
              <w:ind w:right="269"/>
              <w:spacing w:after="0"/>
              <w:rPr>
                <w:sz w:val="20"/>
                <w:szCs w:val="20"/>
                <w:color w:val="auto"/>
              </w:rPr>
            </w:pPr>
            <w:r>
              <w:rPr>
                <w:rFonts w:ascii="Arial" w:cs="Arial" w:eastAsia="Arial" w:hAnsi="Arial"/>
                <w:sz w:val="14"/>
                <w:szCs w:val="14"/>
                <w:color w:val="auto"/>
              </w:rPr>
              <w:t>*</w:t>
            </w:r>
          </w:p>
        </w:tc>
      </w:tr>
      <w:tr>
        <w:trPr>
          <w:trHeight w:val="207"/>
        </w:trPr>
        <w:tc>
          <w:tcPr>
            <w:tcW w:w="6300" w:type="dxa"/>
            <w:vAlign w:val="bottom"/>
            <w:tcBorders>
              <w:bottom w:val="single" w:sz="8" w:color="4C4C4C"/>
            </w:tcBorders>
          </w:tcPr>
          <w:p>
            <w:pPr>
              <w:ind w:left="80"/>
              <w:spacing w:after="0" w:line="208" w:lineRule="exact"/>
              <w:rPr>
                <w:sz w:val="20"/>
                <w:szCs w:val="20"/>
                <w:color w:val="auto"/>
              </w:rPr>
            </w:pPr>
            <w:r>
              <w:rPr>
                <w:rFonts w:ascii="Arial" w:cs="Arial" w:eastAsia="Arial" w:hAnsi="Arial"/>
                <w:sz w:val="14"/>
                <w:szCs w:val="14"/>
                <w:b w:val="1"/>
                <w:bCs w:val="1"/>
                <w:color w:val="1D4F90"/>
              </w:rPr>
              <w:t>All current directors and executive officers as a group (22 persons)</w:t>
            </w:r>
            <w:r>
              <w:rPr>
                <w:rFonts w:ascii="Arial" w:cs="Arial" w:eastAsia="Arial" w:hAnsi="Arial"/>
                <w:sz w:val="21"/>
                <w:szCs w:val="21"/>
                <w:b w:val="1"/>
                <w:bCs w:val="1"/>
                <w:color w:val="1D4F90"/>
                <w:vertAlign w:val="superscript"/>
              </w:rPr>
              <w:t>(8)</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46,883,117</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16.43%</w:t>
            </w:r>
          </w:p>
        </w:tc>
      </w:tr>
      <w:tr>
        <w:trPr>
          <w:trHeight w:val="198"/>
        </w:trPr>
        <w:tc>
          <w:tcPr>
            <w:tcW w:w="6300" w:type="dxa"/>
            <w:vAlign w:val="bottom"/>
          </w:tcPr>
          <w:p>
            <w:pPr>
              <w:ind w:left="80"/>
              <w:spacing w:after="0" w:line="198" w:lineRule="exact"/>
              <w:rPr>
                <w:sz w:val="20"/>
                <w:szCs w:val="20"/>
                <w:color w:val="auto"/>
              </w:rPr>
            </w:pPr>
            <w:r>
              <w:rPr>
                <w:rFonts w:ascii="Arial" w:cs="Arial" w:eastAsia="Arial" w:hAnsi="Arial"/>
                <w:sz w:val="14"/>
                <w:szCs w:val="14"/>
                <w:b w:val="1"/>
                <w:bCs w:val="1"/>
                <w:color w:val="1D4F90"/>
              </w:rPr>
              <w:t>BlackRock Inc.</w:t>
            </w:r>
            <w:r>
              <w:rPr>
                <w:rFonts w:ascii="Arial" w:cs="Arial" w:eastAsia="Arial" w:hAnsi="Arial"/>
                <w:sz w:val="21"/>
                <w:szCs w:val="21"/>
                <w:b w:val="1"/>
                <w:bCs w:val="1"/>
                <w:color w:val="1D4F90"/>
                <w:vertAlign w:val="superscript"/>
              </w:rPr>
              <w:t>(9)</w:t>
            </w:r>
          </w:p>
        </w:tc>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0"/>
        </w:trPr>
        <w:tc>
          <w:tcPr>
            <w:tcW w:w="6300" w:type="dxa"/>
            <w:vAlign w:val="bottom"/>
          </w:tcPr>
          <w:p>
            <w:pPr>
              <w:ind w:left="100"/>
              <w:spacing w:after="0"/>
              <w:rPr>
                <w:sz w:val="20"/>
                <w:szCs w:val="20"/>
                <w:color w:val="auto"/>
              </w:rPr>
            </w:pPr>
            <w:r>
              <w:rPr>
                <w:rFonts w:ascii="Arial" w:cs="Arial" w:eastAsia="Arial" w:hAnsi="Arial"/>
                <w:sz w:val="14"/>
                <w:szCs w:val="14"/>
                <w:color w:val="auto"/>
              </w:rPr>
              <w:t>50 Hudson Yards</w:t>
            </w:r>
          </w:p>
        </w:tc>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3"/>
        </w:trPr>
        <w:tc>
          <w:tcPr>
            <w:tcW w:w="630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auto"/>
              </w:rPr>
              <w:t>New York, NY 10001</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16,347,696</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5.73%</w:t>
            </w:r>
          </w:p>
        </w:tc>
      </w:tr>
      <w:tr>
        <w:trPr>
          <w:trHeight w:val="198"/>
        </w:trPr>
        <w:tc>
          <w:tcPr>
            <w:tcW w:w="6300" w:type="dxa"/>
            <w:vAlign w:val="bottom"/>
          </w:tcPr>
          <w:p>
            <w:pPr>
              <w:ind w:left="80"/>
              <w:spacing w:after="0" w:line="198" w:lineRule="exact"/>
              <w:rPr>
                <w:sz w:val="20"/>
                <w:szCs w:val="20"/>
                <w:color w:val="auto"/>
              </w:rPr>
            </w:pPr>
            <w:r>
              <w:rPr>
                <w:rFonts w:ascii="Arial" w:cs="Arial" w:eastAsia="Arial" w:hAnsi="Arial"/>
                <w:sz w:val="14"/>
                <w:szCs w:val="14"/>
                <w:b w:val="1"/>
                <w:bCs w:val="1"/>
                <w:color w:val="1D4F90"/>
              </w:rPr>
              <w:t>The Vanguard Group, Inc.</w:t>
            </w:r>
            <w:r>
              <w:rPr>
                <w:rFonts w:ascii="Arial" w:cs="Arial" w:eastAsia="Arial" w:hAnsi="Arial"/>
                <w:sz w:val="21"/>
                <w:szCs w:val="21"/>
                <w:b w:val="1"/>
                <w:bCs w:val="1"/>
                <w:color w:val="1D4F90"/>
                <w:vertAlign w:val="superscript"/>
              </w:rPr>
              <w:t>(10)</w:t>
            </w:r>
          </w:p>
        </w:tc>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0"/>
        </w:trPr>
        <w:tc>
          <w:tcPr>
            <w:tcW w:w="6300" w:type="dxa"/>
            <w:vAlign w:val="bottom"/>
          </w:tcPr>
          <w:p>
            <w:pPr>
              <w:ind w:left="100"/>
              <w:spacing w:after="0"/>
              <w:rPr>
                <w:sz w:val="20"/>
                <w:szCs w:val="20"/>
                <w:color w:val="auto"/>
              </w:rPr>
            </w:pPr>
            <w:r>
              <w:rPr>
                <w:rFonts w:ascii="Arial" w:cs="Arial" w:eastAsia="Arial" w:hAnsi="Arial"/>
                <w:sz w:val="14"/>
                <w:szCs w:val="14"/>
                <w:color w:val="auto"/>
              </w:rPr>
              <w:t>100 Vanguard Boulevard</w:t>
            </w:r>
          </w:p>
        </w:tc>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3"/>
        </w:trPr>
        <w:tc>
          <w:tcPr>
            <w:tcW w:w="6300" w:type="dxa"/>
            <w:vAlign w:val="bottom"/>
            <w:tcBorders>
              <w:bottom w:val="single" w:sz="8" w:color="4C4C4C"/>
            </w:tcBorders>
          </w:tcPr>
          <w:p>
            <w:pPr>
              <w:ind w:left="100"/>
              <w:spacing w:after="0"/>
              <w:rPr>
                <w:sz w:val="20"/>
                <w:szCs w:val="20"/>
                <w:color w:val="auto"/>
              </w:rPr>
            </w:pPr>
            <w:r>
              <w:rPr>
                <w:rFonts w:ascii="Arial" w:cs="Arial" w:eastAsia="Arial" w:hAnsi="Arial"/>
                <w:sz w:val="14"/>
                <w:szCs w:val="14"/>
                <w:color w:val="auto"/>
              </w:rPr>
              <w:t>Malvern, PA 19355</w:t>
            </w:r>
          </w:p>
        </w:tc>
        <w:tc>
          <w:tcPr>
            <w:tcW w:w="3500" w:type="dxa"/>
            <w:vAlign w:val="bottom"/>
            <w:tcBorders>
              <w:bottom w:val="single" w:sz="8" w:color="4C4C4C"/>
            </w:tcBorders>
          </w:tcPr>
          <w:p>
            <w:pPr>
              <w:jc w:val="right"/>
              <w:ind w:right="89"/>
              <w:spacing w:after="0"/>
              <w:rPr>
                <w:sz w:val="20"/>
                <w:szCs w:val="20"/>
                <w:color w:val="auto"/>
              </w:rPr>
            </w:pPr>
            <w:r>
              <w:rPr>
                <w:rFonts w:ascii="Arial" w:cs="Arial" w:eastAsia="Arial" w:hAnsi="Arial"/>
                <w:sz w:val="14"/>
                <w:szCs w:val="14"/>
                <w:color w:val="auto"/>
              </w:rPr>
              <w:t>28,152,200</w:t>
            </w:r>
          </w:p>
        </w:tc>
        <w:tc>
          <w:tcPr>
            <w:tcW w:w="1120" w:type="dxa"/>
            <w:vAlign w:val="bottom"/>
            <w:tcBorders>
              <w:bottom w:val="single" w:sz="8" w:color="4C4C4C"/>
            </w:tcBorders>
          </w:tcPr>
          <w:p>
            <w:pPr>
              <w:jc w:val="right"/>
              <w:ind w:right="129"/>
              <w:spacing w:after="0"/>
              <w:rPr>
                <w:sz w:val="20"/>
                <w:szCs w:val="20"/>
                <w:color w:val="auto"/>
              </w:rPr>
            </w:pPr>
            <w:r>
              <w:rPr>
                <w:rFonts w:ascii="Arial" w:cs="Arial" w:eastAsia="Arial" w:hAnsi="Arial"/>
                <w:sz w:val="14"/>
                <w:szCs w:val="14"/>
                <w:color w:val="auto"/>
              </w:rPr>
              <w:t>9.87%</w:t>
            </w:r>
          </w:p>
        </w:tc>
      </w:tr>
      <w:tr>
        <w:trPr>
          <w:trHeight w:val="198"/>
        </w:trPr>
        <w:tc>
          <w:tcPr>
            <w:tcW w:w="6300" w:type="dxa"/>
            <w:vAlign w:val="bottom"/>
          </w:tcPr>
          <w:p>
            <w:pPr>
              <w:ind w:left="80"/>
              <w:spacing w:after="0" w:line="198" w:lineRule="exact"/>
              <w:rPr>
                <w:sz w:val="20"/>
                <w:szCs w:val="20"/>
                <w:color w:val="auto"/>
              </w:rPr>
            </w:pPr>
            <w:r>
              <w:rPr>
                <w:rFonts w:ascii="Arial" w:cs="Arial" w:eastAsia="Arial" w:hAnsi="Arial"/>
                <w:sz w:val="14"/>
                <w:szCs w:val="14"/>
                <w:b w:val="1"/>
                <w:bCs w:val="1"/>
                <w:color w:val="1D4F90"/>
              </w:rPr>
              <w:t>Select Equity Group, L.P.</w:t>
            </w:r>
            <w:r>
              <w:rPr>
                <w:rFonts w:ascii="Arial" w:cs="Arial" w:eastAsia="Arial" w:hAnsi="Arial"/>
                <w:sz w:val="21"/>
                <w:szCs w:val="21"/>
                <w:b w:val="1"/>
                <w:bCs w:val="1"/>
                <w:color w:val="1D4F90"/>
                <w:vertAlign w:val="superscript"/>
              </w:rPr>
              <w:t>(11)</w:t>
            </w:r>
          </w:p>
        </w:tc>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0"/>
        </w:trPr>
        <w:tc>
          <w:tcPr>
            <w:tcW w:w="6300" w:type="dxa"/>
            <w:vAlign w:val="bottom"/>
          </w:tcPr>
          <w:p>
            <w:pPr>
              <w:ind w:left="100"/>
              <w:spacing w:after="0"/>
              <w:rPr>
                <w:sz w:val="20"/>
                <w:szCs w:val="20"/>
                <w:color w:val="auto"/>
              </w:rPr>
            </w:pPr>
            <w:r>
              <w:rPr>
                <w:rFonts w:ascii="Arial" w:cs="Arial" w:eastAsia="Arial" w:hAnsi="Arial"/>
                <w:sz w:val="14"/>
                <w:szCs w:val="14"/>
                <w:color w:val="auto"/>
              </w:rPr>
              <w:t>380 Lafayette Street, 6th Floor</w:t>
            </w:r>
          </w:p>
        </w:tc>
        <w:tc>
          <w:tcPr>
            <w:tcW w:w="35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0"/>
        </w:trPr>
        <w:tc>
          <w:tcPr>
            <w:tcW w:w="6300" w:type="dxa"/>
            <w:vAlign w:val="bottom"/>
            <w:tcBorders>
              <w:bottom w:val="single" w:sz="8" w:color="C6093B"/>
            </w:tcBorders>
          </w:tcPr>
          <w:p>
            <w:pPr>
              <w:ind w:left="100"/>
              <w:spacing w:after="0"/>
              <w:rPr>
                <w:sz w:val="20"/>
                <w:szCs w:val="20"/>
                <w:color w:val="auto"/>
              </w:rPr>
            </w:pPr>
            <w:r>
              <w:rPr>
                <w:rFonts w:ascii="Arial" w:cs="Arial" w:eastAsia="Arial" w:hAnsi="Arial"/>
                <w:sz w:val="14"/>
                <w:szCs w:val="14"/>
                <w:color w:val="auto"/>
              </w:rPr>
              <w:t>New York, New York 10003</w:t>
            </w:r>
          </w:p>
        </w:tc>
        <w:tc>
          <w:tcPr>
            <w:tcW w:w="3500" w:type="dxa"/>
            <w:vAlign w:val="bottom"/>
            <w:tcBorders>
              <w:bottom w:val="single" w:sz="8" w:color="C6093B"/>
            </w:tcBorders>
          </w:tcPr>
          <w:p>
            <w:pPr>
              <w:jc w:val="right"/>
              <w:ind w:right="89"/>
              <w:spacing w:after="0"/>
              <w:rPr>
                <w:sz w:val="20"/>
                <w:szCs w:val="20"/>
                <w:color w:val="auto"/>
              </w:rPr>
            </w:pPr>
            <w:r>
              <w:rPr>
                <w:rFonts w:ascii="Arial" w:cs="Arial" w:eastAsia="Arial" w:hAnsi="Arial"/>
                <w:sz w:val="14"/>
                <w:szCs w:val="14"/>
                <w:color w:val="auto"/>
              </w:rPr>
              <w:t>14,310,766</w:t>
            </w:r>
          </w:p>
        </w:tc>
        <w:tc>
          <w:tcPr>
            <w:tcW w:w="1120" w:type="dxa"/>
            <w:vAlign w:val="bottom"/>
            <w:tcBorders>
              <w:bottom w:val="single" w:sz="8" w:color="C6093B"/>
            </w:tcBorders>
          </w:tcPr>
          <w:p>
            <w:pPr>
              <w:jc w:val="right"/>
              <w:ind w:right="129"/>
              <w:spacing w:after="0"/>
              <w:rPr>
                <w:sz w:val="20"/>
                <w:szCs w:val="20"/>
                <w:color w:val="auto"/>
              </w:rPr>
            </w:pPr>
            <w:r>
              <w:rPr>
                <w:rFonts w:ascii="Arial" w:cs="Arial" w:eastAsia="Arial" w:hAnsi="Arial"/>
                <w:sz w:val="14"/>
                <w:szCs w:val="14"/>
                <w:color w:val="auto"/>
              </w:rPr>
              <w:t>5.02%</w:t>
            </w:r>
          </w:p>
        </w:tc>
      </w:tr>
    </w:tbl>
    <w:p>
      <w:pPr>
        <w:spacing w:after="0" w:line="62" w:lineRule="exact"/>
        <w:rPr>
          <w:sz w:val="20"/>
          <w:szCs w:val="20"/>
          <w:color w:val="auto"/>
        </w:rPr>
      </w:pPr>
    </w:p>
    <w:p>
      <w:pPr>
        <w:ind w:left="220" w:hanging="213"/>
        <w:spacing w:after="0"/>
        <w:tabs>
          <w:tab w:leader="none" w:pos="2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22" w:lineRule="exact"/>
        <w:rPr>
          <w:sz w:val="20"/>
          <w:szCs w:val="20"/>
          <w:color w:val="auto"/>
        </w:rPr>
      </w:pPr>
    </w:p>
    <w:p>
      <w:pPr>
        <w:ind w:left="220" w:hanging="213"/>
        <w:spacing w:after="0"/>
        <w:tabs>
          <w:tab w:leader="none" w:pos="220" w:val="left"/>
        </w:tabs>
        <w:numPr>
          <w:ilvl w:val="0"/>
          <w:numId w:val="58"/>
        </w:numPr>
        <w:rPr>
          <w:rFonts w:ascii="Arial" w:cs="Arial" w:eastAsia="Arial" w:hAnsi="Arial"/>
          <w:sz w:val="19"/>
          <w:szCs w:val="19"/>
          <w:color w:val="auto"/>
          <w:vertAlign w:val="superscript"/>
        </w:rPr>
      </w:pPr>
      <w:r>
        <w:rPr>
          <w:rFonts w:ascii="Arial" w:cs="Arial" w:eastAsia="Arial" w:hAnsi="Arial"/>
          <w:sz w:val="12"/>
          <w:szCs w:val="12"/>
          <w:color w:val="auto"/>
        </w:rPr>
        <w:t>Unless otherwise indicated, the address of such person is c/o Brown &amp; Brown, Inc., 300 N. Beach St., Daytona Beach, Florida 32114.</w:t>
      </w:r>
    </w:p>
    <w:p>
      <w:pPr>
        <w:spacing w:after="0" w:line="61" w:lineRule="exact"/>
        <w:rPr>
          <w:rFonts w:ascii="Arial" w:cs="Arial" w:eastAsia="Arial" w:hAnsi="Arial"/>
          <w:sz w:val="19"/>
          <w:szCs w:val="19"/>
          <w:color w:val="auto"/>
          <w:vertAlign w:val="superscript"/>
        </w:rPr>
      </w:pPr>
    </w:p>
    <w:p>
      <w:pPr>
        <w:ind w:left="220" w:hanging="213"/>
        <w:spacing w:after="0" w:line="204" w:lineRule="auto"/>
        <w:tabs>
          <w:tab w:leader="none" w:pos="220" w:val="left"/>
        </w:tabs>
        <w:numPr>
          <w:ilvl w:val="0"/>
          <w:numId w:val="58"/>
        </w:numPr>
        <w:rPr>
          <w:rFonts w:ascii="Arial" w:cs="Arial" w:eastAsia="Arial" w:hAnsi="Arial"/>
          <w:sz w:val="19"/>
          <w:szCs w:val="19"/>
          <w:color w:val="auto"/>
          <w:vertAlign w:val="superscript"/>
        </w:rPr>
      </w:pPr>
      <w:r>
        <w:rPr>
          <w:rFonts w:ascii="Arial" w:cs="Arial" w:eastAsia="Arial" w:hAnsi="Arial"/>
          <w:sz w:val="12"/>
          <w:szCs w:val="12"/>
          <w:color w:val="auto"/>
        </w:rPr>
        <w:t>Beneficial ownership of shares, as determined in accordance with applicable SEC rules, includes shares as to which a person has or shares voting power and/or investment power, or as to which a person has the right to acquire beneficial ownership within the next 60 days. We have been informed that all shares shown are held of record with sole voting and investment power, except as otherwise indicated.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62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1440" w:right="49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OTHER IMPORTANT INFORMATION</w:t>
      </w:r>
    </w:p>
    <w:p>
      <w:pPr>
        <w:spacing w:after="0" w:line="138" w:lineRule="exact"/>
        <w:rPr>
          <w:sz w:val="20"/>
          <w:szCs w:val="20"/>
          <w:color w:val="auto"/>
        </w:rPr>
      </w:pPr>
    </w:p>
    <w:p>
      <w:pPr>
        <w:ind w:left="220" w:right="160" w:hanging="213"/>
        <w:spacing w:after="0" w:line="201" w:lineRule="auto"/>
        <w:tabs>
          <w:tab w:leader="none" w:pos="220" w:val="left"/>
        </w:tabs>
        <w:numPr>
          <w:ilvl w:val="0"/>
          <w:numId w:val="59"/>
        </w:numPr>
        <w:rPr>
          <w:rFonts w:ascii="Arial" w:cs="Arial" w:eastAsia="Arial" w:hAnsi="Arial"/>
          <w:sz w:val="19"/>
          <w:szCs w:val="19"/>
          <w:color w:val="auto"/>
          <w:vertAlign w:val="superscript"/>
        </w:rPr>
      </w:pPr>
      <w:r>
        <w:rPr>
          <w:rFonts w:ascii="Arial" w:cs="Arial" w:eastAsia="Arial" w:hAnsi="Arial"/>
          <w:sz w:val="12"/>
          <w:szCs w:val="12"/>
          <w:color w:val="auto"/>
        </w:rPr>
        <w:t>The number and percentage of shares owned by the following persons include the indicated number of shares owned through our 401(k) plan as of March 4, 2024: Mr. Powell Brown – 42,572; Mr. Watts – 0; Mr. James Hays – 590; Mr. Barrett Brown – 10,783; Mr. Penny – 19,461; Mr. Walker – 0 and all current directors and executive officers as a group – 72,406.</w:t>
      </w:r>
    </w:p>
    <w:p>
      <w:pPr>
        <w:spacing w:after="0" w:line="49" w:lineRule="exact"/>
        <w:rPr>
          <w:sz w:val="20"/>
          <w:szCs w:val="20"/>
          <w:color w:val="auto"/>
        </w:rPr>
      </w:pPr>
    </w:p>
    <w:p>
      <w:pPr>
        <w:ind w:left="220" w:right="140" w:hanging="213"/>
        <w:spacing w:after="0" w:line="248" w:lineRule="auto"/>
        <w:tabs>
          <w:tab w:leader="none" w:pos="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number and percentage of shares owned by the following persons also include the indicated number of unvested shares which such persons have been granted under our PSP as of March 4, 2024: Mr. Powell Brown – 32,000; Mr. Watts – 0; Mr. Barrett Brown – 0; Mr. Penny – 0; Mr. Walker – 0 and all current directors and executive officers as a group – 32,000. These PSP shares have voting and dividend rights due to satisfaction of the first condition of vesting based on stock price performance, but the holders thereof currently have no power to sell or dispose of the shares, and the shares are subject to forfeiture.</w:t>
      </w:r>
    </w:p>
    <w:p>
      <w:pPr>
        <w:spacing w:after="0" w:line="44" w:lineRule="exact"/>
        <w:rPr>
          <w:rFonts w:ascii="Arial" w:cs="Arial" w:eastAsia="Arial" w:hAnsi="Arial"/>
          <w:sz w:val="12"/>
          <w:szCs w:val="12"/>
          <w:color w:val="auto"/>
        </w:rPr>
      </w:pPr>
    </w:p>
    <w:p>
      <w:pPr>
        <w:ind w:left="220" w:right="120" w:hanging="213"/>
        <w:spacing w:after="0" w:line="248" w:lineRule="auto"/>
        <w:tabs>
          <w:tab w:leader="none" w:pos="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addition, the number and percentage of shares owned by the following persons also include the indicated number of unvested shares which such persons have been granted under our 2010 SIP and 2019 SIP as of March 4, 2024 and for which the first condition of vesting has been satisfied: Mr. Powell Brown – 489,472; Mr. Watts – 49,252; Mr. Barrett Brown – 31,700; Mr. Penny – 31,700; Mr. Walker – 9,588 and all current directors and executive officers as a group – 664,110. These 2010 SIP and 2019 SIP shares have voting and dividend rights due to satisfaction of the first condition of vesting, but the holders thereof currently have no power to sell or dispose of the shares, and the shares are subject to forfeiture.</w:t>
      </w:r>
    </w:p>
    <w:p>
      <w:pPr>
        <w:spacing w:after="0" w:line="44" w:lineRule="exact"/>
        <w:rPr>
          <w:rFonts w:ascii="Arial" w:cs="Arial" w:eastAsia="Arial" w:hAnsi="Arial"/>
          <w:sz w:val="12"/>
          <w:szCs w:val="12"/>
          <w:color w:val="auto"/>
        </w:rPr>
      </w:pPr>
    </w:p>
    <w:p>
      <w:pPr>
        <w:ind w:left="220" w:right="20" w:hanging="213"/>
        <w:spacing w:after="0" w:line="248" w:lineRule="auto"/>
        <w:tabs>
          <w:tab w:leader="none" w:pos="2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addition, the number and percentage of shares owned by the following persons include the indicated number of unvested shares which such persons have been granted under our 2019 SIP in the form of time-based-only grants as of March 4, 2024: Mr. Powell Brown – 65,114; Mr. Watts – 47,575; Mr. Barrett Brown – 39,911; Mr. Penny – 39,306; Mr. Walker – 5,282 and all current directors and executive officers as a group – 291,161. These time-based only grants have voting and dividend rights, but the holders thereof have no power to sell or dispose of the shares, and the shares are subject to forfeiture in the event that the recipient does not continue to be employed with us for a specified number of years following the date of grant.</w:t>
      </w:r>
    </w:p>
    <w:p>
      <w:pPr>
        <w:spacing w:after="0" w:line="45" w:lineRule="exact"/>
        <w:rPr>
          <w:sz w:val="20"/>
          <w:szCs w:val="20"/>
          <w:color w:val="auto"/>
        </w:rPr>
      </w:pPr>
    </w:p>
    <w:p>
      <w:pPr>
        <w:ind w:left="220" w:hanging="213"/>
        <w:spacing w:after="0"/>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Of the shares beneficially owned by Mr. Hyatt Brown, 37,604,928 are held by Ormond Riverside, Limited Partnership, of which Swakopmund, Inc. is the General Partner that has voting and investment power over such shares. Swakopmund, Inc. is 100% owned by the Swakopmund Trust of 2009, a revocable trust created by Mr. Hyatt Brown, who is the sole trustee thereof and retains the sole voting and investment powers with respect to all the shares of Swakopmund, Inc. An additional 134,640 shares are held in an IRA account. Mr. Hyatt Brown’s ownership excludes 2,054,950 shares held by the James Hyatt Brown Nongrantor Charitable Lead Annuity Trust, of which Mr. Hyatt Brown’s spouse and three children are the trustees and of which his three children are the remainder beneficiaries.</w:t>
      </w:r>
    </w:p>
    <w:p>
      <w:pPr>
        <w:spacing w:after="0" w:line="116" w:lineRule="exact"/>
        <w:rPr>
          <w:rFonts w:ascii="Arial" w:cs="Arial" w:eastAsia="Arial" w:hAnsi="Arial"/>
          <w:sz w:val="19"/>
          <w:szCs w:val="19"/>
          <w:color w:val="auto"/>
          <w:vertAlign w:val="superscript"/>
        </w:rPr>
      </w:pPr>
    </w:p>
    <w:p>
      <w:pPr>
        <w:ind w:left="220" w:right="160" w:hanging="213"/>
        <w:spacing w:after="0" w:line="201" w:lineRule="auto"/>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Mr. Powell Brown’s ownership includes (a) 32,241 shares owned by children living in his household, as to which he disclaims beneficial ownership, and (b) 2,054,950 shares held by the James Hyatt Brown Nongrantor Charitable Lead Annuity Trust, of which Mr. Powell Brown is a trustee and a remainder beneficiary.</w:t>
      </w:r>
    </w:p>
    <w:p>
      <w:pPr>
        <w:spacing w:after="0" w:line="49" w:lineRule="exact"/>
        <w:rPr>
          <w:rFonts w:ascii="Arial" w:cs="Arial" w:eastAsia="Arial" w:hAnsi="Arial"/>
          <w:sz w:val="19"/>
          <w:szCs w:val="19"/>
          <w:color w:val="auto"/>
          <w:vertAlign w:val="superscript"/>
        </w:rPr>
      </w:pPr>
    </w:p>
    <w:p>
      <w:pPr>
        <w:ind w:left="220" w:right="120" w:hanging="213"/>
        <w:spacing w:after="0" w:line="209" w:lineRule="auto"/>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Mr. Barrett Brown’s ownership (a) includes (i) 2,324 shares owned by children living in his household, as to which he disclaims beneficial ownership, and (ii) 90,000 shares pledged as collateral for a credit facility extended by a bank to Mr. Barrett Brown and (b) excludes 2,054,950 shares held by the James Hyatt Brown Nongrantor Charitable Lead Annuity Trust, of which Mr. Barrett Brown is a trustee and a remainder beneficiary.</w:t>
      </w:r>
    </w:p>
    <w:p>
      <w:pPr>
        <w:spacing w:after="0" w:line="1" w:lineRule="exact"/>
        <w:rPr>
          <w:rFonts w:ascii="Arial" w:cs="Arial" w:eastAsia="Arial" w:hAnsi="Arial"/>
          <w:sz w:val="19"/>
          <w:szCs w:val="19"/>
          <w:color w:val="auto"/>
          <w:vertAlign w:val="superscript"/>
        </w:rPr>
      </w:pPr>
    </w:p>
    <w:p>
      <w:pPr>
        <w:ind w:left="220" w:hanging="213"/>
        <w:spacing w:after="0" w:line="235" w:lineRule="auto"/>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Mr. Penny’s ownership includes 192 shares owned by children living in his household, as to which he disclaims beneficial ownership, and 357,056 shares owned jointly with spouse.</w:t>
      </w:r>
    </w:p>
    <w:p>
      <w:pPr>
        <w:spacing w:after="0" w:line="61" w:lineRule="exact"/>
        <w:rPr>
          <w:rFonts w:ascii="Arial" w:cs="Arial" w:eastAsia="Arial" w:hAnsi="Arial"/>
          <w:sz w:val="19"/>
          <w:szCs w:val="19"/>
          <w:color w:val="auto"/>
          <w:vertAlign w:val="superscript"/>
        </w:rPr>
      </w:pPr>
    </w:p>
    <w:p>
      <w:pPr>
        <w:ind w:left="220" w:hanging="213"/>
        <w:spacing w:after="0" w:line="187" w:lineRule="auto"/>
        <w:tabs>
          <w:tab w:leader="none" w:pos="22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Includes amounts beneficially owned by all our current directors and executive officers as of March 4, 2024, as a group.</w:t>
      </w:r>
    </w:p>
    <w:p>
      <w:pPr>
        <w:spacing w:after="0" w:line="61" w:lineRule="exact"/>
        <w:rPr>
          <w:rFonts w:ascii="Arial" w:cs="Arial" w:eastAsia="Arial" w:hAnsi="Arial"/>
          <w:sz w:val="17"/>
          <w:szCs w:val="17"/>
          <w:color w:val="auto"/>
          <w:vertAlign w:val="superscript"/>
        </w:rPr>
      </w:pPr>
    </w:p>
    <w:p>
      <w:pPr>
        <w:ind w:left="220" w:right="280" w:hanging="213"/>
        <w:spacing w:after="0" w:line="204" w:lineRule="auto"/>
        <w:tabs>
          <w:tab w:leader="none" w:pos="22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The amount shown is derived from a Schedule 13G/A filed by BlackRock, Inc. (“BlackRock”) on January 29, 2024 reporting beneficial ownership as of December 31, 2023. According to the Schedule 13G/A, BlackRock has sole voting power over 14,900,536 shares, shared voting power over 0 shares, sole dispositive power over 16,347,696 shares and shared dispositive power over 0 shares.</w:t>
      </w:r>
    </w:p>
    <w:p>
      <w:pPr>
        <w:spacing w:after="0" w:line="49" w:lineRule="exact"/>
        <w:rPr>
          <w:rFonts w:ascii="Arial" w:cs="Arial" w:eastAsia="Arial" w:hAnsi="Arial"/>
          <w:sz w:val="19"/>
          <w:szCs w:val="19"/>
          <w:color w:val="auto"/>
          <w:vertAlign w:val="superscript"/>
        </w:rPr>
      </w:pPr>
    </w:p>
    <w:p>
      <w:pPr>
        <w:ind w:left="220" w:right="60" w:hanging="213"/>
        <w:spacing w:after="0"/>
        <w:tabs>
          <w:tab w:leader="none" w:pos="22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The amount shown is derived from a Schedule 13G/A filed by The Vanguard Group (“Vanguard”) on February 13, 2024 reporting beneficial ownership as of December 29, 2023. According to the Schedule 13G/A, Vanguard has sole voting power over 0 shares, shared voting power over 303,727 shares, sole dispositive power over 27,147,404 shares and shared dispositive power over 1,004,796 shares.</w:t>
      </w:r>
    </w:p>
    <w:p>
      <w:pPr>
        <w:spacing w:after="0" w:line="159" w:lineRule="exact"/>
        <w:rPr>
          <w:rFonts w:ascii="Arial" w:cs="Arial" w:eastAsia="Arial" w:hAnsi="Arial"/>
          <w:sz w:val="17"/>
          <w:szCs w:val="17"/>
          <w:color w:val="auto"/>
          <w:vertAlign w:val="superscript"/>
        </w:rPr>
      </w:pPr>
    </w:p>
    <w:p>
      <w:pPr>
        <w:ind w:left="220" w:right="120" w:hanging="213"/>
        <w:spacing w:after="0"/>
        <w:tabs>
          <w:tab w:leader="none" w:pos="220" w:val="left"/>
        </w:tabs>
        <w:numPr>
          <w:ilvl w:val="0"/>
          <w:numId w:val="61"/>
        </w:numPr>
        <w:rPr>
          <w:rFonts w:ascii="Arial" w:cs="Arial" w:eastAsia="Arial" w:hAnsi="Arial"/>
          <w:sz w:val="17"/>
          <w:szCs w:val="17"/>
          <w:color w:val="auto"/>
          <w:vertAlign w:val="superscript"/>
        </w:rPr>
      </w:pPr>
      <w:r>
        <w:rPr>
          <w:rFonts w:ascii="Arial" w:cs="Arial" w:eastAsia="Arial" w:hAnsi="Arial"/>
          <w:sz w:val="11"/>
          <w:szCs w:val="11"/>
          <w:color w:val="auto"/>
        </w:rPr>
        <w:t>The amount shown is derived from a Schedule 13G/A filed by Select Equity Group, L.P. (“Select Equity”) on February 14, 2024 reporting beneficial ownership as of December 31, 2023. According to the Schedule 13G/A, Select Equity has sole voting power over 0 shares, shared voting power over 14,310,766 shares, sole dispositive power over 0 shares and shared dispositive power over 14,310,766 shares.</w:t>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Annual Meeting and Proxy Solicitation Information</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These proxy materials are made available to shareholders in connection with the solicitation of proxies by the Board of Directors of Brown &amp; Brown, Inc. to be voted at the Annual Meeting of Shareholders, to be held virtually at 9:00 a.m. (EDT) on Wednesday, May 8, 2024 and at any postponements or adjournments. The close of business on March 4, 2024 has been fixed as the record date for the determination of shareholders entitled to notice of and to vote at the Meeting. At the close of business on the record date, we had outstanding 285,340,698 shares of $0.10 par value common stock, entitled to one vote per share. These proxy materials were first mailed to shareholders of record on March 25, 2024.</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Notice of Internet Delivery</w:t>
      </w:r>
    </w:p>
    <w:p>
      <w:pPr>
        <w:spacing w:after="0" w:line="12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permitted by SEC rules, Brown &amp; Brown, Inc. is making this Proxy Statement and its Annual Report available to its shareholders electronically via the Internet. If you received a Notice by mail, you will not receive a printed copy of the proxy materials in the mail (unless you request them, as described below and explained in the Notice). Instead, the Notice instructs you on how to access and review all of the important information contained in the Proxy Statement and Annual Report. The Notice also instructs you on how you may vote online. If you received a Notice by mail and would like to receive a printed copy of our proxy materials, you should follow the instructions in the Notice for requesting the materials.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63</w:t>
      </w:r>
    </w:p>
    <w:p>
      <w:pPr>
        <w:sectPr>
          <w:pgSz w:w="11900" w:h="16838" w:orient="portrait"/>
          <w:cols w:equalWidth="0" w:num="1">
            <w:col w:w="10920"/>
          </w:cols>
          <w:pgMar w:left="480" w:top="304" w:right="49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OTHER IMPORTANT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Attending the Virtual Annual Meeting</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Both shareholders of record and shareholders who hold their shares in “street name” will need to register to be able to attend the Annual Meeting via live audio webcast, submit their questions during the meeting and vote their shares electronically at the Annual Meeting by following the instructions below.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you must:</w:t>
      </w:r>
    </w:p>
    <w:p>
      <w:pPr>
        <w:spacing w:after="0" w:line="217" w:lineRule="exact"/>
        <w:rPr>
          <w:sz w:val="20"/>
          <w:szCs w:val="20"/>
          <w:color w:val="auto"/>
        </w:rPr>
      </w:pPr>
    </w:p>
    <w:p>
      <w:pPr>
        <w:jc w:val="both"/>
        <w:ind w:left="220" w:right="100" w:hanging="213"/>
        <w:spacing w:after="0" w:line="262" w:lineRule="auto"/>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Follow the instructions provided on your proxy card to first register at http://www.viewproxy.com/bbinsurance/2024/htype.asp by 11:59 p.m. (EDT) on May 5, 2024. You will need to enter your name, phone number and email address as part of the registration, following which you will receive an email confirming your registration, as well as the password to attend the Annual Meeting.</w:t>
      </w:r>
    </w:p>
    <w:p>
      <w:pPr>
        <w:spacing w:after="0" w:line="39" w:lineRule="exact"/>
        <w:rPr>
          <w:rFonts w:ascii="Arial" w:cs="Arial" w:eastAsia="Arial" w:hAnsi="Arial"/>
          <w:sz w:val="16"/>
          <w:szCs w:val="16"/>
          <w:color w:val="auto"/>
        </w:rPr>
      </w:pPr>
    </w:p>
    <w:p>
      <w:pPr>
        <w:ind w:left="220" w:right="220" w:hanging="213"/>
        <w:spacing w:after="0" w:line="279" w:lineRule="auto"/>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the day of the Annual Meeting, if you have properly registered, you may enter the Annual Meeting by logging in using the link and password you received via email in the registration confirmation you received when you registered at http://www.viewproxy.com/bbinsurance/2024/htype.asp.</w:t>
      </w:r>
    </w:p>
    <w:p>
      <w:pPr>
        <w:spacing w:after="0" w:line="26" w:lineRule="exact"/>
        <w:rPr>
          <w:rFonts w:ascii="Arial" w:cs="Arial" w:eastAsia="Arial" w:hAnsi="Arial"/>
          <w:sz w:val="16"/>
          <w:szCs w:val="16"/>
          <w:color w:val="auto"/>
        </w:rPr>
      </w:pPr>
    </w:p>
    <w:p>
      <w:pPr>
        <w:ind w:left="220" w:right="20" w:hanging="213"/>
        <w:spacing w:after="0" w:line="279" w:lineRule="auto"/>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you wish to vote your shares electronically at the Annual Meeting, you will need to visit www.AALvote.com/BRO during the Annual Meeting while the polls are open (you will need the virtual control number included on your proxy card).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a “street name,” you must:</w:t>
      </w:r>
    </w:p>
    <w:p>
      <w:pPr>
        <w:spacing w:after="0" w:line="217"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Register at http://www.viewproxy.com/bbinsurance/2024/htype.asp by 11:59 p.m. (EDT) on May 5, 2024.</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You will need to enter your name, phone number and email address, and provide a copy of the legal proxy (which may be uploaded to the registration website or sent via email to VirtualMeeting@viewproxy.com) as part of the registration if you plan to vote at the meeting, following which you will receive an email confirming your registration and a virtual control number if you plan to vote at the meeting, as well as the password to attend the Annual Meeting.</w:t>
      </w:r>
    </w:p>
    <w:p>
      <w:pPr>
        <w:spacing w:after="0" w:line="138"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Please note, if you do not provide a copy of the legal proxy, you may still attend the Annual Meeting by showing proof of ownership but will be unable to vote your shares electronically at the Annual Meeting.</w:t>
      </w:r>
    </w:p>
    <w:p>
      <w:pPr>
        <w:spacing w:after="0" w:line="161" w:lineRule="exact"/>
        <w:rPr>
          <w:sz w:val="20"/>
          <w:szCs w:val="20"/>
          <w:color w:val="auto"/>
        </w:rPr>
      </w:pPr>
    </w:p>
    <w:p>
      <w:pPr>
        <w:ind w:left="220" w:right="220" w:hanging="213"/>
        <w:spacing w:after="0" w:line="279" w:lineRule="auto"/>
        <w:tabs>
          <w:tab w:leader="none" w:pos="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the day of the Annual Meeting, if you have properly registered, you may enter the Annual Meeting by logging in using the link and password you received via email in the registration confirmation you received when you registered at http://www.viewproxy.com/bbinsurance/2024/htype.asp.</w:t>
      </w:r>
    </w:p>
    <w:p>
      <w:pPr>
        <w:spacing w:after="0" w:line="26" w:lineRule="exact"/>
        <w:rPr>
          <w:rFonts w:ascii="Arial" w:cs="Arial" w:eastAsia="Arial" w:hAnsi="Arial"/>
          <w:sz w:val="16"/>
          <w:szCs w:val="16"/>
          <w:color w:val="auto"/>
        </w:rPr>
      </w:pPr>
    </w:p>
    <w:p>
      <w:pPr>
        <w:ind w:left="220" w:right="20" w:hanging="213"/>
        <w:spacing w:after="0" w:line="279" w:lineRule="auto"/>
        <w:tabs>
          <w:tab w:leader="none" w:pos="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you wish to vote your shares electronically at the Annual Meeting, you will need to visit www.AALvote.com/BRO during the Annual Meeting while the polls are open (you will need the virtual control number assigned to you in your registration confirmation email).</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Further instructions on how to attend the Annual Meeting via live audio webcast, including how to vote your shares electronically at the Annual Meeting are posted on http://www.viewproxy.com/bbinsurance/2024/htype.asp under Frequently Asked Questions (FAQ). The Annual Meeting live audio webcast will begin promptly at 9:00 a.m. (EDT) on May 8, 2024. We encourage you to access the meeting prior to the start time. Online check-in will begin at 8:30 a.m. (EDT), and you should allow ample time for the check-in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2856"/>
        </w:rPr>
        <w:t>Technical Difficulties</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Annual Meeting live audio webcast. Please be sure to check in by 8:30 a.m. (EDT) on May 8, 2024, the day of the Annual Meeting, so we may address any technical difficulties before the Annual Meeting live audio webcast begins. If you encounter any difficulties accessing the Annual Meeting live audio webcast during the check-in or meeting time, please email VirtualMeeting@viewproxy.com or call (866) 612-8937.</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Voting Your Shares; Required Votes</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Shares represented by duly executed proxies in the accompanying form that we receive prior to the Meeting will be voted at the Meeting. If you specify in the proxy a choice with respect to any matter to be acted upon, the shares represented by such proxy will be voted as specified. If your proxy card is signed and returned without specifying a vote or an abstention, the shares represented by such proxy will be voted according to the recommendation of the Board of Directors.</w:t>
      </w:r>
    </w:p>
    <w:p>
      <w:pPr>
        <w:spacing w:after="0" w:line="138"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The Board of Directors knows of no other matters that may be brought before the Meeting. However, if any other matters are properly presented for action, it is the intention of the named proxies to vote on them according to their best judgment.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64</w:t>
      </w:r>
      <w:r>
        <w:rPr>
          <w:rFonts w:ascii="Arial" w:cs="Arial" w:eastAsia="Arial" w:hAnsi="Arial"/>
          <w:sz w:val="14"/>
          <w:szCs w:val="14"/>
          <w:color w:val="4C4C4C"/>
        </w:rPr>
        <w:t xml:space="preserve">  |  BROWN &amp; BROWN, INC.</w:t>
      </w:r>
    </w:p>
    <w:p>
      <w:pPr>
        <w:sectPr>
          <w:pgSz w:w="11900" w:h="16838" w:orient="portrait"/>
          <w:cols w:equalWidth="0" w:num="1">
            <w:col w:w="10880"/>
          </w:cols>
          <w:pgMar w:left="480" w:top="304" w:right="539" w:bottom="1440" w:gutter="0" w:footer="0" w:header="0"/>
        </w:sectPr>
      </w:pPr>
    </w:p>
    <w:bookmarkStart w:id="69" w:name="page70"/>
    <w:bookmarkEnd w:id="69"/>
    <w:p>
      <w:pPr>
        <w:ind w:left="852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OTHER IMPORTANT INFORMATION</w:t>
      </w:r>
    </w:p>
    <w:p>
      <w:pPr>
        <w:spacing w:after="0" w:line="14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If your shares are held in “street name,” a stock brokerage account or by a bank or other nominee, you have the right to provide instructions on voting as requested by your broker, bank or nominee. Under the NYSE’s rules, your broker, bank or nominee is permitted to vote your shares on the second proposal concerning the ratification of the appointment of Deloitte &amp; Touche LLP as our independent registered public accountants for the fiscal year ending December 31, 2024 even if your broker, bank or nominee has not been given specific voting instructions as to this matter. Your broker, bank or nominee is not permitted to vote your shares on the first or third proposals.</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After you have returned a proxy, you may revoke it at any time before it is voted by taking one of the following actions: (i) giving written notice of the revocation to our Corporate Secretary at 300 North Beach St., Daytona Beach, Florida 32114, or by email to </w:t>
      </w:r>
      <w:r>
        <w:rPr>
          <w:rFonts w:ascii="Arial" w:cs="Arial" w:eastAsia="Arial" w:hAnsi="Arial"/>
          <w:sz w:val="16"/>
          <w:szCs w:val="16"/>
          <w:i w:val="1"/>
          <w:iCs w:val="1"/>
          <w:color w:val="auto"/>
        </w:rPr>
        <w:t>annualmeeting@bbins.com;</w:t>
      </w:r>
      <w:r>
        <w:rPr>
          <w:rFonts w:ascii="Arial" w:cs="Arial" w:eastAsia="Arial" w:hAnsi="Arial"/>
          <w:sz w:val="16"/>
          <w:szCs w:val="16"/>
          <w:color w:val="auto"/>
        </w:rPr>
        <w:t xml:space="preserve"> (ii) executing and delivering a proxy with a later date; or (iii) voting in person at the Meeting. Votes cast by proxy or in person at the Meeting will be tabulated by Alliance Advisors, LLC, and by one or more inspectors of election appointed at the Meeting, who will also determine whether a quorum is present for the transaction of business. A quorum is present when a majority in interest of all the common stock outstanding is represented by shareholders present in person or by proxy.</w:t>
      </w:r>
    </w:p>
    <w:p>
      <w:pPr>
        <w:spacing w:after="0" w:line="15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Shares of the common stock represented by proxies received by the Company (whether through the return of the enclosed proxy card, by telephone or over the Internet), where the shareholder has specified his or her choice with respect to the proposals described in this Proxy Statement (including the election of directors), will be voted in accordance with the specification(s) so made. If your proxy is properly executed but does not contain voting instructions, or if you vote via telephone or the Internet without indicating how you want to vote with respect to any item, your shares will be voted “FOR” the election of all nominees for the Board of Directors; “FOR” the ratification of the appointment of Deloitte &amp; Touche LLP as the Company’s independent registered public accountants for the fiscal year ending December 31, 2024 and “FOR” the advisory vote to approve Named Executive Officer compensation.</w:t>
      </w:r>
    </w:p>
    <w:p>
      <w:pPr>
        <w:spacing w:after="0" w:line="143"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color w:val="auto"/>
        </w:rPr>
        <w:t>A valid proxy also gives the individuals named as proxies authority to vote in their discretion when voting the shares on any other matters that are properly presented for action at the Meeting.</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the shares you own are held in “street name” by a broker or other nominee entity and you provide instructions to the broker or nominee as to how to vote your shares, your broker or other nominee entity, as the record holder of your shares, is required to vote your shares according to your instructions. Under the NYSE rules, certain proposals, such as the ratification of the appointment of the Company’s registered public accountants, are considered “routine” matters, and brokers and other nominee entities generally may vote on such matters on behalf of beneficial owners who have not furnished voting instructions. For “non-routine” matters, such as the election of directors and the “say on pay” advisory vote, brokers and other nominee entities may not vote unless they have received voting instructions from the beneficial owner. A “broker non-vote” occurs when a broker or other nominee entity does not vote on a particular proposal because it does not have authority under the NYSE rules to vote on that particular proposal without receiving voting instructions from the beneficial owner.</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Broker non-votes, as well as properly executed proxies marked “ABSTAIN,” will be counted for purposes of determining whether a quorum is present at the Meeting.</w:t>
      </w:r>
    </w:p>
    <w:p>
      <w:pPr>
        <w:spacing w:after="0" w:line="12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For information regarding the voting standard for Proposal 1, see “Vote Required; Majority Voting; Board Recommendation.” In order to pass, each of Proposals 2 and 3 must receive the affirmative vote of a majority of the votes cast on the proposal. Abstentions and non-votes will not have an effect on these proposals.</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Proxies may be solicited by our officers, directors and regular supervisory and executive employees, none of whom will receive any additional compensation for their services. Also, Alliance Advisors, LLC may solicit proxies on our behalf at an approximate cost of $8,000, plus reasonable expenses. Such solicitations may be made personally or by mail, facsimile, telephone, messenger or via the Internet. We will pay persons holding shares of common stock in their names or in the names of nominees, but not owning such shares beneficially, such as brokerage houses, banks and other fiduciaries, for the expense of forwarding solicitation materials to their principals. We will pay all of the costs of solicitation of proxies.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 is located at 300 N. Beach St., Daytona Beach, Florida 32114 (telephone number (386) 252-9601).</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Proposals of Shareholders</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Pursuant to applicable requirements of Rule 14a-8 under the Securities Exchange Act of 1934, proposals of shareholders intended to be presented at the 2024 Annual Meeting of Shareholders must be received by us no later than November 25, 2024, in order to be considered for inclusion in our Proxy Statement and form of proxy/voting instruction related to that meeting. Such proposals will need to be in writing and comply with SEC regulations regarding the inclusion of shareholder proposals in Company-sponsored proxy materials.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65</w:t>
      </w:r>
    </w:p>
    <w:p>
      <w:pPr>
        <w:sectPr>
          <w:pgSz w:w="11900" w:h="16838" w:orient="portrait"/>
          <w:cols w:equalWidth="0" w:num="1">
            <w:col w:w="10920"/>
          </w:cols>
          <w:pgMar w:left="480" w:top="304" w:right="49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OTHER IMPORTANT INFORMATION</w:t>
      </w:r>
    </w:p>
    <w:p>
      <w:pPr>
        <w:spacing w:after="0" w:line="14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a shareholder’s notice of nomination of one or more director nominations to be included in our Proxy Statement and form of proxy/voting instructions pursuant to the proxy access right included in Section 1.9 of our By-Laws, the Company must receive such written notice no earlier than the close of business on December 9, 2024 and no later than the close of business on January 8, 2025. The notice must contain the information required in our By-Laws, and the shareholder(s) and nominee(s) must comply with the information and other requirement in our By-Laws relating to the inclusion of nominees in our proxy materials.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our By-Laws require that for any shareholder proposal for other business or director nomination to be properly brought before the 2025 Annual Meeting of Shareholders, the shareholder proposal or director nomination must comply with the advance notice requirements set forth in our By-Laws (which include information required under Rule 14a-19), and the Company must receive written notice of the matter no earlier than the close of business on January 8, 2025 and no later than the close of business on February 7, 2025. Each such written notice must contain the information set forth in our By-Laws. The advance notice requirement in our By-Laws supersedes the notice period in Rule 14a-4(c)(1) under the Securities Exchange Act of 1934 regarding discretionary proxy authority with respect to shareholder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Any shareholder proposals or nominations should be sent to our Corporate Secretary at 300 N. Beach St., Daytona Beach, Florida 32114.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66</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7494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2023 Annual Report to Shareholders (the “Annual Report”) accompanies this Proxy Statement. We will provide to any shareholder, upon the written request of such person, a copy of our Annual Report on Form 10-K, including the financial statements and the exhibits thereto, for the fiscal year ended December 31, 2023, as filed with the SEC pursuant to Rule 13a-1 under the Securities Exchange Act of 1934, as amended. Any such request should be directed to Brown &amp; Brown, Inc., 300 North Beach St., Daytona Beach, Florida 32114 Attention: Corporate Secretary. No charge will be made for copies of such Annual Report on Form 10-K; however, a reasonable charge will be made for copies of the exhibits.</w:t>
      </w:r>
    </w:p>
    <w:p>
      <w:pPr>
        <w:spacing w:after="0" w:line="14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Only one copy of this Proxy Statement and the accompanying Annual Report is being delivered to shareholders who share an address unless we have received contrary instructions from one or more of such shareholders. We will promptly deliver a separate copy of this Proxy Statement and the accompanying Annual Report to any shareholder at a shared address to which a single copy of these documents has been delivered upon our receipt of a written or oral request from that shareholder directed to the address shown above, or to us at (386) 252-9601. Any shareholder sharing a single copy of the Proxy Statement and Annual Report who wishes to receive a separate mailing of these materials in the future, or any shareholders sharing an address and receiving multiple copies of these materials who wish to share a single copy of these documents, should also notify us at the address and telephone number shown above.</w:t>
      </w:r>
    </w:p>
    <w:p>
      <w:pPr>
        <w:spacing w:after="0" w:line="156"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material referred to in this Proxy Statement under the captions “Compensation Discussion and Analysis,” “Compensation Committee Report,” and “Report of the Audit Committee” shall not be deemed soliciting material or otherwise deemed filed and shall not be deemed to be incorporated by any general statement of incorporation by reference in any filings made under the Securities Act of 1933, as amended, or the Securities Exchange Act of 1934, as amended.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1019175" cy="356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1917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002856"/>
        </w:rPr>
        <w:t>ANTHONY M. ROBINSON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1D4F90"/>
        </w:rPr>
        <w:t>Secretary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Daytona Beach, Florida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25, 2024</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4C4C4C"/>
        </w:rPr>
        <w:t xml:space="preserve">BROWN &amp; BROWN, INC.  |  </w:t>
      </w:r>
      <w:r>
        <w:rPr>
          <w:rFonts w:ascii="Arial" w:cs="Arial" w:eastAsia="Arial" w:hAnsi="Arial"/>
          <w:sz w:val="14"/>
          <w:szCs w:val="14"/>
          <w:b w:val="1"/>
          <w:bCs w:val="1"/>
          <w:color w:val="002856"/>
        </w:rPr>
        <w:t>67</w:t>
      </w:r>
    </w:p>
    <w:p>
      <w:pPr>
        <w:sectPr>
          <w:pgSz w:w="11900" w:h="16838" w:orient="portrait"/>
          <w:cols w:equalWidth="0" w:num="1">
            <w:col w:w="10920"/>
          </w:cols>
          <w:pgMar w:left="480" w:top="1440" w:right="49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2318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This Proxy Statement contains references to Organic Revenue, Organic Revenue – adjusted, Adjusted EBITDAC, Adjusted EBITDAC Margin and Adjusted EPS, which are non-GAAP financial measures. These measures are not in accordance with, or an alternative to the GAAP information provided in the financial statements contained in our Annual Report on Form 10-K. A reconciliation of this non-GAAP financial information to our GAAP information is contained in this </w:t>
      </w:r>
      <w:r>
        <w:rPr>
          <w:rFonts w:ascii="Arial" w:cs="Arial" w:eastAsia="Arial" w:hAnsi="Arial"/>
          <w:sz w:val="16"/>
          <w:szCs w:val="16"/>
          <w:b w:val="1"/>
          <w:bCs w:val="1"/>
          <w:color w:val="1D4F90"/>
        </w:rPr>
        <w:t>Annex A</w:t>
      </w:r>
      <w:r>
        <w:rPr>
          <w:rFonts w:ascii="Arial" w:cs="Arial" w:eastAsia="Arial" w:hAnsi="Arial"/>
          <w:sz w:val="16"/>
          <w:szCs w:val="16"/>
          <w:color w:val="auto"/>
        </w:rPr>
        <w:t>.</w:t>
      </w:r>
    </w:p>
    <w:p>
      <w:pPr>
        <w:spacing w:after="0" w:line="12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1D4F90"/>
        </w:rPr>
        <w:t xml:space="preserve">Organic Revenue, Organic Revenue – adjusted, Organic Revenue growth and Organic Revenue growth – adjusted. </w:t>
      </w:r>
      <w:r>
        <w:rPr>
          <w:rFonts w:ascii="Arial" w:cs="Arial" w:eastAsia="Arial" w:hAnsi="Arial"/>
          <w:sz w:val="16"/>
          <w:szCs w:val="16"/>
          <w:color w:val="000000"/>
        </w:rPr>
        <w:t>We view Organic Revenue,</w:t>
      </w:r>
      <w:r>
        <w:rPr>
          <w:rFonts w:ascii="Arial" w:cs="Arial" w:eastAsia="Arial" w:hAnsi="Arial"/>
          <w:sz w:val="16"/>
          <w:szCs w:val="16"/>
          <w:b w:val="1"/>
          <w:bCs w:val="1"/>
          <w:color w:val="1D4F90"/>
        </w:rPr>
        <w:t xml:space="preserve"> </w:t>
      </w:r>
      <w:r>
        <w:rPr>
          <w:rFonts w:ascii="Arial" w:cs="Arial" w:eastAsia="Arial" w:hAnsi="Arial"/>
          <w:sz w:val="16"/>
          <w:szCs w:val="16"/>
          <w:color w:val="000000"/>
        </w:rPr>
        <w:t>Organic Revenue – adjusted, Organic Revenue growth and Organic Revenue growth – adjusted as important indicators when assessing and evaluating our performance on a consolidated basis and for each of our segments because they allow us to determine a comparable, but non-GAAP, measurement of revenue growth that is associated with the revenue sources that were a part of our business in both the current and prior year and that are expected to continue in the future. We believe presenting these non-GAAP financial measures allows readers of our financial statements to measure, analyze and compare our consolidated growth, and the growth of each of our segments, in a meaningful and consistent manner.</w:t>
      </w:r>
    </w:p>
    <w:p>
      <w:pPr>
        <w:spacing w:after="0" w:line="15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b w:val="1"/>
          <w:bCs w:val="1"/>
          <w:color w:val="1D4F90"/>
        </w:rPr>
        <w:t xml:space="preserve">Adjusted EBITDAC and Adjusted EBITDAC Margin. </w:t>
      </w:r>
      <w:r>
        <w:rPr>
          <w:rFonts w:ascii="Arial" w:cs="Arial" w:eastAsia="Arial" w:hAnsi="Arial"/>
          <w:sz w:val="16"/>
          <w:szCs w:val="16"/>
          <w:color w:val="000000"/>
        </w:rPr>
        <w:t>We view Adjusted EBITDAC and Adjusted EBITDAC Margin as important indicators when</w:t>
      </w:r>
      <w:r>
        <w:rPr>
          <w:rFonts w:ascii="Arial" w:cs="Arial" w:eastAsia="Arial" w:hAnsi="Arial"/>
          <w:sz w:val="16"/>
          <w:szCs w:val="16"/>
          <w:b w:val="1"/>
          <w:bCs w:val="1"/>
          <w:color w:val="1D4F90"/>
        </w:rPr>
        <w:t xml:space="preserve"> </w:t>
      </w:r>
      <w:r>
        <w:rPr>
          <w:rFonts w:ascii="Arial" w:cs="Arial" w:eastAsia="Arial" w:hAnsi="Arial"/>
          <w:sz w:val="16"/>
          <w:szCs w:val="16"/>
          <w:color w:val="000000"/>
        </w:rPr>
        <w:t>assessing and evaluating our performance because it allows us to determine a comparable, but non-GAAP, measurement of our operating margins in a meaningful and consistent manner.</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1D4F90"/>
        </w:rPr>
        <w:t xml:space="preserve">Adjusted EPS. </w:t>
      </w:r>
      <w:r>
        <w:rPr>
          <w:rFonts w:ascii="Arial" w:cs="Arial" w:eastAsia="Arial" w:hAnsi="Arial"/>
          <w:sz w:val="16"/>
          <w:szCs w:val="16"/>
          <w:color w:val="000000"/>
        </w:rPr>
        <w:t>Adjusted EPS means our earnings per share, excluding the impact of the change in estimated acquisition earn-out payables and any</w:t>
      </w:r>
      <w:r>
        <w:rPr>
          <w:rFonts w:ascii="Arial" w:cs="Arial" w:eastAsia="Arial" w:hAnsi="Arial"/>
          <w:sz w:val="16"/>
          <w:szCs w:val="16"/>
          <w:b w:val="1"/>
          <w:bCs w:val="1"/>
          <w:color w:val="1D4F90"/>
        </w:rPr>
        <w:t xml:space="preserve"> </w:t>
      </w:r>
      <w:r>
        <w:rPr>
          <w:rFonts w:ascii="Arial" w:cs="Arial" w:eastAsia="Arial" w:hAnsi="Arial"/>
          <w:sz w:val="16"/>
          <w:szCs w:val="16"/>
          <w:color w:val="000000"/>
        </w:rPr>
        <w:t>other items (for example, extraordinary, nonrecurring items) that the Compensation Committee determines to be appropriately disregarded for all grants subject to a vesting condition of Adjusted EPS. We believe that Adjusted EPS provides a meaningful representation of our operating performance and is also presented to improve the comparability of our results between periods by eliminating the impact of certain items that have a high degree of variability.</w:t>
      </w:r>
    </w:p>
    <w:p>
      <w:pPr>
        <w:spacing w:after="0" w:line="13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present such non-GAAP supplemental financial information, as we believe such information provides additional meaningful methods of evaluating certain aspects of our operating performance from period to period on a basis that may not be otherwise apparent on a GAAP basis. Our industry peers may provide similar supplemental non-GAAP information with respect to one or more of these measures, although they may not use the same or comparable terminology and may not make identical adjustments. This supplemental financial information should be considered in addition to, not in lieu of,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68</w:t>
      </w:r>
      <w:r>
        <w:rPr>
          <w:rFonts w:ascii="Arial" w:cs="Arial" w:eastAsia="Arial" w:hAnsi="Arial"/>
          <w:sz w:val="14"/>
          <w:szCs w:val="14"/>
          <w:color w:val="4C4C4C"/>
        </w:rPr>
        <w:t xml:space="preserve">  |  BROWN &amp; BROWN, INC.</w:t>
      </w:r>
    </w:p>
    <w:p>
      <w:pPr>
        <w:sectPr>
          <w:pgSz w:w="11900" w:h="16838" w:orient="portrait"/>
          <w:cols w:equalWidth="0" w:num="1">
            <w:col w:w="10900"/>
          </w:cols>
          <w:pgMar w:left="480" w:top="1440" w:right="519" w:bottom="1440" w:gutter="0" w:footer="0" w:header="0"/>
        </w:sectPr>
      </w:pPr>
    </w:p>
    <w:bookmarkStart w:id="73" w:name="page74"/>
    <w:bookmarkEnd w:id="73"/>
    <w:p>
      <w:pPr>
        <w:ind w:left="586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ANNEX A INFORMATION REGARDING NON-GAAP FINANCIAL MEASURES</w:t>
      </w:r>
    </w:p>
    <w:p>
      <w:pPr>
        <w:spacing w:after="0" w:line="131" w:lineRule="exact"/>
        <w:rPr>
          <w:sz w:val="20"/>
          <w:szCs w:val="20"/>
          <w:color w:val="auto"/>
        </w:rPr>
      </w:pPr>
    </w:p>
    <w:p>
      <w:pPr>
        <w:ind w:right="500"/>
        <w:spacing w:after="0" w:line="292" w:lineRule="auto"/>
        <w:rPr>
          <w:sz w:val="20"/>
          <w:szCs w:val="20"/>
          <w:color w:val="auto"/>
        </w:rPr>
      </w:pPr>
      <w:r>
        <w:rPr>
          <w:rFonts w:ascii="Arial" w:cs="Arial" w:eastAsia="Arial" w:hAnsi="Arial"/>
          <w:sz w:val="25"/>
          <w:szCs w:val="25"/>
          <w:b w:val="1"/>
          <w:bCs w:val="1"/>
          <w:color w:val="1D4F90"/>
        </w:rPr>
        <w:t>Reconciliation of Total Commissions and Fees to Organic Revenue Growth and Organic Revenue Growth – Adjusted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total commissions and fees, included in the Consolidated Statement of Income, to Organic Revenue growth, which for 2023 excludes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for the year ended December 31, 2023,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40" w:type="dxa"/>
            <w:vAlign w:val="bottom"/>
          </w:tcPr>
          <w:p>
            <w:pPr>
              <w:spacing w:after="0"/>
              <w:rPr>
                <w:sz w:val="10"/>
                <w:szCs w:val="10"/>
                <w:color w:val="auto"/>
              </w:rPr>
            </w:pPr>
          </w:p>
        </w:tc>
        <w:tc>
          <w:tcPr>
            <w:tcW w:w="680" w:type="dxa"/>
            <w:vAlign w:val="bottom"/>
            <w:vMerge w:val="restart"/>
          </w:tcPr>
          <w:p>
            <w:pPr>
              <w:jc w:val="center"/>
              <w:ind w:right="143"/>
              <w:spacing w:after="0"/>
              <w:rPr>
                <w:sz w:val="20"/>
                <w:szCs w:val="20"/>
                <w:color w:val="auto"/>
              </w:rPr>
            </w:pPr>
            <w:r>
              <w:rPr>
                <w:rFonts w:ascii="Arial" w:cs="Arial" w:eastAsia="Arial" w:hAnsi="Arial"/>
                <w:sz w:val="11"/>
                <w:szCs w:val="11"/>
                <w:b w:val="1"/>
                <w:bCs w:val="1"/>
                <w:color w:val="002856"/>
                <w:w w:val="91"/>
              </w:rPr>
              <w:t>Total</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02856"/>
                <w:w w:val="99"/>
              </w:rPr>
              <w:t>Foreign</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vMerge w:val="restart"/>
          </w:tcPr>
          <w:p>
            <w:pPr>
              <w:jc w:val="center"/>
              <w:ind w:right="83"/>
              <w:spacing w:after="0"/>
              <w:rPr>
                <w:sz w:val="20"/>
                <w:szCs w:val="20"/>
                <w:color w:val="auto"/>
              </w:rPr>
            </w:pPr>
            <w:r>
              <w:rPr>
                <w:rFonts w:ascii="Arial" w:cs="Arial" w:eastAsia="Arial" w:hAnsi="Arial"/>
                <w:sz w:val="11"/>
                <w:szCs w:val="11"/>
                <w:b w:val="1"/>
                <w:bCs w:val="1"/>
                <w:color w:val="002856"/>
                <w:w w:val="96"/>
              </w:rPr>
              <w:t>Organic</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1100" w:type="dxa"/>
            <w:vAlign w:val="bottom"/>
            <w:gridSpan w:val="3"/>
          </w:tcPr>
          <w:p>
            <w:pPr>
              <w:jc w:val="center"/>
              <w:ind w:right="80"/>
              <w:spacing w:after="0" w:line="107" w:lineRule="exact"/>
              <w:rPr>
                <w:sz w:val="20"/>
                <w:szCs w:val="20"/>
                <w:color w:val="auto"/>
              </w:rPr>
            </w:pPr>
            <w:r>
              <w:rPr>
                <w:rFonts w:ascii="Arial" w:cs="Arial" w:eastAsia="Arial" w:hAnsi="Arial"/>
                <w:sz w:val="11"/>
                <w:szCs w:val="11"/>
                <w:b w:val="1"/>
                <w:bCs w:val="1"/>
                <w:color w:val="002856"/>
                <w:w w:val="96"/>
              </w:rPr>
              <w:t>Commissions</w:t>
            </w:r>
          </w:p>
        </w:tc>
        <w:tc>
          <w:tcPr>
            <w:tcW w:w="5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jc w:val="center"/>
              <w:ind w:right="120"/>
              <w:spacing w:after="0" w:line="107" w:lineRule="exact"/>
              <w:rPr>
                <w:sz w:val="20"/>
                <w:szCs w:val="20"/>
                <w:color w:val="auto"/>
              </w:rPr>
            </w:pPr>
            <w:r>
              <w:rPr>
                <w:rFonts w:ascii="Arial" w:cs="Arial" w:eastAsia="Arial" w:hAnsi="Arial"/>
                <w:sz w:val="11"/>
                <w:szCs w:val="11"/>
                <w:b w:val="1"/>
                <w:bCs w:val="1"/>
                <w:color w:val="002856"/>
                <w:w w:val="96"/>
              </w:rPr>
              <w:t>Commissions</w:t>
            </w:r>
          </w:p>
        </w:tc>
        <w:tc>
          <w:tcPr>
            <w:tcW w:w="70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002856"/>
                <w:w w:val="96"/>
              </w:rPr>
              <w:t>Acquisition</w:t>
            </w:r>
          </w:p>
        </w:tc>
        <w:tc>
          <w:tcPr>
            <w:tcW w:w="62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002856"/>
              </w:rPr>
              <w:t>Divested</w:t>
            </w:r>
          </w:p>
        </w:tc>
        <w:tc>
          <w:tcPr>
            <w:tcW w:w="68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002856"/>
                <w:w w:val="99"/>
              </w:rPr>
              <w:t>Currency</w:t>
            </w:r>
          </w:p>
        </w:tc>
        <w:tc>
          <w:tcPr>
            <w:tcW w:w="1120" w:type="dxa"/>
            <w:vAlign w:val="bottom"/>
            <w:gridSpan w:val="3"/>
          </w:tcPr>
          <w:p>
            <w:pPr>
              <w:jc w:val="right"/>
              <w:ind w:right="380"/>
              <w:spacing w:after="0" w:line="107" w:lineRule="exact"/>
              <w:rPr>
                <w:sz w:val="20"/>
                <w:szCs w:val="20"/>
                <w:color w:val="auto"/>
              </w:rPr>
            </w:pPr>
            <w:r>
              <w:rPr>
                <w:rFonts w:ascii="Arial" w:cs="Arial" w:eastAsia="Arial" w:hAnsi="Arial"/>
                <w:sz w:val="11"/>
                <w:szCs w:val="11"/>
                <w:b w:val="1"/>
                <w:bCs w:val="1"/>
                <w:color w:val="002856"/>
              </w:rPr>
              <w:t>Organic</w:t>
            </w:r>
          </w:p>
        </w:tc>
        <w:tc>
          <w:tcPr>
            <w:tcW w:w="6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140" w:type="dxa"/>
            <w:vAlign w:val="bottom"/>
            <w:vMerge w:val="restart"/>
          </w:tcPr>
          <w:p>
            <w:pPr>
              <w:ind w:left="80"/>
              <w:spacing w:after="0"/>
              <w:rPr>
                <w:sz w:val="20"/>
                <w:szCs w:val="20"/>
                <w:color w:val="auto"/>
              </w:rPr>
            </w:pPr>
            <w:r>
              <w:rPr>
                <w:rFonts w:ascii="Arial" w:cs="Arial" w:eastAsia="Arial" w:hAnsi="Arial"/>
                <w:sz w:val="11"/>
                <w:szCs w:val="11"/>
                <w:b w:val="1"/>
                <w:bCs w:val="1"/>
                <w:color w:val="002856"/>
              </w:rPr>
              <w:t>(in millions,</w:t>
            </w:r>
          </w:p>
        </w:tc>
        <w:tc>
          <w:tcPr>
            <w:tcW w:w="110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40" w:type="dxa"/>
            <w:vAlign w:val="bottom"/>
          </w:tcPr>
          <w:p>
            <w:pPr>
              <w:jc w:val="center"/>
              <w:ind w:right="2"/>
              <w:spacing w:after="0" w:line="121" w:lineRule="exact"/>
              <w:rPr>
                <w:sz w:val="20"/>
                <w:szCs w:val="20"/>
                <w:color w:val="auto"/>
              </w:rPr>
            </w:pPr>
            <w:r>
              <w:rPr>
                <w:rFonts w:ascii="Arial" w:cs="Arial" w:eastAsia="Arial" w:hAnsi="Arial"/>
                <w:sz w:val="11"/>
                <w:szCs w:val="11"/>
                <w:b w:val="1"/>
                <w:bCs w:val="1"/>
                <w:color w:val="002856"/>
                <w:w w:val="91"/>
              </w:rPr>
              <w:t>Total</w:t>
            </w:r>
          </w:p>
        </w:tc>
        <w:tc>
          <w:tcPr>
            <w:tcW w:w="680" w:type="dxa"/>
            <w:vAlign w:val="bottom"/>
          </w:tcPr>
          <w:p>
            <w:pPr>
              <w:jc w:val="center"/>
              <w:ind w:right="143"/>
              <w:spacing w:after="0" w:line="121" w:lineRule="exact"/>
              <w:rPr>
                <w:sz w:val="20"/>
                <w:szCs w:val="20"/>
                <w:color w:val="auto"/>
              </w:rPr>
            </w:pPr>
            <w:r>
              <w:rPr>
                <w:rFonts w:ascii="Arial" w:cs="Arial" w:eastAsia="Arial" w:hAnsi="Arial"/>
                <w:sz w:val="11"/>
                <w:szCs w:val="11"/>
                <w:b w:val="1"/>
                <w:bCs w:val="1"/>
                <w:color w:val="002856"/>
                <w:w w:val="90"/>
              </w:rPr>
              <w:t>Net</w:t>
            </w:r>
          </w:p>
        </w:tc>
        <w:tc>
          <w:tcPr>
            <w:tcW w:w="880" w:type="dxa"/>
            <w:vAlign w:val="bottom"/>
            <w:gridSpan w:val="3"/>
          </w:tcPr>
          <w:p>
            <w:pPr>
              <w:jc w:val="right"/>
              <w:ind w:right="180"/>
              <w:spacing w:after="0" w:line="121" w:lineRule="exact"/>
              <w:rPr>
                <w:sz w:val="20"/>
                <w:szCs w:val="20"/>
                <w:color w:val="auto"/>
              </w:rPr>
            </w:pPr>
            <w:r>
              <w:rPr>
                <w:rFonts w:ascii="Arial" w:cs="Arial" w:eastAsia="Arial" w:hAnsi="Arial"/>
                <w:sz w:val="11"/>
                <w:szCs w:val="11"/>
                <w:b w:val="1"/>
                <w:bCs w:val="1"/>
                <w:color w:val="002856"/>
              </w:rPr>
              <w:t>Contingents</w:t>
            </w:r>
          </w:p>
        </w:tc>
        <w:tc>
          <w:tcPr>
            <w:tcW w:w="1140" w:type="dxa"/>
            <w:vAlign w:val="bottom"/>
            <w:gridSpan w:val="3"/>
          </w:tcPr>
          <w:p>
            <w:pPr>
              <w:jc w:val="center"/>
              <w:ind w:right="10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Revenues</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3"/>
              </w:rPr>
              <w:t>Business</w:t>
            </w: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4"/>
              </w:rPr>
              <w:t>Translation</w:t>
            </w:r>
          </w:p>
        </w:tc>
        <w:tc>
          <w:tcPr>
            <w:tcW w:w="1120" w:type="dxa"/>
            <w:vAlign w:val="bottom"/>
            <w:gridSpan w:val="3"/>
          </w:tcPr>
          <w:p>
            <w:pPr>
              <w:jc w:val="right"/>
              <w:ind w:right="32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Organic</w:t>
            </w:r>
          </w:p>
        </w:tc>
        <w:tc>
          <w:tcPr>
            <w:tcW w:w="700" w:type="dxa"/>
            <w:vAlign w:val="bottom"/>
          </w:tcPr>
          <w:p>
            <w:pPr>
              <w:jc w:val="center"/>
              <w:ind w:right="83"/>
              <w:spacing w:after="0" w:line="121" w:lineRule="exact"/>
              <w:rPr>
                <w:sz w:val="20"/>
                <w:szCs w:val="20"/>
                <w:color w:val="auto"/>
              </w:rPr>
            </w:pPr>
            <w:r>
              <w:rPr>
                <w:rFonts w:ascii="Arial" w:cs="Arial" w:eastAsia="Arial" w:hAnsi="Arial"/>
                <w:sz w:val="11"/>
                <w:szCs w:val="11"/>
                <w:b w:val="1"/>
                <w:bCs w:val="1"/>
                <w:color w:val="002856"/>
                <w:w w:val="95"/>
              </w:rPr>
              <w:t>Revenue</w:t>
            </w:r>
          </w:p>
        </w:tc>
        <w:tc>
          <w:tcPr>
            <w:tcW w:w="0" w:type="dxa"/>
            <w:vAlign w:val="bottom"/>
          </w:tcPr>
          <w:p>
            <w:pPr>
              <w:spacing w:after="0"/>
              <w:rPr>
                <w:sz w:val="1"/>
                <w:szCs w:val="1"/>
                <w:color w:val="auto"/>
              </w:rPr>
            </w:pPr>
          </w:p>
        </w:tc>
      </w:tr>
      <w:tr>
        <w:trPr>
          <w:trHeight w:val="27"/>
        </w:trPr>
        <w:tc>
          <w:tcPr>
            <w:tcW w:w="2140" w:type="dxa"/>
            <w:vAlign w:val="bottom"/>
            <w:vMerge w:val="continue"/>
          </w:tcPr>
          <w:p>
            <w:pPr>
              <w:spacing w:after="0"/>
              <w:rPr>
                <w:sz w:val="2"/>
                <w:szCs w:val="2"/>
                <w:color w:val="auto"/>
              </w:rPr>
            </w:pPr>
          </w:p>
        </w:tc>
        <w:tc>
          <w:tcPr>
            <w:tcW w:w="540" w:type="dxa"/>
            <w:vAlign w:val="bottom"/>
            <w:tcBorders>
              <w:bottom w:val="single" w:sz="8" w:color="C6093B"/>
            </w:tcBorders>
          </w:tcPr>
          <w:p>
            <w:pPr>
              <w:spacing w:after="0"/>
              <w:rPr>
                <w:sz w:val="2"/>
                <w:szCs w:val="2"/>
                <w:color w:val="auto"/>
              </w:rPr>
            </w:pPr>
          </w:p>
        </w:tc>
        <w:tc>
          <w:tcPr>
            <w:tcW w:w="500" w:type="dxa"/>
            <w:vAlign w:val="bottom"/>
            <w:tcBorders>
              <w:bottom w:val="single" w:sz="8" w:color="C6093B"/>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002856"/>
              </w:rPr>
              <w:t>Net</w:t>
            </w:r>
          </w:p>
        </w:tc>
        <w:tc>
          <w:tcPr>
            <w:tcW w:w="680" w:type="dxa"/>
            <w:vAlign w:val="bottom"/>
            <w:vMerge w:val="restart"/>
          </w:tcPr>
          <w:p>
            <w:pPr>
              <w:jc w:val="center"/>
              <w:ind w:right="143"/>
              <w:spacing w:after="0" w:line="81" w:lineRule="exact"/>
              <w:rPr>
                <w:sz w:val="20"/>
                <w:szCs w:val="20"/>
                <w:color w:val="auto"/>
              </w:rPr>
            </w:pPr>
            <w:r>
              <w:rPr>
                <w:rFonts w:ascii="Arial" w:cs="Arial" w:eastAsia="Arial" w:hAnsi="Arial"/>
                <w:sz w:val="9"/>
                <w:szCs w:val="9"/>
                <w:b w:val="1"/>
                <w:bCs w:val="1"/>
                <w:color w:val="002856"/>
              </w:rPr>
              <w:t>Growth</w:t>
            </w:r>
          </w:p>
        </w:tc>
        <w:tc>
          <w:tcPr>
            <w:tcW w:w="420" w:type="dxa"/>
            <w:vAlign w:val="bottom"/>
            <w:tcBorders>
              <w:bottom w:val="single" w:sz="8" w:color="C6093B"/>
            </w:tcBorders>
          </w:tcPr>
          <w:p>
            <w:pPr>
              <w:spacing w:after="0"/>
              <w:rPr>
                <w:sz w:val="2"/>
                <w:szCs w:val="2"/>
                <w:color w:val="auto"/>
              </w:rPr>
            </w:pPr>
          </w:p>
        </w:tc>
        <w:tc>
          <w:tcPr>
            <w:tcW w:w="340" w:type="dxa"/>
            <w:vAlign w:val="bottom"/>
            <w:tcBorders>
              <w:bottom w:val="single" w:sz="8" w:color="C6093B"/>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C6093B"/>
            </w:tcBorders>
          </w:tcPr>
          <w:p>
            <w:pPr>
              <w:spacing w:after="0"/>
              <w:rPr>
                <w:sz w:val="2"/>
                <w:szCs w:val="2"/>
                <w:color w:val="auto"/>
              </w:rPr>
            </w:pPr>
          </w:p>
        </w:tc>
        <w:tc>
          <w:tcPr>
            <w:tcW w:w="500" w:type="dxa"/>
            <w:vAlign w:val="bottom"/>
            <w:tcBorders>
              <w:bottom w:val="single" w:sz="8" w:color="C6093B"/>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C6093B"/>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C6093B"/>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C6093B"/>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C6093B"/>
            </w:tcBorders>
          </w:tcPr>
          <w:p>
            <w:pPr>
              <w:spacing w:after="0"/>
              <w:rPr>
                <w:sz w:val="2"/>
                <w:szCs w:val="2"/>
                <w:color w:val="auto"/>
              </w:rPr>
            </w:pPr>
          </w:p>
        </w:tc>
        <w:tc>
          <w:tcPr>
            <w:tcW w:w="500" w:type="dxa"/>
            <w:vAlign w:val="bottom"/>
            <w:tcBorders>
              <w:bottom w:val="single" w:sz="8" w:color="C6093B"/>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002856"/>
              </w:rPr>
              <w:t>Revenue</w:t>
            </w:r>
          </w:p>
        </w:tc>
        <w:tc>
          <w:tcPr>
            <w:tcW w:w="700" w:type="dxa"/>
            <w:vAlign w:val="bottom"/>
            <w:vMerge w:val="restart"/>
          </w:tcPr>
          <w:p>
            <w:pPr>
              <w:jc w:val="center"/>
              <w:ind w:right="63"/>
              <w:spacing w:after="0" w:line="81" w:lineRule="exact"/>
              <w:rPr>
                <w:sz w:val="20"/>
                <w:szCs w:val="20"/>
                <w:color w:val="auto"/>
              </w:rPr>
            </w:pPr>
            <w:r>
              <w:rPr>
                <w:rFonts w:ascii="Arial" w:cs="Arial" w:eastAsia="Arial" w:hAnsi="Arial"/>
                <w:sz w:val="9"/>
                <w:szCs w:val="9"/>
                <w:b w:val="1"/>
                <w:bCs w:val="1"/>
                <w:color w:val="002856"/>
              </w:rPr>
              <w:t>Growth</w:t>
            </w:r>
          </w:p>
        </w:tc>
        <w:tc>
          <w:tcPr>
            <w:tcW w:w="0" w:type="dxa"/>
            <w:vAlign w:val="bottom"/>
          </w:tcPr>
          <w:p>
            <w:pPr>
              <w:spacing w:after="0"/>
              <w:rPr>
                <w:sz w:val="1"/>
                <w:szCs w:val="1"/>
                <w:color w:val="auto"/>
              </w:rPr>
            </w:pPr>
          </w:p>
        </w:tc>
      </w:tr>
      <w:tr>
        <w:trPr>
          <w:trHeight w:val="34"/>
        </w:trPr>
        <w:tc>
          <w:tcPr>
            <w:tcW w:w="2140" w:type="dxa"/>
            <w:vAlign w:val="bottom"/>
            <w:vMerge w:val="continue"/>
          </w:tcPr>
          <w:p>
            <w:pPr>
              <w:spacing w:after="0"/>
              <w:rPr>
                <w:sz w:val="2"/>
                <w:szCs w:val="2"/>
                <w:color w:val="auto"/>
              </w:rPr>
            </w:pPr>
          </w:p>
        </w:tc>
        <w:tc>
          <w:tcPr>
            <w:tcW w:w="540" w:type="dxa"/>
            <w:vAlign w:val="bottom"/>
            <w:vMerge w:val="restart"/>
          </w:tcPr>
          <w:p>
            <w:pPr>
              <w:jc w:val="right"/>
              <w:ind w:right="142"/>
              <w:spacing w:after="0"/>
              <w:rPr>
                <w:sz w:val="20"/>
                <w:szCs w:val="20"/>
                <w:color w:val="auto"/>
              </w:rPr>
            </w:pPr>
            <w:r>
              <w:rPr>
                <w:rFonts w:ascii="Arial" w:cs="Arial" w:eastAsia="Arial" w:hAnsi="Arial"/>
                <w:sz w:val="11"/>
                <w:szCs w:val="11"/>
                <w:b w:val="1"/>
                <w:bCs w:val="1"/>
                <w:color w:val="002856"/>
              </w:rPr>
              <w:t>2023</w:t>
            </w:r>
          </w:p>
        </w:tc>
        <w:tc>
          <w:tcPr>
            <w:tcW w:w="50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002856"/>
              </w:rPr>
              <w:t>2022</w:t>
            </w:r>
          </w:p>
        </w:tc>
        <w:tc>
          <w:tcPr>
            <w:tcW w:w="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vMerge w:val="restart"/>
          </w:tcPr>
          <w:p>
            <w:pPr>
              <w:jc w:val="right"/>
              <w:ind w:right="60"/>
              <w:spacing w:after="0"/>
              <w:rPr>
                <w:sz w:val="20"/>
                <w:szCs w:val="20"/>
                <w:color w:val="auto"/>
              </w:rPr>
            </w:pPr>
            <w:r>
              <w:rPr>
                <w:rFonts w:ascii="Arial" w:cs="Arial" w:eastAsia="Arial" w:hAnsi="Arial"/>
                <w:sz w:val="11"/>
                <w:szCs w:val="11"/>
                <w:b w:val="1"/>
                <w:bCs w:val="1"/>
                <w:color w:val="002856"/>
              </w:rPr>
              <w:t>2023</w:t>
            </w: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002856"/>
              </w:rPr>
              <w:t>2022</w:t>
            </w:r>
          </w:p>
        </w:tc>
        <w:tc>
          <w:tcPr>
            <w:tcW w:w="120" w:type="dxa"/>
            <w:vAlign w:val="bottom"/>
          </w:tcPr>
          <w:p>
            <w:pPr>
              <w:spacing w:after="0"/>
              <w:rPr>
                <w:sz w:val="2"/>
                <w:szCs w:val="2"/>
                <w:color w:val="auto"/>
              </w:rPr>
            </w:pPr>
          </w:p>
        </w:tc>
        <w:tc>
          <w:tcPr>
            <w:tcW w:w="54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002856"/>
              </w:rPr>
              <w:t>2023</w:t>
            </w:r>
          </w:p>
        </w:tc>
        <w:tc>
          <w:tcPr>
            <w:tcW w:w="50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002856"/>
              </w:rPr>
              <w:t>2022</w:t>
            </w:r>
          </w:p>
        </w:tc>
        <w:tc>
          <w:tcPr>
            <w:tcW w:w="10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002856"/>
                <w:w w:val="97"/>
              </w:rPr>
              <w:t>2023</w:t>
            </w:r>
          </w:p>
        </w:tc>
        <w:tc>
          <w:tcPr>
            <w:tcW w:w="120" w:type="dxa"/>
            <w:vAlign w:val="bottom"/>
          </w:tcPr>
          <w:p>
            <w:pPr>
              <w:spacing w:after="0"/>
              <w:rPr>
                <w:sz w:val="2"/>
                <w:szCs w:val="2"/>
                <w:color w:val="auto"/>
              </w:rPr>
            </w:pPr>
          </w:p>
        </w:tc>
        <w:tc>
          <w:tcPr>
            <w:tcW w:w="500" w:type="dxa"/>
            <w:vAlign w:val="bottom"/>
            <w:vMerge w:val="restart"/>
          </w:tcPr>
          <w:p>
            <w:pPr>
              <w:jc w:val="center"/>
              <w:spacing w:after="0"/>
              <w:rPr>
                <w:sz w:val="20"/>
                <w:szCs w:val="20"/>
                <w:color w:val="auto"/>
              </w:rPr>
            </w:pPr>
            <w:r>
              <w:rPr>
                <w:rFonts w:ascii="Arial" w:cs="Arial" w:eastAsia="Arial" w:hAnsi="Arial"/>
                <w:sz w:val="11"/>
                <w:szCs w:val="11"/>
                <w:b w:val="1"/>
                <w:bCs w:val="1"/>
                <w:color w:val="002856"/>
                <w:w w:val="89"/>
              </w:rPr>
              <w:t>2022</w:t>
            </w:r>
          </w:p>
        </w:tc>
        <w:tc>
          <w:tcPr>
            <w:tcW w:w="120" w:type="dxa"/>
            <w:vAlign w:val="bottom"/>
          </w:tcPr>
          <w:p>
            <w:pPr>
              <w:spacing w:after="0"/>
              <w:rPr>
                <w:sz w:val="2"/>
                <w:szCs w:val="2"/>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002856"/>
                <w:w w:val="97"/>
              </w:rPr>
              <w:t>2022</w:t>
            </w:r>
          </w:p>
        </w:tc>
        <w:tc>
          <w:tcPr>
            <w:tcW w:w="120" w:type="dxa"/>
            <w:vAlign w:val="bottom"/>
          </w:tcPr>
          <w:p>
            <w:pPr>
              <w:spacing w:after="0"/>
              <w:rPr>
                <w:sz w:val="2"/>
                <w:szCs w:val="2"/>
                <w:color w:val="auto"/>
              </w:rPr>
            </w:pPr>
          </w:p>
        </w:tc>
        <w:tc>
          <w:tcPr>
            <w:tcW w:w="560" w:type="dxa"/>
            <w:vAlign w:val="bottom"/>
            <w:vMerge w:val="restart"/>
          </w:tcPr>
          <w:p>
            <w:pPr>
              <w:jc w:val="right"/>
              <w:ind w:right="142"/>
              <w:spacing w:after="0"/>
              <w:rPr>
                <w:sz w:val="20"/>
                <w:szCs w:val="20"/>
                <w:color w:val="auto"/>
              </w:rPr>
            </w:pPr>
            <w:r>
              <w:rPr>
                <w:rFonts w:ascii="Arial" w:cs="Arial" w:eastAsia="Arial" w:hAnsi="Arial"/>
                <w:sz w:val="11"/>
                <w:szCs w:val="11"/>
                <w:b w:val="1"/>
                <w:bCs w:val="1"/>
                <w:color w:val="002856"/>
              </w:rPr>
              <w:t>2023</w:t>
            </w:r>
          </w:p>
        </w:tc>
        <w:tc>
          <w:tcPr>
            <w:tcW w:w="500" w:type="dxa"/>
            <w:vAlign w:val="bottom"/>
            <w:vMerge w:val="restart"/>
          </w:tcPr>
          <w:p>
            <w:pPr>
              <w:jc w:val="right"/>
              <w:ind w:right="59"/>
              <w:spacing w:after="0"/>
              <w:rPr>
                <w:sz w:val="20"/>
                <w:szCs w:val="20"/>
                <w:color w:val="auto"/>
              </w:rPr>
            </w:pPr>
            <w:r>
              <w:rPr>
                <w:rFonts w:ascii="Arial" w:cs="Arial" w:eastAsia="Arial" w:hAnsi="Arial"/>
                <w:sz w:val="11"/>
                <w:szCs w:val="11"/>
                <w:b w:val="1"/>
                <w:bCs w:val="1"/>
                <w:color w:val="002856"/>
              </w:rPr>
              <w:t>2022</w:t>
            </w: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140" w:type="dxa"/>
            <w:vAlign w:val="bottom"/>
            <w:vMerge w:val="restart"/>
          </w:tcPr>
          <w:p>
            <w:pPr>
              <w:ind w:left="80"/>
              <w:spacing w:after="0"/>
              <w:rPr>
                <w:sz w:val="20"/>
                <w:szCs w:val="20"/>
                <w:color w:val="auto"/>
              </w:rPr>
            </w:pPr>
            <w:r>
              <w:rPr>
                <w:rFonts w:ascii="Arial" w:cs="Arial" w:eastAsia="Arial" w:hAnsi="Arial"/>
                <w:sz w:val="11"/>
                <w:szCs w:val="11"/>
                <w:b w:val="1"/>
                <w:bCs w:val="1"/>
                <w:color w:val="002856"/>
              </w:rPr>
              <w:t>except percentages)</w:t>
            </w:r>
          </w:p>
        </w:tc>
        <w:tc>
          <w:tcPr>
            <w:tcW w:w="5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center"/>
              <w:ind w:right="2"/>
              <w:spacing w:after="0"/>
              <w:rPr>
                <w:sz w:val="20"/>
                <w:szCs w:val="20"/>
                <w:color w:val="auto"/>
              </w:rPr>
            </w:pPr>
            <w:r>
              <w:rPr>
                <w:rFonts w:ascii="Arial" w:cs="Arial" w:eastAsia="Arial" w:hAnsi="Arial"/>
                <w:sz w:val="11"/>
                <w:szCs w:val="11"/>
                <w:b w:val="1"/>
                <w:bCs w:val="1"/>
                <w:color w:val="002856"/>
                <w:w w:val="99"/>
              </w:rPr>
              <w:t>Change</w:t>
            </w:r>
          </w:p>
        </w:tc>
        <w:tc>
          <w:tcPr>
            <w:tcW w:w="680" w:type="dxa"/>
            <w:vAlign w:val="bottom"/>
            <w:vMerge w:val="restart"/>
          </w:tcPr>
          <w:p>
            <w:pPr>
              <w:jc w:val="center"/>
              <w:ind w:right="143"/>
              <w:spacing w:after="0"/>
              <w:rPr>
                <w:sz w:val="20"/>
                <w:szCs w:val="20"/>
                <w:color w:val="auto"/>
              </w:rPr>
            </w:pPr>
            <w:r>
              <w:rPr>
                <w:rFonts w:ascii="Arial" w:cs="Arial" w:eastAsia="Arial" w:hAnsi="Arial"/>
                <w:sz w:val="11"/>
                <w:szCs w:val="11"/>
                <w:b w:val="1"/>
                <w:bCs w:val="1"/>
                <w:color w:val="002856"/>
                <w:w w:val="81"/>
              </w:rPr>
              <w:t>%</w:t>
            </w:r>
          </w:p>
        </w:tc>
        <w:tc>
          <w:tcPr>
            <w:tcW w:w="4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002856"/>
                <w:w w:val="98"/>
              </w:rPr>
              <w:t>Growth</w:t>
            </w:r>
          </w:p>
        </w:tc>
        <w:tc>
          <w:tcPr>
            <w:tcW w:w="70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002856"/>
              </w:rPr>
              <w:t>%</w:t>
            </w:r>
          </w:p>
        </w:tc>
        <w:tc>
          <w:tcPr>
            <w:tcW w:w="0" w:type="dxa"/>
            <w:vAlign w:val="bottom"/>
          </w:tcPr>
          <w:p>
            <w:pPr>
              <w:spacing w:after="0"/>
              <w:rPr>
                <w:sz w:val="1"/>
                <w:szCs w:val="1"/>
                <w:color w:val="auto"/>
              </w:rPr>
            </w:pPr>
          </w:p>
        </w:tc>
      </w:tr>
      <w:tr>
        <w:trPr>
          <w:trHeight w:val="47"/>
        </w:trPr>
        <w:tc>
          <w:tcPr>
            <w:tcW w:w="2140" w:type="dxa"/>
            <w:vAlign w:val="bottom"/>
            <w:tcBorders>
              <w:bottom w:val="single" w:sz="8" w:color="C6093B"/>
            </w:tcBorders>
            <w:vMerge w:val="continue"/>
          </w:tcPr>
          <w:p>
            <w:pPr>
              <w:spacing w:after="0"/>
              <w:rPr>
                <w:sz w:val="4"/>
                <w:szCs w:val="4"/>
                <w:color w:val="auto"/>
              </w:rPr>
            </w:pPr>
          </w:p>
        </w:tc>
        <w:tc>
          <w:tcPr>
            <w:tcW w:w="540" w:type="dxa"/>
            <w:vAlign w:val="bottom"/>
            <w:tcBorders>
              <w:bottom w:val="single" w:sz="8" w:color="C6093B"/>
            </w:tcBorders>
          </w:tcPr>
          <w:p>
            <w:pPr>
              <w:spacing w:after="0"/>
              <w:rPr>
                <w:sz w:val="4"/>
                <w:szCs w:val="4"/>
                <w:color w:val="auto"/>
              </w:rPr>
            </w:pPr>
          </w:p>
        </w:tc>
        <w:tc>
          <w:tcPr>
            <w:tcW w:w="500" w:type="dxa"/>
            <w:vAlign w:val="bottom"/>
            <w:tcBorders>
              <w:bottom w:val="single" w:sz="8" w:color="C6093B"/>
            </w:tcBorders>
          </w:tcPr>
          <w:p>
            <w:pPr>
              <w:spacing w:after="0"/>
              <w:rPr>
                <w:sz w:val="4"/>
                <w:szCs w:val="4"/>
                <w:color w:val="auto"/>
              </w:rPr>
            </w:pPr>
          </w:p>
        </w:tc>
        <w:tc>
          <w:tcPr>
            <w:tcW w:w="60" w:type="dxa"/>
            <w:vAlign w:val="bottom"/>
            <w:tcBorders>
              <w:bottom w:val="single" w:sz="8" w:color="C6093B"/>
            </w:tcBorders>
          </w:tcPr>
          <w:p>
            <w:pPr>
              <w:spacing w:after="0"/>
              <w:rPr>
                <w:sz w:val="4"/>
                <w:szCs w:val="4"/>
                <w:color w:val="auto"/>
              </w:rPr>
            </w:pPr>
          </w:p>
        </w:tc>
        <w:tc>
          <w:tcPr>
            <w:tcW w:w="540" w:type="dxa"/>
            <w:vAlign w:val="bottom"/>
            <w:tcBorders>
              <w:bottom w:val="single" w:sz="8" w:color="C6093B"/>
            </w:tcBorders>
            <w:vMerge w:val="continue"/>
          </w:tcPr>
          <w:p>
            <w:pPr>
              <w:spacing w:after="0"/>
              <w:rPr>
                <w:sz w:val="4"/>
                <w:szCs w:val="4"/>
                <w:color w:val="auto"/>
              </w:rPr>
            </w:pPr>
          </w:p>
        </w:tc>
        <w:tc>
          <w:tcPr>
            <w:tcW w:w="680" w:type="dxa"/>
            <w:vAlign w:val="bottom"/>
            <w:tcBorders>
              <w:bottom w:val="single" w:sz="8" w:color="C6093B"/>
            </w:tcBorders>
            <w:vMerge w:val="continue"/>
          </w:tcPr>
          <w:p>
            <w:pPr>
              <w:spacing w:after="0"/>
              <w:rPr>
                <w:sz w:val="4"/>
                <w:szCs w:val="4"/>
                <w:color w:val="auto"/>
              </w:rPr>
            </w:pPr>
          </w:p>
        </w:tc>
        <w:tc>
          <w:tcPr>
            <w:tcW w:w="420" w:type="dxa"/>
            <w:vAlign w:val="bottom"/>
            <w:tcBorders>
              <w:bottom w:val="single" w:sz="8" w:color="C6093B"/>
            </w:tcBorders>
          </w:tcPr>
          <w:p>
            <w:pPr>
              <w:spacing w:after="0"/>
              <w:rPr>
                <w:sz w:val="4"/>
                <w:szCs w:val="4"/>
                <w:color w:val="auto"/>
              </w:rPr>
            </w:pPr>
          </w:p>
        </w:tc>
        <w:tc>
          <w:tcPr>
            <w:tcW w:w="340" w:type="dxa"/>
            <w:vAlign w:val="bottom"/>
            <w:tcBorders>
              <w:bottom w:val="single" w:sz="8" w:color="C6093B"/>
            </w:tcBorders>
          </w:tcPr>
          <w:p>
            <w:pPr>
              <w:spacing w:after="0"/>
              <w:rPr>
                <w:sz w:val="4"/>
                <w:szCs w:val="4"/>
                <w:color w:val="auto"/>
              </w:rPr>
            </w:pPr>
          </w:p>
        </w:tc>
        <w:tc>
          <w:tcPr>
            <w:tcW w:w="120" w:type="dxa"/>
            <w:vAlign w:val="bottom"/>
            <w:tcBorders>
              <w:bottom w:val="single" w:sz="8" w:color="C6093B"/>
            </w:tcBorders>
          </w:tcPr>
          <w:p>
            <w:pPr>
              <w:spacing w:after="0"/>
              <w:rPr>
                <w:sz w:val="4"/>
                <w:szCs w:val="4"/>
                <w:color w:val="auto"/>
              </w:rPr>
            </w:pPr>
          </w:p>
        </w:tc>
        <w:tc>
          <w:tcPr>
            <w:tcW w:w="540" w:type="dxa"/>
            <w:vAlign w:val="bottom"/>
            <w:tcBorders>
              <w:bottom w:val="single" w:sz="8" w:color="C6093B"/>
            </w:tcBorders>
          </w:tcPr>
          <w:p>
            <w:pPr>
              <w:spacing w:after="0"/>
              <w:rPr>
                <w:sz w:val="4"/>
                <w:szCs w:val="4"/>
                <w:color w:val="auto"/>
              </w:rPr>
            </w:pPr>
          </w:p>
        </w:tc>
        <w:tc>
          <w:tcPr>
            <w:tcW w:w="500" w:type="dxa"/>
            <w:vAlign w:val="bottom"/>
            <w:tcBorders>
              <w:bottom w:val="single" w:sz="8" w:color="C6093B"/>
            </w:tcBorders>
          </w:tcPr>
          <w:p>
            <w:pPr>
              <w:spacing w:after="0"/>
              <w:rPr>
                <w:sz w:val="4"/>
                <w:szCs w:val="4"/>
                <w:color w:val="auto"/>
              </w:rPr>
            </w:pPr>
          </w:p>
        </w:tc>
        <w:tc>
          <w:tcPr>
            <w:tcW w:w="100" w:type="dxa"/>
            <w:vAlign w:val="bottom"/>
            <w:tcBorders>
              <w:bottom w:val="single" w:sz="8" w:color="C6093B"/>
            </w:tcBorders>
          </w:tcPr>
          <w:p>
            <w:pPr>
              <w:spacing w:after="0"/>
              <w:rPr>
                <w:sz w:val="4"/>
                <w:szCs w:val="4"/>
                <w:color w:val="auto"/>
              </w:rPr>
            </w:pPr>
          </w:p>
        </w:tc>
        <w:tc>
          <w:tcPr>
            <w:tcW w:w="580" w:type="dxa"/>
            <w:vAlign w:val="bottom"/>
            <w:tcBorders>
              <w:bottom w:val="single" w:sz="8" w:color="C6093B"/>
            </w:tcBorders>
          </w:tcPr>
          <w:p>
            <w:pPr>
              <w:spacing w:after="0"/>
              <w:rPr>
                <w:sz w:val="4"/>
                <w:szCs w:val="4"/>
                <w:color w:val="auto"/>
              </w:rPr>
            </w:pPr>
          </w:p>
        </w:tc>
        <w:tc>
          <w:tcPr>
            <w:tcW w:w="120" w:type="dxa"/>
            <w:vAlign w:val="bottom"/>
            <w:tcBorders>
              <w:bottom w:val="single" w:sz="8" w:color="C6093B"/>
            </w:tcBorders>
          </w:tcPr>
          <w:p>
            <w:pPr>
              <w:spacing w:after="0"/>
              <w:rPr>
                <w:sz w:val="4"/>
                <w:szCs w:val="4"/>
                <w:color w:val="auto"/>
              </w:rPr>
            </w:pPr>
          </w:p>
        </w:tc>
        <w:tc>
          <w:tcPr>
            <w:tcW w:w="500" w:type="dxa"/>
            <w:vAlign w:val="bottom"/>
            <w:tcBorders>
              <w:bottom w:val="single" w:sz="8" w:color="C6093B"/>
            </w:tcBorders>
          </w:tcPr>
          <w:p>
            <w:pPr>
              <w:spacing w:after="0"/>
              <w:rPr>
                <w:sz w:val="4"/>
                <w:szCs w:val="4"/>
                <w:color w:val="auto"/>
              </w:rPr>
            </w:pPr>
          </w:p>
        </w:tc>
        <w:tc>
          <w:tcPr>
            <w:tcW w:w="120" w:type="dxa"/>
            <w:vAlign w:val="bottom"/>
            <w:tcBorders>
              <w:bottom w:val="single" w:sz="8" w:color="C6093B"/>
            </w:tcBorders>
          </w:tcPr>
          <w:p>
            <w:pPr>
              <w:spacing w:after="0"/>
              <w:rPr>
                <w:sz w:val="4"/>
                <w:szCs w:val="4"/>
                <w:color w:val="auto"/>
              </w:rPr>
            </w:pPr>
          </w:p>
        </w:tc>
        <w:tc>
          <w:tcPr>
            <w:tcW w:w="560" w:type="dxa"/>
            <w:vAlign w:val="bottom"/>
            <w:tcBorders>
              <w:bottom w:val="single" w:sz="8" w:color="C6093B"/>
            </w:tcBorders>
          </w:tcPr>
          <w:p>
            <w:pPr>
              <w:spacing w:after="0"/>
              <w:rPr>
                <w:sz w:val="4"/>
                <w:szCs w:val="4"/>
                <w:color w:val="auto"/>
              </w:rPr>
            </w:pPr>
          </w:p>
        </w:tc>
        <w:tc>
          <w:tcPr>
            <w:tcW w:w="120" w:type="dxa"/>
            <w:vAlign w:val="bottom"/>
            <w:tcBorders>
              <w:bottom w:val="single" w:sz="8" w:color="C6093B"/>
            </w:tcBorders>
          </w:tcPr>
          <w:p>
            <w:pPr>
              <w:spacing w:after="0"/>
              <w:rPr>
                <w:sz w:val="4"/>
                <w:szCs w:val="4"/>
                <w:color w:val="auto"/>
              </w:rPr>
            </w:pPr>
          </w:p>
        </w:tc>
        <w:tc>
          <w:tcPr>
            <w:tcW w:w="560" w:type="dxa"/>
            <w:vAlign w:val="bottom"/>
            <w:tcBorders>
              <w:bottom w:val="single" w:sz="8" w:color="C6093B"/>
            </w:tcBorders>
          </w:tcPr>
          <w:p>
            <w:pPr>
              <w:spacing w:after="0"/>
              <w:rPr>
                <w:sz w:val="4"/>
                <w:szCs w:val="4"/>
                <w:color w:val="auto"/>
              </w:rPr>
            </w:pPr>
          </w:p>
        </w:tc>
        <w:tc>
          <w:tcPr>
            <w:tcW w:w="500" w:type="dxa"/>
            <w:vAlign w:val="bottom"/>
            <w:tcBorders>
              <w:bottom w:val="single" w:sz="8" w:color="C6093B"/>
            </w:tcBorders>
          </w:tcPr>
          <w:p>
            <w:pPr>
              <w:spacing w:after="0"/>
              <w:rPr>
                <w:sz w:val="4"/>
                <w:szCs w:val="4"/>
                <w:color w:val="auto"/>
              </w:rPr>
            </w:pPr>
          </w:p>
        </w:tc>
        <w:tc>
          <w:tcPr>
            <w:tcW w:w="60" w:type="dxa"/>
            <w:vAlign w:val="bottom"/>
            <w:tcBorders>
              <w:bottom w:val="single" w:sz="8" w:color="C6093B"/>
            </w:tcBorders>
          </w:tcPr>
          <w:p>
            <w:pPr>
              <w:spacing w:after="0"/>
              <w:rPr>
                <w:sz w:val="4"/>
                <w:szCs w:val="4"/>
                <w:color w:val="auto"/>
              </w:rPr>
            </w:pPr>
          </w:p>
        </w:tc>
        <w:tc>
          <w:tcPr>
            <w:tcW w:w="620" w:type="dxa"/>
            <w:vAlign w:val="bottom"/>
            <w:tcBorders>
              <w:bottom w:val="single" w:sz="8" w:color="C6093B"/>
            </w:tcBorders>
            <w:vMerge w:val="continue"/>
          </w:tcPr>
          <w:p>
            <w:pPr>
              <w:spacing w:after="0"/>
              <w:rPr>
                <w:sz w:val="4"/>
                <w:szCs w:val="4"/>
                <w:color w:val="auto"/>
              </w:rPr>
            </w:pPr>
          </w:p>
        </w:tc>
        <w:tc>
          <w:tcPr>
            <w:tcW w:w="700" w:type="dxa"/>
            <w:vAlign w:val="bottom"/>
            <w:tcBorders>
              <w:bottom w:val="single" w:sz="8" w:color="C6093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140" w:type="dxa"/>
            <w:vAlign w:val="bottom"/>
            <w:tcBorders>
              <w:bottom w:val="single" w:sz="8" w:color="4C4C4C"/>
            </w:tcBorders>
          </w:tcPr>
          <w:p>
            <w:pPr>
              <w:ind w:left="100"/>
              <w:spacing w:after="0"/>
              <w:rPr>
                <w:sz w:val="20"/>
                <w:szCs w:val="20"/>
                <w:color w:val="auto"/>
              </w:rPr>
            </w:pPr>
            <w:r>
              <w:rPr>
                <w:rFonts w:ascii="Arial" w:cs="Arial" w:eastAsia="Arial" w:hAnsi="Arial"/>
                <w:sz w:val="12"/>
                <w:szCs w:val="12"/>
                <w:color w:val="auto"/>
              </w:rPr>
              <w:t>Retail</w:t>
            </w:r>
            <w:r>
              <w:rPr>
                <w:rFonts w:ascii="Arial" w:cs="Arial" w:eastAsia="Arial" w:hAnsi="Arial"/>
                <w:sz w:val="18"/>
                <w:szCs w:val="18"/>
                <w:color w:val="auto"/>
                <w:vertAlign w:val="superscript"/>
              </w:rPr>
              <w:t>(1)</w:t>
            </w:r>
          </w:p>
        </w:tc>
        <w:tc>
          <w:tcPr>
            <w:tcW w:w="54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2,433.0</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2,080.4</w:t>
            </w:r>
          </w:p>
        </w:tc>
        <w:tc>
          <w:tcPr>
            <w:tcW w:w="540" w:type="dxa"/>
            <w:vAlign w:val="bottom"/>
            <w:tcBorders>
              <w:bottom w:val="single" w:sz="8" w:color="4C4C4C"/>
            </w:tcBorders>
          </w:tcPr>
          <w:p>
            <w:pPr>
              <w:jc w:val="right"/>
              <w:ind w:right="42"/>
              <w:spacing w:after="0"/>
              <w:rPr>
                <w:sz w:val="20"/>
                <w:szCs w:val="20"/>
                <w:color w:val="auto"/>
              </w:rPr>
            </w:pPr>
            <w:r>
              <w:rPr>
                <w:rFonts w:ascii="Arial" w:cs="Arial" w:eastAsia="Arial" w:hAnsi="Arial"/>
                <w:sz w:val="12"/>
                <w:szCs w:val="12"/>
                <w:color w:val="auto"/>
              </w:rPr>
              <w:t>352.6</w:t>
            </w:r>
          </w:p>
        </w:tc>
        <w:tc>
          <w:tcPr>
            <w:tcW w:w="680" w:type="dxa"/>
            <w:vAlign w:val="bottom"/>
            <w:tcBorders>
              <w:bottom w:val="single" w:sz="8" w:color="4C4C4C"/>
            </w:tcBorders>
          </w:tcPr>
          <w:p>
            <w:pPr>
              <w:jc w:val="right"/>
              <w:ind w:right="83"/>
              <w:spacing w:after="0"/>
              <w:rPr>
                <w:sz w:val="20"/>
                <w:szCs w:val="20"/>
                <w:color w:val="auto"/>
              </w:rPr>
            </w:pPr>
            <w:r>
              <w:rPr>
                <w:rFonts w:ascii="Arial" w:cs="Arial" w:eastAsia="Arial" w:hAnsi="Arial"/>
                <w:sz w:val="12"/>
                <w:szCs w:val="12"/>
                <w:color w:val="auto"/>
              </w:rPr>
              <w:t>16.9%</w:t>
            </w:r>
          </w:p>
        </w:tc>
        <w:tc>
          <w:tcPr>
            <w:tcW w:w="42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49.9</w:t>
            </w:r>
          </w:p>
        </w:tc>
        <w:tc>
          <w:tcPr>
            <w:tcW w:w="46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48.8</w:t>
            </w:r>
          </w:p>
        </w:tc>
        <w:tc>
          <w:tcPr>
            <w:tcW w:w="54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2,383.1</w:t>
            </w:r>
          </w:p>
        </w:tc>
        <w:tc>
          <w:tcPr>
            <w:tcW w:w="60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2,031.6</w:t>
            </w:r>
          </w:p>
        </w:tc>
        <w:tc>
          <w:tcPr>
            <w:tcW w:w="7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203.5</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20.2</w:t>
            </w:r>
          </w:p>
        </w:tc>
        <w:tc>
          <w:tcPr>
            <w:tcW w:w="68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8.8</w:t>
            </w:r>
          </w:p>
        </w:tc>
        <w:tc>
          <w:tcPr>
            <w:tcW w:w="56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2,179.6</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2,020.2</w:t>
            </w:r>
          </w:p>
        </w:tc>
        <w:tc>
          <w:tcPr>
            <w:tcW w:w="620" w:type="dxa"/>
            <w:vAlign w:val="bottom"/>
            <w:tcBorders>
              <w:bottom w:val="single" w:sz="8" w:color="4C4C4C"/>
            </w:tcBorders>
          </w:tcPr>
          <w:p>
            <w:pPr>
              <w:jc w:val="right"/>
              <w:ind w:right="42"/>
              <w:spacing w:after="0"/>
              <w:rPr>
                <w:sz w:val="20"/>
                <w:szCs w:val="20"/>
                <w:color w:val="auto"/>
              </w:rPr>
            </w:pPr>
            <w:r>
              <w:rPr>
                <w:rFonts w:ascii="Arial" w:cs="Arial" w:eastAsia="Arial" w:hAnsi="Arial"/>
                <w:sz w:val="12"/>
                <w:szCs w:val="12"/>
                <w:color w:val="auto"/>
              </w:rPr>
              <w:t>159.4</w:t>
            </w:r>
          </w:p>
        </w:tc>
        <w:tc>
          <w:tcPr>
            <w:tcW w:w="70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94"/>
        </w:trPr>
        <w:tc>
          <w:tcPr>
            <w:tcW w:w="2140" w:type="dxa"/>
            <w:vAlign w:val="bottom"/>
          </w:tcPr>
          <w:p>
            <w:pPr>
              <w:ind w:left="100"/>
              <w:spacing w:after="0"/>
              <w:rPr>
                <w:sz w:val="20"/>
                <w:szCs w:val="20"/>
                <w:color w:val="auto"/>
              </w:rPr>
            </w:pPr>
            <w:r>
              <w:rPr>
                <w:rFonts w:ascii="Arial" w:cs="Arial" w:eastAsia="Arial" w:hAnsi="Arial"/>
                <w:sz w:val="12"/>
                <w:szCs w:val="12"/>
                <w:color w:val="auto"/>
              </w:rPr>
              <w:t>National Programs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1,064.3</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858.1</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206.2</w:t>
            </w: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24.0%</w:t>
            </w:r>
          </w:p>
        </w:tc>
        <w:tc>
          <w:tcPr>
            <w:tcW w:w="420" w:type="dxa"/>
            <w:vAlign w:val="bottom"/>
          </w:tcPr>
          <w:p>
            <w:pPr>
              <w:jc w:val="right"/>
              <w:spacing w:after="0"/>
              <w:rPr>
                <w:sz w:val="20"/>
                <w:szCs w:val="20"/>
                <w:color w:val="auto"/>
              </w:rPr>
            </w:pPr>
            <w:r>
              <w:rPr>
                <w:rFonts w:ascii="Arial" w:cs="Arial" w:eastAsia="Arial" w:hAnsi="Arial"/>
                <w:sz w:val="12"/>
                <w:szCs w:val="12"/>
                <w:color w:val="auto"/>
              </w:rPr>
              <w:t>65.2</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27.6</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999.1</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830.5</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47.1</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18.0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952.0</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812.5</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139.5</w:t>
            </w: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54"/>
        </w:trPr>
        <w:tc>
          <w:tcPr>
            <w:tcW w:w="21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100"/>
              <w:spacing w:after="0"/>
              <w:rPr>
                <w:sz w:val="20"/>
                <w:szCs w:val="20"/>
                <w:color w:val="auto"/>
              </w:rPr>
            </w:pPr>
            <w:r>
              <w:rPr>
                <w:rFonts w:ascii="Arial" w:cs="Arial" w:eastAsia="Arial" w:hAnsi="Arial"/>
                <w:sz w:val="12"/>
                <w:szCs w:val="12"/>
                <w:color w:val="auto"/>
              </w:rPr>
              <w:t>Wholesale Brokerage</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539.0</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452.8</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86.2</w:t>
            </w: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19.0%</w:t>
            </w:r>
          </w:p>
        </w:tc>
        <w:tc>
          <w:tcPr>
            <w:tcW w:w="420" w:type="dxa"/>
            <w:vAlign w:val="bottom"/>
          </w:tcPr>
          <w:p>
            <w:pPr>
              <w:jc w:val="right"/>
              <w:spacing w:after="0"/>
              <w:rPr>
                <w:sz w:val="20"/>
                <w:szCs w:val="20"/>
                <w:color w:val="auto"/>
              </w:rPr>
            </w:pPr>
            <w:r>
              <w:rPr>
                <w:rFonts w:ascii="Arial" w:cs="Arial" w:eastAsia="Arial" w:hAnsi="Arial"/>
                <w:sz w:val="12"/>
                <w:szCs w:val="12"/>
                <w:color w:val="auto"/>
              </w:rPr>
              <w:t>14.8</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524.2</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440.5</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34.4</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5.0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1.1</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489,8</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436.6</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53.2</w:t>
            </w: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54"/>
        </w:trPr>
        <w:tc>
          <w:tcPr>
            <w:tcW w:w="21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100"/>
              <w:spacing w:after="0"/>
              <w:rPr>
                <w:sz w:val="20"/>
                <w:szCs w:val="20"/>
                <w:color w:val="auto"/>
              </w:rPr>
            </w:pPr>
            <w:r>
              <w:rPr>
                <w:rFonts w:ascii="Arial" w:cs="Arial" w:eastAsia="Arial" w:hAnsi="Arial"/>
                <w:sz w:val="12"/>
                <w:szCs w:val="12"/>
                <w:color w:val="auto"/>
              </w:rPr>
              <w:t>Services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163.1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171.9</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(8.8)</w:t>
            </w:r>
          </w:p>
        </w:tc>
        <w:tc>
          <w:tcPr>
            <w:tcW w:w="680" w:type="dxa"/>
            <w:vAlign w:val="bottom"/>
          </w:tcPr>
          <w:p>
            <w:pPr>
              <w:jc w:val="right"/>
              <w:ind w:right="43"/>
              <w:spacing w:after="0"/>
              <w:rPr>
                <w:sz w:val="20"/>
                <w:szCs w:val="20"/>
                <w:color w:val="auto"/>
              </w:rPr>
            </w:pPr>
            <w:r>
              <w:rPr>
                <w:rFonts w:ascii="Arial" w:cs="Arial" w:eastAsia="Arial" w:hAnsi="Arial"/>
                <w:sz w:val="12"/>
                <w:szCs w:val="12"/>
                <w:color w:val="auto"/>
              </w:rPr>
              <w:t>(5.1)%</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163.1</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171.9</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7.8</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163.1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164.1</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700" w:type="dxa"/>
            <w:vAlign w:val="bottom"/>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54"/>
        </w:trPr>
        <w:tc>
          <w:tcPr>
            <w:tcW w:w="21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100"/>
              <w:spacing w:after="0"/>
              <w:rPr>
                <w:sz w:val="20"/>
                <w:szCs w:val="20"/>
                <w:color w:val="auto"/>
              </w:rPr>
            </w:pPr>
            <w:r>
              <w:rPr>
                <w:rFonts w:ascii="Arial" w:cs="Arial" w:eastAsia="Arial" w:hAnsi="Arial"/>
                <w:sz w:val="12"/>
                <w:szCs w:val="12"/>
                <w:color w:val="auto"/>
              </w:rPr>
              <w:t>Total Company</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4,199.4</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3,563.2</w:t>
            </w: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636.2</w:t>
            </w:r>
          </w:p>
        </w:tc>
        <w:tc>
          <w:tcPr>
            <w:tcW w:w="680" w:type="dxa"/>
            <w:vAlign w:val="bottom"/>
          </w:tcPr>
          <w:p>
            <w:pPr>
              <w:jc w:val="right"/>
              <w:ind w:right="83"/>
              <w:spacing w:after="0"/>
              <w:rPr>
                <w:sz w:val="20"/>
                <w:szCs w:val="20"/>
                <w:color w:val="auto"/>
              </w:rPr>
            </w:pPr>
            <w:r>
              <w:rPr>
                <w:rFonts w:ascii="Arial" w:cs="Arial" w:eastAsia="Arial" w:hAnsi="Arial"/>
                <w:sz w:val="12"/>
                <w:szCs w:val="12"/>
                <w:color w:val="auto"/>
              </w:rPr>
              <w:t>17.9%</w:t>
            </w:r>
          </w:p>
        </w:tc>
        <w:tc>
          <w:tcPr>
            <w:tcW w:w="420" w:type="dxa"/>
            <w:vAlign w:val="bottom"/>
          </w:tcPr>
          <w:p>
            <w:pPr>
              <w:jc w:val="right"/>
              <w:spacing w:after="0"/>
              <w:rPr>
                <w:sz w:val="20"/>
                <w:szCs w:val="20"/>
                <w:color w:val="auto"/>
              </w:rPr>
            </w:pPr>
            <w:r>
              <w:rPr>
                <w:rFonts w:ascii="Arial" w:cs="Arial" w:eastAsia="Arial" w:hAnsi="Arial"/>
                <w:sz w:val="12"/>
                <w:szCs w:val="12"/>
                <w:color w:val="auto"/>
              </w:rPr>
              <w:t>129.9</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88.7</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4,069.5</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3,474.5</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285.0</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9.9</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3,784.5</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3,433.4</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351.1</w:t>
            </w:r>
          </w:p>
        </w:tc>
        <w:tc>
          <w:tcPr>
            <w:tcW w:w="700" w:type="dxa"/>
            <w:vAlign w:val="bottom"/>
          </w:tcPr>
          <w:p>
            <w:pPr>
              <w:jc w:val="right"/>
              <w:ind w:right="23"/>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300" w:hanging="213"/>
        <w:spacing w:after="0" w:line="201"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2"/>
          <w:szCs w:val="12"/>
          <w:color w:val="auto"/>
        </w:rPr>
        <w:t>The Retail segment includes commissions and fees reported in the “Other” column of the Segment Information table in Note 16 of the Notes to the Consolidated Financial Statements, which includes corporate and consolidation items.</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total commissions and fees, included in the Consolidated Statement of Income, to Organic Revenue growth, which for 2022 excludes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for the year ended December 31, 2022,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40" w:type="dxa"/>
            <w:vAlign w:val="bottom"/>
          </w:tcPr>
          <w:p>
            <w:pPr>
              <w:spacing w:after="0"/>
              <w:rPr>
                <w:sz w:val="10"/>
                <w:szCs w:val="10"/>
                <w:color w:val="auto"/>
              </w:rPr>
            </w:pPr>
          </w:p>
        </w:tc>
        <w:tc>
          <w:tcPr>
            <w:tcW w:w="680" w:type="dxa"/>
            <w:vAlign w:val="bottom"/>
          </w:tcPr>
          <w:p>
            <w:pPr>
              <w:jc w:val="center"/>
              <w:ind w:right="142"/>
              <w:spacing w:after="0"/>
              <w:rPr>
                <w:sz w:val="20"/>
                <w:szCs w:val="20"/>
                <w:color w:val="auto"/>
              </w:rPr>
            </w:pPr>
            <w:r>
              <w:rPr>
                <w:rFonts w:ascii="Arial" w:cs="Arial" w:eastAsia="Arial" w:hAnsi="Arial"/>
                <w:sz w:val="11"/>
                <w:szCs w:val="11"/>
                <w:b w:val="1"/>
                <w:bCs w:val="1"/>
                <w:color w:val="002856"/>
                <w:w w:val="91"/>
              </w:rPr>
              <w:t>Total</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02856"/>
                <w:w w:val="99"/>
              </w:rPr>
              <w:t>Foreign</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jc w:val="center"/>
              <w:ind w:right="82"/>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2180" w:type="dxa"/>
            <w:vAlign w:val="bottom"/>
          </w:tcPr>
          <w:p>
            <w:pPr>
              <w:spacing w:after="0"/>
              <w:rPr>
                <w:sz w:val="10"/>
                <w:szCs w:val="10"/>
                <w:color w:val="auto"/>
              </w:rPr>
            </w:pPr>
          </w:p>
        </w:tc>
        <w:tc>
          <w:tcPr>
            <w:tcW w:w="110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540" w:type="dxa"/>
            <w:vAlign w:val="bottom"/>
          </w:tcPr>
          <w:p>
            <w:pPr>
              <w:jc w:val="center"/>
              <w:ind w:right="1"/>
              <w:spacing w:after="0" w:line="121" w:lineRule="exact"/>
              <w:rPr>
                <w:sz w:val="20"/>
                <w:szCs w:val="20"/>
                <w:color w:val="auto"/>
              </w:rPr>
            </w:pPr>
            <w:r>
              <w:rPr>
                <w:rFonts w:ascii="Arial" w:cs="Arial" w:eastAsia="Arial" w:hAnsi="Arial"/>
                <w:sz w:val="11"/>
                <w:szCs w:val="11"/>
                <w:b w:val="1"/>
                <w:bCs w:val="1"/>
                <w:color w:val="002856"/>
                <w:w w:val="91"/>
              </w:rPr>
              <w:t>Total</w:t>
            </w:r>
          </w:p>
        </w:tc>
        <w:tc>
          <w:tcPr>
            <w:tcW w:w="680" w:type="dxa"/>
            <w:vAlign w:val="bottom"/>
          </w:tcPr>
          <w:p>
            <w:pPr>
              <w:jc w:val="center"/>
              <w:ind w:right="142"/>
              <w:spacing w:after="0" w:line="121" w:lineRule="exact"/>
              <w:rPr>
                <w:sz w:val="20"/>
                <w:szCs w:val="20"/>
                <w:color w:val="auto"/>
              </w:rPr>
            </w:pPr>
            <w:r>
              <w:rPr>
                <w:rFonts w:ascii="Arial" w:cs="Arial" w:eastAsia="Arial" w:hAnsi="Arial"/>
                <w:sz w:val="11"/>
                <w:szCs w:val="11"/>
                <w:b w:val="1"/>
                <w:bCs w:val="1"/>
                <w:color w:val="002856"/>
                <w:w w:val="90"/>
              </w:rPr>
              <w:t>Net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Acquisition</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rPr>
              <w:t>Divested</w:t>
            </w: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9"/>
              </w:rPr>
              <w:t>Currency</w:t>
            </w:r>
          </w:p>
        </w:tc>
        <w:tc>
          <w:tcPr>
            <w:tcW w:w="1120" w:type="dxa"/>
            <w:vAlign w:val="bottom"/>
            <w:gridSpan w:val="3"/>
          </w:tcPr>
          <w:p>
            <w:pPr>
              <w:jc w:val="right"/>
              <w:ind w:right="380"/>
              <w:spacing w:after="0" w:line="121" w:lineRule="exact"/>
              <w:rPr>
                <w:sz w:val="20"/>
                <w:szCs w:val="20"/>
                <w:color w:val="auto"/>
              </w:rPr>
            </w:pPr>
            <w:r>
              <w:rPr>
                <w:rFonts w:ascii="Arial" w:cs="Arial" w:eastAsia="Arial" w:hAnsi="Arial"/>
                <w:sz w:val="11"/>
                <w:szCs w:val="11"/>
                <w:b w:val="1"/>
                <w:bCs w:val="1"/>
                <w:color w:val="002856"/>
              </w:rPr>
              <w:t>Organic</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Organic</w:t>
            </w:r>
          </w:p>
        </w:tc>
        <w:tc>
          <w:tcPr>
            <w:tcW w:w="700" w:type="dxa"/>
            <w:vAlign w:val="bottom"/>
          </w:tcPr>
          <w:p>
            <w:pPr>
              <w:jc w:val="center"/>
              <w:ind w:right="82"/>
              <w:spacing w:after="0" w:line="121"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2180" w:type="dxa"/>
            <w:vAlign w:val="bottom"/>
          </w:tcPr>
          <w:p>
            <w:pPr>
              <w:ind w:left="80"/>
              <w:spacing w:after="0" w:line="121" w:lineRule="exact"/>
              <w:rPr>
                <w:sz w:val="20"/>
                <w:szCs w:val="20"/>
                <w:color w:val="auto"/>
              </w:rPr>
            </w:pPr>
            <w:r>
              <w:rPr>
                <w:rFonts w:ascii="Arial" w:cs="Arial" w:eastAsia="Arial" w:hAnsi="Arial"/>
                <w:sz w:val="11"/>
                <w:szCs w:val="11"/>
                <w:b w:val="1"/>
                <w:bCs w:val="1"/>
                <w:color w:val="002856"/>
              </w:rPr>
              <w:t>(in millions,</w:t>
            </w:r>
          </w:p>
        </w:tc>
        <w:tc>
          <w:tcPr>
            <w:tcW w:w="110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Net</w:t>
            </w:r>
          </w:p>
        </w:tc>
        <w:tc>
          <w:tcPr>
            <w:tcW w:w="680" w:type="dxa"/>
            <w:vAlign w:val="bottom"/>
          </w:tcPr>
          <w:p>
            <w:pPr>
              <w:jc w:val="center"/>
              <w:ind w:right="142"/>
              <w:spacing w:after="0" w:line="121" w:lineRule="exact"/>
              <w:rPr>
                <w:sz w:val="20"/>
                <w:szCs w:val="20"/>
                <w:color w:val="auto"/>
              </w:rPr>
            </w:pPr>
            <w:r>
              <w:rPr>
                <w:rFonts w:ascii="Arial" w:cs="Arial" w:eastAsia="Arial" w:hAnsi="Arial"/>
                <w:sz w:val="11"/>
                <w:szCs w:val="11"/>
                <w:b w:val="1"/>
                <w:bCs w:val="1"/>
                <w:color w:val="002856"/>
                <w:w w:val="93"/>
              </w:rPr>
              <w:t>Growth</w:t>
            </w:r>
          </w:p>
        </w:tc>
        <w:tc>
          <w:tcPr>
            <w:tcW w:w="8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002856"/>
              </w:rPr>
              <w:t>Contingents</w:t>
            </w:r>
          </w:p>
        </w:tc>
        <w:tc>
          <w:tcPr>
            <w:tcW w:w="1180" w:type="dxa"/>
            <w:vAlign w:val="bottom"/>
            <w:gridSpan w:val="3"/>
          </w:tcPr>
          <w:p>
            <w:pPr>
              <w:jc w:val="center"/>
              <w:ind w:right="10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Revenues</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3"/>
              </w:rPr>
              <w:t>Business</w:t>
            </w:r>
          </w:p>
        </w:tc>
        <w:tc>
          <w:tcPr>
            <w:tcW w:w="6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4"/>
              </w:rPr>
              <w:t>Translation</w:t>
            </w:r>
          </w:p>
        </w:tc>
        <w:tc>
          <w:tcPr>
            <w:tcW w:w="1120" w:type="dxa"/>
            <w:vAlign w:val="bottom"/>
            <w:gridSpan w:val="3"/>
          </w:tcPr>
          <w:p>
            <w:pPr>
              <w:jc w:val="right"/>
              <w:ind w:right="32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Revenue</w:t>
            </w:r>
          </w:p>
        </w:tc>
        <w:tc>
          <w:tcPr>
            <w:tcW w:w="700" w:type="dxa"/>
            <w:vAlign w:val="bottom"/>
          </w:tcPr>
          <w:p>
            <w:pPr>
              <w:jc w:val="center"/>
              <w:ind w:right="62"/>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2180" w:type="dxa"/>
            <w:vAlign w:val="bottom"/>
            <w:tcBorders>
              <w:bottom w:val="single" w:sz="8" w:color="C6093B"/>
            </w:tcBorders>
          </w:tcPr>
          <w:p>
            <w:pPr>
              <w:ind w:left="80"/>
              <w:spacing w:after="0" w:line="121" w:lineRule="exact"/>
              <w:rPr>
                <w:sz w:val="20"/>
                <w:szCs w:val="20"/>
                <w:color w:val="auto"/>
              </w:rPr>
            </w:pPr>
            <w:r>
              <w:rPr>
                <w:rFonts w:ascii="Arial" w:cs="Arial" w:eastAsia="Arial" w:hAnsi="Arial"/>
                <w:sz w:val="11"/>
                <w:szCs w:val="11"/>
                <w:b w:val="1"/>
                <w:bCs w:val="1"/>
                <w:color w:val="002856"/>
              </w:rPr>
              <w:t>except percentages)</w:t>
            </w:r>
          </w:p>
        </w:tc>
        <w:tc>
          <w:tcPr>
            <w:tcW w:w="540" w:type="dxa"/>
            <w:vAlign w:val="bottom"/>
            <w:tcBorders>
              <w:top w:val="single" w:sz="8" w:color="C6093B"/>
              <w:bottom w:val="single" w:sz="8" w:color="C6093B"/>
            </w:tcBorders>
          </w:tcPr>
          <w:p>
            <w:pPr>
              <w:jc w:val="right"/>
              <w:ind w:right="142"/>
              <w:spacing w:after="0" w:line="121" w:lineRule="exact"/>
              <w:rPr>
                <w:sz w:val="20"/>
                <w:szCs w:val="20"/>
                <w:color w:val="auto"/>
              </w:rPr>
            </w:pPr>
            <w:r>
              <w:rPr>
                <w:rFonts w:ascii="Arial" w:cs="Arial" w:eastAsia="Arial" w:hAnsi="Arial"/>
                <w:sz w:val="11"/>
                <w:szCs w:val="11"/>
                <w:b w:val="1"/>
                <w:bCs w:val="1"/>
                <w:color w:val="002856"/>
              </w:rPr>
              <w:t>2022</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2021</w:t>
            </w:r>
          </w:p>
        </w:tc>
        <w:tc>
          <w:tcPr>
            <w:tcW w:w="60" w:type="dxa"/>
            <w:vAlign w:val="bottom"/>
            <w:tcBorders>
              <w:bottom w:val="single" w:sz="8" w:color="C6093B"/>
            </w:tcBorders>
          </w:tcPr>
          <w:p>
            <w:pPr>
              <w:spacing w:after="0"/>
              <w:rPr>
                <w:sz w:val="11"/>
                <w:szCs w:val="11"/>
                <w:color w:val="auto"/>
              </w:rPr>
            </w:pPr>
          </w:p>
        </w:tc>
        <w:tc>
          <w:tcPr>
            <w:tcW w:w="540" w:type="dxa"/>
            <w:vAlign w:val="bottom"/>
            <w:tcBorders>
              <w:bottom w:val="single" w:sz="8" w:color="C6093B"/>
            </w:tcBorders>
          </w:tcPr>
          <w:p>
            <w:pPr>
              <w:jc w:val="center"/>
              <w:ind w:right="1"/>
              <w:spacing w:after="0" w:line="121" w:lineRule="exact"/>
              <w:rPr>
                <w:sz w:val="20"/>
                <w:szCs w:val="20"/>
                <w:color w:val="auto"/>
              </w:rPr>
            </w:pPr>
            <w:r>
              <w:rPr>
                <w:rFonts w:ascii="Arial" w:cs="Arial" w:eastAsia="Arial" w:hAnsi="Arial"/>
                <w:sz w:val="11"/>
                <w:szCs w:val="11"/>
                <w:b w:val="1"/>
                <w:bCs w:val="1"/>
                <w:color w:val="002856"/>
                <w:w w:val="99"/>
              </w:rPr>
              <w:t>Change</w:t>
            </w:r>
          </w:p>
        </w:tc>
        <w:tc>
          <w:tcPr>
            <w:tcW w:w="680" w:type="dxa"/>
            <w:vAlign w:val="bottom"/>
            <w:tcBorders>
              <w:bottom w:val="single" w:sz="8" w:color="C6093B"/>
            </w:tcBorders>
          </w:tcPr>
          <w:p>
            <w:pPr>
              <w:jc w:val="center"/>
              <w:ind w:right="142"/>
              <w:spacing w:after="0" w:line="121" w:lineRule="exact"/>
              <w:rPr>
                <w:sz w:val="20"/>
                <w:szCs w:val="20"/>
                <w:color w:val="auto"/>
              </w:rPr>
            </w:pPr>
            <w:r>
              <w:rPr>
                <w:rFonts w:ascii="Arial" w:cs="Arial" w:eastAsia="Arial" w:hAnsi="Arial"/>
                <w:sz w:val="11"/>
                <w:szCs w:val="11"/>
                <w:b w:val="1"/>
                <w:bCs w:val="1"/>
                <w:color w:val="002856"/>
                <w:w w:val="81"/>
              </w:rPr>
              <w:t>%</w:t>
            </w:r>
          </w:p>
        </w:tc>
        <w:tc>
          <w:tcPr>
            <w:tcW w:w="360" w:type="dxa"/>
            <w:vAlign w:val="bottom"/>
            <w:tcBorders>
              <w:top w:val="single" w:sz="8" w:color="C6093B"/>
              <w:bottom w:val="single" w:sz="8" w:color="C6093B"/>
            </w:tcBorders>
          </w:tcPr>
          <w:p>
            <w:pPr>
              <w:jc w:val="right"/>
              <w:ind w:right="40"/>
              <w:spacing w:after="0" w:line="121" w:lineRule="exact"/>
              <w:rPr>
                <w:sz w:val="20"/>
                <w:szCs w:val="20"/>
                <w:color w:val="auto"/>
              </w:rPr>
            </w:pPr>
            <w:r>
              <w:rPr>
                <w:rFonts w:ascii="Arial" w:cs="Arial" w:eastAsia="Arial" w:hAnsi="Arial"/>
                <w:sz w:val="11"/>
                <w:szCs w:val="11"/>
                <w:b w:val="1"/>
                <w:bCs w:val="1"/>
                <w:color w:val="002856"/>
                <w:w w:val="97"/>
              </w:rPr>
              <w:t>2022</w:t>
            </w:r>
          </w:p>
        </w:tc>
        <w:tc>
          <w:tcPr>
            <w:tcW w:w="34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2021</w:t>
            </w:r>
          </w:p>
        </w:tc>
        <w:tc>
          <w:tcPr>
            <w:tcW w:w="10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3"/>
              <w:spacing w:after="0" w:line="121" w:lineRule="exact"/>
              <w:rPr>
                <w:sz w:val="20"/>
                <w:szCs w:val="20"/>
                <w:color w:val="auto"/>
              </w:rPr>
            </w:pPr>
            <w:r>
              <w:rPr>
                <w:rFonts w:ascii="Arial" w:cs="Arial" w:eastAsia="Arial" w:hAnsi="Arial"/>
                <w:sz w:val="11"/>
                <w:szCs w:val="11"/>
                <w:b w:val="1"/>
                <w:bCs w:val="1"/>
                <w:color w:val="002856"/>
              </w:rPr>
              <w:t>2022</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2021</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2022</w:t>
            </w:r>
          </w:p>
        </w:tc>
        <w:tc>
          <w:tcPr>
            <w:tcW w:w="120" w:type="dxa"/>
            <w:vAlign w:val="bottom"/>
            <w:tcBorders>
              <w:bottom w:val="single" w:sz="8" w:color="C6093B"/>
            </w:tcBorders>
          </w:tcPr>
          <w:p>
            <w:pPr>
              <w:spacing w:after="0"/>
              <w:rPr>
                <w:sz w:val="11"/>
                <w:szCs w:val="11"/>
                <w:color w:val="auto"/>
              </w:rPr>
            </w:pPr>
          </w:p>
        </w:tc>
        <w:tc>
          <w:tcPr>
            <w:tcW w:w="50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89"/>
              </w:rPr>
              <w:t>2021</w:t>
            </w:r>
          </w:p>
        </w:tc>
        <w:tc>
          <w:tcPr>
            <w:tcW w:w="12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2021</w:t>
            </w:r>
          </w:p>
        </w:tc>
        <w:tc>
          <w:tcPr>
            <w:tcW w:w="12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2"/>
              <w:spacing w:after="0" w:line="121" w:lineRule="exact"/>
              <w:rPr>
                <w:sz w:val="20"/>
                <w:szCs w:val="20"/>
                <w:color w:val="auto"/>
              </w:rPr>
            </w:pPr>
            <w:r>
              <w:rPr>
                <w:rFonts w:ascii="Arial" w:cs="Arial" w:eastAsia="Arial" w:hAnsi="Arial"/>
                <w:sz w:val="11"/>
                <w:szCs w:val="11"/>
                <w:b w:val="1"/>
                <w:bCs w:val="1"/>
                <w:color w:val="002856"/>
              </w:rPr>
              <w:t>2022</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2021</w:t>
            </w:r>
          </w:p>
        </w:tc>
        <w:tc>
          <w:tcPr>
            <w:tcW w:w="60" w:type="dxa"/>
            <w:vAlign w:val="bottom"/>
            <w:tcBorders>
              <w:bottom w:val="single" w:sz="8" w:color="C6093B"/>
            </w:tcBorders>
          </w:tcPr>
          <w:p>
            <w:pPr>
              <w:spacing w:after="0"/>
              <w:rPr>
                <w:sz w:val="11"/>
                <w:szCs w:val="11"/>
                <w:color w:val="auto"/>
              </w:rPr>
            </w:pPr>
          </w:p>
        </w:tc>
        <w:tc>
          <w:tcPr>
            <w:tcW w:w="62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8"/>
              </w:rPr>
              <w:t>Growth</w:t>
            </w:r>
          </w:p>
        </w:tc>
        <w:tc>
          <w:tcPr>
            <w:tcW w:w="700" w:type="dxa"/>
            <w:vAlign w:val="bottom"/>
            <w:tcBorders>
              <w:bottom w:val="single" w:sz="8" w:color="C6093B"/>
            </w:tcBorders>
          </w:tcPr>
          <w:p>
            <w:pPr>
              <w:jc w:val="center"/>
              <w:ind w:right="62"/>
              <w:spacing w:after="0" w:line="121" w:lineRule="exact"/>
              <w:rPr>
                <w:sz w:val="20"/>
                <w:szCs w:val="20"/>
                <w:color w:val="auto"/>
              </w:rPr>
            </w:pPr>
            <w:r>
              <w:rPr>
                <w:rFonts w:ascii="Arial" w:cs="Arial" w:eastAsia="Arial" w:hAnsi="Arial"/>
                <w:sz w:val="11"/>
                <w:szCs w:val="11"/>
                <w:b w:val="1"/>
                <w:bCs w:val="1"/>
                <w:color w:val="002856"/>
              </w:rPr>
              <w:t>%</w:t>
            </w:r>
          </w:p>
        </w:tc>
      </w:tr>
      <w:tr>
        <w:trPr>
          <w:trHeight w:val="254"/>
        </w:trPr>
        <w:tc>
          <w:tcPr>
            <w:tcW w:w="2180" w:type="dxa"/>
            <w:vAlign w:val="bottom"/>
            <w:tcBorders>
              <w:bottom w:val="single" w:sz="8" w:color="4C4C4C"/>
            </w:tcBorders>
          </w:tcPr>
          <w:p>
            <w:pPr>
              <w:ind w:left="100"/>
              <w:spacing w:after="0"/>
              <w:rPr>
                <w:sz w:val="20"/>
                <w:szCs w:val="20"/>
                <w:color w:val="auto"/>
              </w:rPr>
            </w:pPr>
            <w:r>
              <w:rPr>
                <w:rFonts w:ascii="Arial" w:cs="Arial" w:eastAsia="Arial" w:hAnsi="Arial"/>
                <w:sz w:val="12"/>
                <w:szCs w:val="12"/>
                <w:color w:val="auto"/>
              </w:rPr>
              <w:t>Retail</w:t>
            </w:r>
            <w:r>
              <w:rPr>
                <w:rFonts w:ascii="Arial" w:cs="Arial" w:eastAsia="Arial" w:hAnsi="Arial"/>
                <w:sz w:val="18"/>
                <w:szCs w:val="18"/>
                <w:color w:val="auto"/>
                <w:vertAlign w:val="superscript"/>
              </w:rPr>
              <w:t>(1)</w:t>
            </w:r>
          </w:p>
        </w:tc>
        <w:tc>
          <w:tcPr>
            <w:tcW w:w="54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2,080.4</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1,764.9</w:t>
            </w:r>
          </w:p>
        </w:tc>
        <w:tc>
          <w:tcPr>
            <w:tcW w:w="540" w:type="dxa"/>
            <w:vAlign w:val="bottom"/>
            <w:tcBorders>
              <w:bottom w:val="single" w:sz="8" w:color="4C4C4C"/>
            </w:tcBorders>
          </w:tcPr>
          <w:p>
            <w:pPr>
              <w:jc w:val="right"/>
              <w:ind w:right="41"/>
              <w:spacing w:after="0"/>
              <w:rPr>
                <w:sz w:val="20"/>
                <w:szCs w:val="20"/>
                <w:color w:val="auto"/>
              </w:rPr>
            </w:pPr>
            <w:r>
              <w:rPr>
                <w:rFonts w:ascii="Arial" w:cs="Arial" w:eastAsia="Arial" w:hAnsi="Arial"/>
                <w:sz w:val="12"/>
                <w:szCs w:val="12"/>
                <w:color w:val="auto"/>
              </w:rPr>
              <w:t>315.5</w:t>
            </w:r>
          </w:p>
        </w:tc>
        <w:tc>
          <w:tcPr>
            <w:tcW w:w="680" w:type="dxa"/>
            <w:vAlign w:val="bottom"/>
            <w:tcBorders>
              <w:bottom w:val="single" w:sz="8" w:color="4C4C4C"/>
            </w:tcBorders>
          </w:tcPr>
          <w:p>
            <w:pPr>
              <w:jc w:val="right"/>
              <w:ind w:right="82"/>
              <w:spacing w:after="0"/>
              <w:rPr>
                <w:sz w:val="20"/>
                <w:szCs w:val="20"/>
                <w:color w:val="auto"/>
              </w:rPr>
            </w:pPr>
            <w:r>
              <w:rPr>
                <w:rFonts w:ascii="Arial" w:cs="Arial" w:eastAsia="Arial" w:hAnsi="Arial"/>
                <w:sz w:val="12"/>
                <w:szCs w:val="12"/>
                <w:color w:val="auto"/>
              </w:rPr>
              <w:t>17.9%</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48.8</w:t>
            </w:r>
          </w:p>
        </w:tc>
        <w:tc>
          <w:tcPr>
            <w:tcW w:w="44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38.9</w:t>
            </w:r>
          </w:p>
        </w:tc>
        <w:tc>
          <w:tcPr>
            <w:tcW w:w="56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2,031.6</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1,726.0</w:t>
            </w:r>
          </w:p>
        </w:tc>
        <w:tc>
          <w:tcPr>
            <w:tcW w:w="7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205.1</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7.2</w:t>
            </w:r>
          </w:p>
        </w:tc>
        <w:tc>
          <w:tcPr>
            <w:tcW w:w="68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3.9</w:t>
            </w:r>
          </w:p>
        </w:tc>
        <w:tc>
          <w:tcPr>
            <w:tcW w:w="56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1,826.5</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1,714.9</w:t>
            </w:r>
          </w:p>
        </w:tc>
        <w:tc>
          <w:tcPr>
            <w:tcW w:w="620" w:type="dxa"/>
            <w:vAlign w:val="bottom"/>
            <w:tcBorders>
              <w:bottom w:val="single" w:sz="8" w:color="4C4C4C"/>
            </w:tcBorders>
          </w:tcPr>
          <w:p>
            <w:pPr>
              <w:jc w:val="right"/>
              <w:ind w:right="41"/>
              <w:spacing w:after="0"/>
              <w:rPr>
                <w:sz w:val="20"/>
                <w:szCs w:val="20"/>
                <w:color w:val="auto"/>
              </w:rPr>
            </w:pPr>
            <w:r>
              <w:rPr>
                <w:rFonts w:ascii="Arial" w:cs="Arial" w:eastAsia="Arial" w:hAnsi="Arial"/>
                <w:sz w:val="12"/>
                <w:szCs w:val="12"/>
                <w:color w:val="auto"/>
              </w:rPr>
              <w:t>111.6</w:t>
            </w:r>
          </w:p>
        </w:tc>
        <w:tc>
          <w:tcPr>
            <w:tcW w:w="70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6.5%</w:t>
            </w:r>
          </w:p>
        </w:tc>
      </w:tr>
      <w:tr>
        <w:trPr>
          <w:trHeight w:val="194"/>
        </w:trPr>
        <w:tc>
          <w:tcPr>
            <w:tcW w:w="2180" w:type="dxa"/>
            <w:vAlign w:val="bottom"/>
          </w:tcPr>
          <w:p>
            <w:pPr>
              <w:ind w:left="100"/>
              <w:spacing w:after="0"/>
              <w:rPr>
                <w:sz w:val="20"/>
                <w:szCs w:val="20"/>
                <w:color w:val="auto"/>
              </w:rPr>
            </w:pPr>
            <w:r>
              <w:rPr>
                <w:rFonts w:ascii="Arial" w:cs="Arial" w:eastAsia="Arial" w:hAnsi="Arial"/>
                <w:sz w:val="12"/>
                <w:szCs w:val="12"/>
                <w:color w:val="auto"/>
              </w:rPr>
              <w:t>National Programs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858.1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701.1</w:t>
            </w: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157.0</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22.4%</w:t>
            </w:r>
          </w:p>
        </w:tc>
        <w:tc>
          <w:tcPr>
            <w:tcW w:w="360" w:type="dxa"/>
            <w:vAlign w:val="bottom"/>
          </w:tcPr>
          <w:p>
            <w:pPr>
              <w:jc w:val="right"/>
              <w:spacing w:after="0"/>
              <w:rPr>
                <w:sz w:val="20"/>
                <w:szCs w:val="20"/>
                <w:color w:val="auto"/>
              </w:rPr>
            </w:pPr>
            <w:r>
              <w:rPr>
                <w:rFonts w:ascii="Arial" w:cs="Arial" w:eastAsia="Arial" w:hAnsi="Arial"/>
                <w:sz w:val="12"/>
                <w:szCs w:val="12"/>
                <w:color w:val="auto"/>
              </w:rPr>
              <w:t>27.6</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35.3</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830.5</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665.8</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64.9</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3.3</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0.6</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765.6</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661.9</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103.7</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15.7%</w:t>
            </w:r>
          </w:p>
        </w:tc>
      </w:tr>
      <w:tr>
        <w:trPr>
          <w:trHeight w:val="54"/>
        </w:trPr>
        <w:tc>
          <w:tcPr>
            <w:tcW w:w="218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180" w:type="dxa"/>
            <w:vAlign w:val="bottom"/>
          </w:tcPr>
          <w:p>
            <w:pPr>
              <w:ind w:left="100"/>
              <w:spacing w:after="0"/>
              <w:rPr>
                <w:sz w:val="20"/>
                <w:szCs w:val="20"/>
                <w:color w:val="auto"/>
              </w:rPr>
            </w:pPr>
            <w:r>
              <w:rPr>
                <w:rFonts w:ascii="Arial" w:cs="Arial" w:eastAsia="Arial" w:hAnsi="Arial"/>
                <w:sz w:val="12"/>
                <w:szCs w:val="12"/>
                <w:color w:val="auto"/>
              </w:rPr>
              <w:t>Wholesale Brokerage</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452.8</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402.6</w:t>
            </w: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50.2</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12.5%</w:t>
            </w:r>
          </w:p>
        </w:tc>
        <w:tc>
          <w:tcPr>
            <w:tcW w:w="360" w:type="dxa"/>
            <w:vAlign w:val="bottom"/>
          </w:tcPr>
          <w:p>
            <w:pPr>
              <w:jc w:val="right"/>
              <w:spacing w:after="0"/>
              <w:rPr>
                <w:sz w:val="20"/>
                <w:szCs w:val="20"/>
                <w:color w:val="auto"/>
              </w:rPr>
            </w:pPr>
            <w:r>
              <w:rPr>
                <w:rFonts w:ascii="Arial" w:cs="Arial" w:eastAsia="Arial" w:hAnsi="Arial"/>
                <w:sz w:val="12"/>
                <w:szCs w:val="12"/>
                <w:color w:val="auto"/>
              </w:rPr>
              <w:t>12.3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8.0</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440.5</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394.6</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18.6</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2.4</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421.9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392.2</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29.7</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7.6%</w:t>
            </w:r>
          </w:p>
        </w:tc>
      </w:tr>
      <w:tr>
        <w:trPr>
          <w:trHeight w:val="54"/>
        </w:trPr>
        <w:tc>
          <w:tcPr>
            <w:tcW w:w="218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180" w:type="dxa"/>
            <w:vAlign w:val="bottom"/>
          </w:tcPr>
          <w:p>
            <w:pPr>
              <w:ind w:left="100"/>
              <w:spacing w:after="0"/>
              <w:rPr>
                <w:sz w:val="20"/>
                <w:szCs w:val="20"/>
                <w:color w:val="auto"/>
              </w:rPr>
            </w:pPr>
            <w:r>
              <w:rPr>
                <w:rFonts w:ascii="Arial" w:cs="Arial" w:eastAsia="Arial" w:hAnsi="Arial"/>
                <w:sz w:val="12"/>
                <w:szCs w:val="12"/>
                <w:color w:val="auto"/>
              </w:rPr>
              <w:t>Services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171.9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178.9</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(7.0)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(3.9)%</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171.9</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178.9</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171.9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177.0</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(5.1)</w:t>
            </w:r>
          </w:p>
        </w:tc>
        <w:tc>
          <w:tcPr>
            <w:tcW w:w="70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54"/>
        </w:trPr>
        <w:tc>
          <w:tcPr>
            <w:tcW w:w="218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180" w:type="dxa"/>
            <w:vAlign w:val="bottom"/>
          </w:tcPr>
          <w:p>
            <w:pPr>
              <w:ind w:left="100"/>
              <w:spacing w:after="0"/>
              <w:rPr>
                <w:sz w:val="20"/>
                <w:szCs w:val="20"/>
                <w:color w:val="auto"/>
              </w:rPr>
            </w:pPr>
            <w:r>
              <w:rPr>
                <w:rFonts w:ascii="Arial" w:cs="Arial" w:eastAsia="Arial" w:hAnsi="Arial"/>
                <w:sz w:val="12"/>
                <w:szCs w:val="12"/>
                <w:color w:val="auto"/>
              </w:rPr>
              <w:t>Total Company</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3,563.2</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3,047.5</w:t>
            </w:r>
          </w:p>
        </w:tc>
        <w:tc>
          <w:tcPr>
            <w:tcW w:w="540" w:type="dxa"/>
            <w:vAlign w:val="bottom"/>
          </w:tcPr>
          <w:p>
            <w:pPr>
              <w:jc w:val="right"/>
              <w:ind w:right="41"/>
              <w:spacing w:after="0"/>
              <w:rPr>
                <w:sz w:val="20"/>
                <w:szCs w:val="20"/>
                <w:color w:val="auto"/>
              </w:rPr>
            </w:pPr>
            <w:r>
              <w:rPr>
                <w:rFonts w:ascii="Arial" w:cs="Arial" w:eastAsia="Arial" w:hAnsi="Arial"/>
                <w:sz w:val="12"/>
                <w:szCs w:val="12"/>
                <w:color w:val="auto"/>
              </w:rPr>
              <w:t>515.7</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16.9%</w:t>
            </w:r>
          </w:p>
        </w:tc>
        <w:tc>
          <w:tcPr>
            <w:tcW w:w="360" w:type="dxa"/>
            <w:vAlign w:val="bottom"/>
          </w:tcPr>
          <w:p>
            <w:pPr>
              <w:jc w:val="right"/>
              <w:spacing w:after="0"/>
              <w:rPr>
                <w:sz w:val="20"/>
                <w:szCs w:val="20"/>
                <w:color w:val="auto"/>
              </w:rPr>
            </w:pPr>
            <w:r>
              <w:rPr>
                <w:rFonts w:ascii="Arial" w:cs="Arial" w:eastAsia="Arial" w:hAnsi="Arial"/>
                <w:sz w:val="12"/>
                <w:szCs w:val="12"/>
                <w:color w:val="auto"/>
              </w:rPr>
              <w:t>88.7</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82.2</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3,474.5</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2,965.3</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288.6</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14.8</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4.5</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3,185.9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2,946.0</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239.9</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300" w:hanging="213"/>
        <w:spacing w:after="0" w:line="201" w:lineRule="auto"/>
        <w:tabs>
          <w:tab w:leader="none" w:pos="220" w:val="left"/>
        </w:tabs>
        <w:numPr>
          <w:ilvl w:val="0"/>
          <w:numId w:val="65"/>
        </w:numPr>
        <w:rPr>
          <w:rFonts w:ascii="Arial" w:cs="Arial" w:eastAsia="Arial" w:hAnsi="Arial"/>
          <w:sz w:val="19"/>
          <w:szCs w:val="19"/>
          <w:color w:val="auto"/>
          <w:vertAlign w:val="superscript"/>
        </w:rPr>
      </w:pPr>
      <w:r>
        <w:rPr>
          <w:rFonts w:ascii="Arial" w:cs="Arial" w:eastAsia="Arial" w:hAnsi="Arial"/>
          <w:sz w:val="12"/>
          <w:szCs w:val="12"/>
          <w:color w:val="auto"/>
        </w:rPr>
        <w:t>The Retail segment includes commissions and fees reported in the “Other” column of the Segment Information table in Note 16 of the Notes to the Consolidated Financial Statements, which includes corporate and consolidation items.</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65"/>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5"/>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total commissions and fees, included in the Consolidated Statement of Income, to Organic Revenue growth, which for 2021 excludes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for the year ended December 31, 2021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00" w:type="dxa"/>
            <w:vAlign w:val="bottom"/>
          </w:tcPr>
          <w:p>
            <w:pPr>
              <w:spacing w:after="0"/>
              <w:rPr>
                <w:sz w:val="10"/>
                <w:szCs w:val="10"/>
                <w:color w:val="auto"/>
              </w:rPr>
            </w:pPr>
          </w:p>
        </w:tc>
        <w:tc>
          <w:tcPr>
            <w:tcW w:w="640" w:type="dxa"/>
            <w:vAlign w:val="bottom"/>
          </w:tcPr>
          <w:p>
            <w:pPr>
              <w:jc w:val="center"/>
              <w:ind w:right="102"/>
              <w:spacing w:after="0"/>
              <w:rPr>
                <w:sz w:val="20"/>
                <w:szCs w:val="20"/>
                <w:color w:val="auto"/>
              </w:rPr>
            </w:pPr>
            <w:r>
              <w:rPr>
                <w:rFonts w:ascii="Arial" w:cs="Arial" w:eastAsia="Arial" w:hAnsi="Arial"/>
                <w:sz w:val="11"/>
                <w:szCs w:val="11"/>
                <w:b w:val="1"/>
                <w:bCs w:val="1"/>
                <w:color w:val="002856"/>
                <w:w w:val="91"/>
              </w:rPr>
              <w:t>Total</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002856"/>
                <w:w w:val="94"/>
              </w:rPr>
              <w:t>Foreign</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jc w:val="center"/>
              <w:ind w:right="42"/>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1560" w:type="dxa"/>
            <w:vAlign w:val="bottom"/>
          </w:tcPr>
          <w:p>
            <w:pPr>
              <w:spacing w:after="0"/>
              <w:rPr>
                <w:sz w:val="10"/>
                <w:szCs w:val="10"/>
                <w:color w:val="auto"/>
              </w:rPr>
            </w:pPr>
          </w:p>
        </w:tc>
        <w:tc>
          <w:tcPr>
            <w:tcW w:w="110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002856"/>
                <w:w w:val="99"/>
              </w:rPr>
              <w:t>Commissions</w:t>
            </w:r>
          </w:p>
        </w:tc>
        <w:tc>
          <w:tcPr>
            <w:tcW w:w="50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8"/>
              </w:rPr>
              <w:t>Total</w:t>
            </w:r>
          </w:p>
        </w:tc>
        <w:tc>
          <w:tcPr>
            <w:tcW w:w="640" w:type="dxa"/>
            <w:vAlign w:val="bottom"/>
          </w:tcPr>
          <w:p>
            <w:pPr>
              <w:jc w:val="center"/>
              <w:ind w:right="82"/>
              <w:spacing w:after="0" w:line="121" w:lineRule="exact"/>
              <w:rPr>
                <w:sz w:val="20"/>
                <w:szCs w:val="20"/>
                <w:color w:val="auto"/>
              </w:rPr>
            </w:pPr>
            <w:r>
              <w:rPr>
                <w:rFonts w:ascii="Arial" w:cs="Arial" w:eastAsia="Arial" w:hAnsi="Arial"/>
                <w:sz w:val="11"/>
                <w:szCs w:val="11"/>
                <w:b w:val="1"/>
                <w:bCs w:val="1"/>
                <w:color w:val="002856"/>
              </w:rPr>
              <w:t>Net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Acquisition</w:t>
            </w: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002856"/>
                <w:w w:val="95"/>
              </w:rPr>
              <w:t>Divested</w:t>
            </w:r>
          </w:p>
        </w:tc>
        <w:tc>
          <w:tcPr>
            <w:tcW w:w="7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002856"/>
                <w:w w:val="95"/>
              </w:rPr>
              <w:t>Currency</w:t>
            </w:r>
          </w:p>
        </w:tc>
        <w:tc>
          <w:tcPr>
            <w:tcW w:w="11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002856"/>
              </w:rPr>
              <w:t>Organic</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6"/>
              </w:rPr>
              <w:t>Organic</w:t>
            </w:r>
          </w:p>
        </w:tc>
        <w:tc>
          <w:tcPr>
            <w:tcW w:w="660" w:type="dxa"/>
            <w:vAlign w:val="bottom"/>
          </w:tcPr>
          <w:p>
            <w:pPr>
              <w:jc w:val="center"/>
              <w:ind w:right="42"/>
              <w:spacing w:after="0" w:line="121"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1560" w:type="dxa"/>
            <w:vAlign w:val="bottom"/>
          </w:tcPr>
          <w:p>
            <w:pPr>
              <w:spacing w:after="0" w:line="121" w:lineRule="exact"/>
              <w:rPr>
                <w:sz w:val="20"/>
                <w:szCs w:val="20"/>
                <w:color w:val="auto"/>
              </w:rPr>
            </w:pPr>
            <w:r>
              <w:rPr>
                <w:rFonts w:ascii="Arial" w:cs="Arial" w:eastAsia="Arial" w:hAnsi="Arial"/>
                <w:sz w:val="11"/>
                <w:szCs w:val="11"/>
                <w:b w:val="1"/>
                <w:bCs w:val="1"/>
                <w:color w:val="002856"/>
              </w:rPr>
              <w:t>(in thousands,</w:t>
            </w:r>
          </w:p>
        </w:tc>
        <w:tc>
          <w:tcPr>
            <w:tcW w:w="110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002856"/>
              </w:rPr>
              <w:t>and Fees</w:t>
            </w:r>
          </w:p>
        </w:tc>
        <w:tc>
          <w:tcPr>
            <w:tcW w:w="50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Net</w:t>
            </w:r>
          </w:p>
        </w:tc>
        <w:tc>
          <w:tcPr>
            <w:tcW w:w="640" w:type="dxa"/>
            <w:vAlign w:val="bottom"/>
          </w:tcPr>
          <w:p>
            <w:pPr>
              <w:jc w:val="center"/>
              <w:ind w:right="82"/>
              <w:spacing w:after="0" w:line="121" w:lineRule="exact"/>
              <w:rPr>
                <w:sz w:val="20"/>
                <w:szCs w:val="20"/>
                <w:color w:val="auto"/>
              </w:rPr>
            </w:pPr>
            <w:r>
              <w:rPr>
                <w:rFonts w:ascii="Arial" w:cs="Arial" w:eastAsia="Arial" w:hAnsi="Arial"/>
                <w:sz w:val="11"/>
                <w:szCs w:val="11"/>
                <w:b w:val="1"/>
                <w:bCs w:val="1"/>
                <w:color w:val="002856"/>
                <w:w w:val="98"/>
              </w:rPr>
              <w:t>Growth</w:t>
            </w:r>
          </w:p>
        </w:tc>
        <w:tc>
          <w:tcPr>
            <w:tcW w:w="800" w:type="dxa"/>
            <w:vAlign w:val="bottom"/>
            <w:gridSpan w:val="3"/>
          </w:tcPr>
          <w:p>
            <w:pPr>
              <w:jc w:val="right"/>
              <w:ind w:right="140"/>
              <w:spacing w:after="0" w:line="121" w:lineRule="exact"/>
              <w:rPr>
                <w:sz w:val="20"/>
                <w:szCs w:val="20"/>
                <w:color w:val="auto"/>
              </w:rPr>
            </w:pPr>
            <w:r>
              <w:rPr>
                <w:rFonts w:ascii="Arial" w:cs="Arial" w:eastAsia="Arial" w:hAnsi="Arial"/>
                <w:sz w:val="11"/>
                <w:szCs w:val="11"/>
                <w:b w:val="1"/>
                <w:bCs w:val="1"/>
                <w:color w:val="002856"/>
                <w:w w:val="99"/>
              </w:rPr>
              <w:t>Contingents</w:t>
            </w:r>
          </w:p>
        </w:tc>
        <w:tc>
          <w:tcPr>
            <w:tcW w:w="860" w:type="dxa"/>
            <w:vAlign w:val="bottom"/>
            <w:gridSpan w:val="3"/>
          </w:tcPr>
          <w:p>
            <w:pPr>
              <w:jc w:val="right"/>
              <w:ind w:right="360"/>
              <w:spacing w:after="0" w:line="121" w:lineRule="exact"/>
              <w:rPr>
                <w:sz w:val="20"/>
                <w:szCs w:val="20"/>
                <w:color w:val="auto"/>
              </w:rPr>
            </w:pPr>
            <w:r>
              <w:rPr>
                <w:rFonts w:ascii="Arial" w:cs="Arial" w:eastAsia="Arial" w:hAnsi="Arial"/>
                <w:sz w:val="11"/>
                <w:szCs w:val="11"/>
                <w:b w:val="1"/>
                <w:bCs w:val="1"/>
                <w:color w:val="002856"/>
              </w:rPr>
              <w:t>GSCs</w:t>
            </w:r>
          </w:p>
        </w:tc>
        <w:tc>
          <w:tcPr>
            <w:tcW w:w="1140" w:type="dxa"/>
            <w:vAlign w:val="bottom"/>
            <w:gridSpan w:val="3"/>
          </w:tcPr>
          <w:p>
            <w:pPr>
              <w:jc w:val="center"/>
              <w:ind w:right="10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Revenues</w:t>
            </w:r>
          </w:p>
        </w:tc>
        <w:tc>
          <w:tcPr>
            <w:tcW w:w="5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002856"/>
                <w:w w:val="98"/>
              </w:rPr>
              <w:t>Business</w:t>
            </w:r>
          </w:p>
        </w:tc>
        <w:tc>
          <w:tcPr>
            <w:tcW w:w="72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002856"/>
                <w:w w:val="97"/>
              </w:rPr>
              <w:t>Translation</w:t>
            </w:r>
          </w:p>
        </w:tc>
        <w:tc>
          <w:tcPr>
            <w:tcW w:w="1100" w:type="dxa"/>
            <w:vAlign w:val="bottom"/>
            <w:gridSpan w:val="3"/>
          </w:tcPr>
          <w:p>
            <w:pPr>
              <w:jc w:val="center"/>
              <w:ind w:right="4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5"/>
              </w:rPr>
              <w:t>Revenue</w:t>
            </w:r>
          </w:p>
        </w:tc>
        <w:tc>
          <w:tcPr>
            <w:tcW w:w="660" w:type="dxa"/>
            <w:vAlign w:val="bottom"/>
          </w:tcPr>
          <w:p>
            <w:pPr>
              <w:jc w:val="center"/>
              <w:ind w:right="22"/>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1560" w:type="dxa"/>
            <w:vAlign w:val="bottom"/>
            <w:tcBorders>
              <w:bottom w:val="single" w:sz="8" w:color="C6093B"/>
            </w:tcBorders>
          </w:tcPr>
          <w:p>
            <w:pPr>
              <w:spacing w:after="0" w:line="107" w:lineRule="exact"/>
              <w:rPr>
                <w:sz w:val="20"/>
                <w:szCs w:val="20"/>
                <w:color w:val="auto"/>
              </w:rPr>
            </w:pPr>
            <w:r>
              <w:rPr>
                <w:rFonts w:ascii="Arial" w:cs="Arial" w:eastAsia="Arial" w:hAnsi="Arial"/>
                <w:sz w:val="11"/>
                <w:szCs w:val="11"/>
                <w:b w:val="1"/>
                <w:bCs w:val="1"/>
                <w:color w:val="002856"/>
              </w:rPr>
              <w:t>except percentages)</w:t>
            </w:r>
          </w:p>
        </w:tc>
        <w:tc>
          <w:tcPr>
            <w:tcW w:w="540" w:type="dxa"/>
            <w:vAlign w:val="bottom"/>
            <w:tcBorders>
              <w:top w:val="single" w:sz="8" w:color="C6093B"/>
              <w:bottom w:val="single" w:sz="8" w:color="C6093B"/>
            </w:tcBorders>
          </w:tcPr>
          <w:p>
            <w:pPr>
              <w:jc w:val="right"/>
              <w:ind w:right="122"/>
              <w:spacing w:after="0" w:line="107" w:lineRule="exact"/>
              <w:rPr>
                <w:sz w:val="20"/>
                <w:szCs w:val="20"/>
                <w:color w:val="auto"/>
              </w:rPr>
            </w:pPr>
            <w:r>
              <w:rPr>
                <w:rFonts w:ascii="Arial" w:cs="Arial" w:eastAsia="Arial" w:hAnsi="Arial"/>
                <w:sz w:val="11"/>
                <w:szCs w:val="11"/>
                <w:b w:val="1"/>
                <w:bCs w:val="1"/>
                <w:color w:val="002856"/>
              </w:rPr>
              <w:t>2021</w:t>
            </w:r>
          </w:p>
        </w:tc>
        <w:tc>
          <w:tcPr>
            <w:tcW w:w="500" w:type="dxa"/>
            <w:vAlign w:val="bottom"/>
            <w:tcBorders>
              <w:top w:val="single" w:sz="8" w:color="C6093B"/>
              <w:bottom w:val="single" w:sz="8" w:color="C6093B"/>
            </w:tcBorders>
          </w:tcPr>
          <w:p>
            <w:pPr>
              <w:jc w:val="right"/>
              <w:ind w:right="59"/>
              <w:spacing w:after="0" w:line="107" w:lineRule="exact"/>
              <w:rPr>
                <w:sz w:val="20"/>
                <w:szCs w:val="20"/>
                <w:color w:val="auto"/>
              </w:rPr>
            </w:pPr>
            <w:r>
              <w:rPr>
                <w:rFonts w:ascii="Arial" w:cs="Arial" w:eastAsia="Arial" w:hAnsi="Arial"/>
                <w:sz w:val="11"/>
                <w:szCs w:val="11"/>
                <w:b w:val="1"/>
                <w:bCs w:val="1"/>
                <w:color w:val="002856"/>
              </w:rPr>
              <w:t>2020</w:t>
            </w:r>
          </w:p>
        </w:tc>
        <w:tc>
          <w:tcPr>
            <w:tcW w:w="60" w:type="dxa"/>
            <w:vAlign w:val="bottom"/>
            <w:tcBorders>
              <w:bottom w:val="single" w:sz="8" w:color="C6093B"/>
            </w:tcBorders>
          </w:tcPr>
          <w:p>
            <w:pPr>
              <w:spacing w:after="0"/>
              <w:rPr>
                <w:sz w:val="11"/>
                <w:szCs w:val="11"/>
                <w:color w:val="auto"/>
              </w:rPr>
            </w:pPr>
          </w:p>
        </w:tc>
        <w:tc>
          <w:tcPr>
            <w:tcW w:w="500" w:type="dxa"/>
            <w:vAlign w:val="bottom"/>
            <w:tcBorders>
              <w:bottom w:val="single" w:sz="8" w:color="C6093B"/>
            </w:tcBorders>
          </w:tcPr>
          <w:p>
            <w:pPr>
              <w:jc w:val="center"/>
              <w:spacing w:after="0" w:line="107" w:lineRule="exact"/>
              <w:rPr>
                <w:sz w:val="20"/>
                <w:szCs w:val="20"/>
                <w:color w:val="auto"/>
              </w:rPr>
            </w:pPr>
            <w:r>
              <w:rPr>
                <w:rFonts w:ascii="Arial" w:cs="Arial" w:eastAsia="Arial" w:hAnsi="Arial"/>
                <w:sz w:val="11"/>
                <w:szCs w:val="11"/>
                <w:b w:val="1"/>
                <w:bCs w:val="1"/>
                <w:color w:val="002856"/>
                <w:w w:val="94"/>
              </w:rPr>
              <w:t>Change</w:t>
            </w:r>
          </w:p>
        </w:tc>
        <w:tc>
          <w:tcPr>
            <w:tcW w:w="640" w:type="dxa"/>
            <w:vAlign w:val="bottom"/>
            <w:tcBorders>
              <w:bottom w:val="single" w:sz="8" w:color="C6093B"/>
            </w:tcBorders>
          </w:tcPr>
          <w:p>
            <w:pPr>
              <w:jc w:val="center"/>
              <w:ind w:right="82"/>
              <w:spacing w:after="0" w:line="107" w:lineRule="exact"/>
              <w:rPr>
                <w:sz w:val="20"/>
                <w:szCs w:val="20"/>
                <w:color w:val="auto"/>
              </w:rPr>
            </w:pPr>
            <w:r>
              <w:rPr>
                <w:rFonts w:ascii="Arial" w:cs="Arial" w:eastAsia="Arial" w:hAnsi="Arial"/>
                <w:sz w:val="11"/>
                <w:szCs w:val="11"/>
                <w:b w:val="1"/>
                <w:bCs w:val="1"/>
                <w:color w:val="002856"/>
              </w:rPr>
              <w:t>%</w:t>
            </w:r>
          </w:p>
        </w:tc>
        <w:tc>
          <w:tcPr>
            <w:tcW w:w="360" w:type="dxa"/>
            <w:vAlign w:val="bottom"/>
            <w:tcBorders>
              <w:top w:val="single" w:sz="8" w:color="C6093B"/>
              <w:bottom w:val="single" w:sz="8" w:color="C6093B"/>
            </w:tcBorders>
          </w:tcPr>
          <w:p>
            <w:pPr>
              <w:jc w:val="right"/>
              <w:ind w:right="20"/>
              <w:spacing w:after="0" w:line="107" w:lineRule="exact"/>
              <w:rPr>
                <w:sz w:val="20"/>
                <w:szCs w:val="20"/>
                <w:color w:val="auto"/>
              </w:rPr>
            </w:pPr>
            <w:r>
              <w:rPr>
                <w:rFonts w:ascii="Arial" w:cs="Arial" w:eastAsia="Arial" w:hAnsi="Arial"/>
                <w:sz w:val="11"/>
                <w:szCs w:val="11"/>
                <w:b w:val="1"/>
                <w:bCs w:val="1"/>
                <w:color w:val="002856"/>
              </w:rPr>
              <w:t>2021</w:t>
            </w:r>
          </w:p>
        </w:tc>
        <w:tc>
          <w:tcPr>
            <w:tcW w:w="340" w:type="dxa"/>
            <w:vAlign w:val="bottom"/>
            <w:tcBorders>
              <w:top w:val="single" w:sz="8" w:color="C6093B"/>
              <w:bottom w:val="single" w:sz="8" w:color="C6093B"/>
            </w:tcBorders>
          </w:tcPr>
          <w:p>
            <w:pPr>
              <w:jc w:val="right"/>
              <w:spacing w:after="0" w:line="107" w:lineRule="exact"/>
              <w:rPr>
                <w:sz w:val="20"/>
                <w:szCs w:val="20"/>
                <w:color w:val="auto"/>
              </w:rPr>
            </w:pPr>
            <w:r>
              <w:rPr>
                <w:rFonts w:ascii="Arial" w:cs="Arial" w:eastAsia="Arial" w:hAnsi="Arial"/>
                <w:sz w:val="11"/>
                <w:szCs w:val="11"/>
                <w:b w:val="1"/>
                <w:bCs w:val="1"/>
                <w:color w:val="002856"/>
              </w:rPr>
              <w:t>2020</w:t>
            </w:r>
          </w:p>
        </w:tc>
        <w:tc>
          <w:tcPr>
            <w:tcW w:w="100" w:type="dxa"/>
            <w:vAlign w:val="bottom"/>
            <w:tcBorders>
              <w:bottom w:val="single" w:sz="8" w:color="C6093B"/>
            </w:tcBorders>
          </w:tcPr>
          <w:p>
            <w:pPr>
              <w:spacing w:after="0"/>
              <w:rPr>
                <w:sz w:val="11"/>
                <w:szCs w:val="11"/>
                <w:color w:val="auto"/>
              </w:rPr>
            </w:pPr>
          </w:p>
        </w:tc>
        <w:tc>
          <w:tcPr>
            <w:tcW w:w="360" w:type="dxa"/>
            <w:vAlign w:val="bottom"/>
            <w:tcBorders>
              <w:top w:val="single" w:sz="8" w:color="C6093B"/>
              <w:bottom w:val="single" w:sz="8" w:color="C6093B"/>
            </w:tcBorders>
          </w:tcPr>
          <w:p>
            <w:pPr>
              <w:jc w:val="right"/>
              <w:ind w:right="20"/>
              <w:spacing w:after="0" w:line="107" w:lineRule="exact"/>
              <w:rPr>
                <w:sz w:val="20"/>
                <w:szCs w:val="20"/>
                <w:color w:val="auto"/>
              </w:rPr>
            </w:pPr>
            <w:r>
              <w:rPr>
                <w:rFonts w:ascii="Arial" w:cs="Arial" w:eastAsia="Arial" w:hAnsi="Arial"/>
                <w:sz w:val="11"/>
                <w:szCs w:val="11"/>
                <w:b w:val="1"/>
                <w:bCs w:val="1"/>
                <w:color w:val="002856"/>
              </w:rPr>
              <w:t>2021</w:t>
            </w:r>
          </w:p>
        </w:tc>
        <w:tc>
          <w:tcPr>
            <w:tcW w:w="340" w:type="dxa"/>
            <w:vAlign w:val="bottom"/>
            <w:tcBorders>
              <w:top w:val="single" w:sz="8" w:color="C6093B"/>
              <w:bottom w:val="single" w:sz="8" w:color="C6093B"/>
            </w:tcBorders>
          </w:tcPr>
          <w:p>
            <w:pPr>
              <w:jc w:val="right"/>
              <w:spacing w:after="0" w:line="107" w:lineRule="exact"/>
              <w:rPr>
                <w:sz w:val="20"/>
                <w:szCs w:val="20"/>
                <w:color w:val="auto"/>
              </w:rPr>
            </w:pPr>
            <w:r>
              <w:rPr>
                <w:rFonts w:ascii="Arial" w:cs="Arial" w:eastAsia="Arial" w:hAnsi="Arial"/>
                <w:sz w:val="11"/>
                <w:szCs w:val="11"/>
                <w:b w:val="1"/>
                <w:bCs w:val="1"/>
                <w:color w:val="002856"/>
              </w:rPr>
              <w:t>2020</w:t>
            </w:r>
          </w:p>
        </w:tc>
        <w:tc>
          <w:tcPr>
            <w:tcW w:w="160" w:type="dxa"/>
            <w:vAlign w:val="bottom"/>
            <w:tcBorders>
              <w:bottom w:val="single" w:sz="8" w:color="C6093B"/>
            </w:tcBorders>
          </w:tcPr>
          <w:p>
            <w:pPr>
              <w:spacing w:after="0"/>
              <w:rPr>
                <w:sz w:val="11"/>
                <w:szCs w:val="11"/>
                <w:color w:val="auto"/>
              </w:rPr>
            </w:pPr>
          </w:p>
        </w:tc>
        <w:tc>
          <w:tcPr>
            <w:tcW w:w="540" w:type="dxa"/>
            <w:vAlign w:val="bottom"/>
            <w:tcBorders>
              <w:top w:val="single" w:sz="8" w:color="C6093B"/>
              <w:bottom w:val="single" w:sz="8" w:color="C6093B"/>
            </w:tcBorders>
          </w:tcPr>
          <w:p>
            <w:pPr>
              <w:jc w:val="right"/>
              <w:ind w:right="143"/>
              <w:spacing w:after="0" w:line="107" w:lineRule="exact"/>
              <w:rPr>
                <w:sz w:val="20"/>
                <w:szCs w:val="20"/>
                <w:color w:val="auto"/>
              </w:rPr>
            </w:pPr>
            <w:r>
              <w:rPr>
                <w:rFonts w:ascii="Arial" w:cs="Arial" w:eastAsia="Arial" w:hAnsi="Arial"/>
                <w:sz w:val="11"/>
                <w:szCs w:val="11"/>
                <w:b w:val="1"/>
                <w:bCs w:val="1"/>
                <w:color w:val="002856"/>
              </w:rPr>
              <w:t>2021</w:t>
            </w:r>
          </w:p>
        </w:tc>
        <w:tc>
          <w:tcPr>
            <w:tcW w:w="500" w:type="dxa"/>
            <w:vAlign w:val="bottom"/>
            <w:tcBorders>
              <w:top w:val="single" w:sz="8" w:color="C6093B"/>
              <w:bottom w:val="single" w:sz="8" w:color="C6093B"/>
            </w:tcBorders>
          </w:tcPr>
          <w:p>
            <w:pPr>
              <w:jc w:val="right"/>
              <w:ind w:right="59"/>
              <w:spacing w:after="0" w:line="107" w:lineRule="exact"/>
              <w:rPr>
                <w:sz w:val="20"/>
                <w:szCs w:val="20"/>
                <w:color w:val="auto"/>
              </w:rPr>
            </w:pPr>
            <w:r>
              <w:rPr>
                <w:rFonts w:ascii="Arial" w:cs="Arial" w:eastAsia="Arial" w:hAnsi="Arial"/>
                <w:sz w:val="11"/>
                <w:szCs w:val="11"/>
                <w:b w:val="1"/>
                <w:bCs w:val="1"/>
                <w:color w:val="002856"/>
              </w:rPr>
              <w:t>2020</w:t>
            </w:r>
          </w:p>
        </w:tc>
        <w:tc>
          <w:tcPr>
            <w:tcW w:w="10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07" w:lineRule="exact"/>
              <w:rPr>
                <w:sz w:val="20"/>
                <w:szCs w:val="20"/>
                <w:color w:val="auto"/>
              </w:rPr>
            </w:pPr>
            <w:r>
              <w:rPr>
                <w:rFonts w:ascii="Arial" w:cs="Arial" w:eastAsia="Arial" w:hAnsi="Arial"/>
                <w:sz w:val="11"/>
                <w:szCs w:val="11"/>
                <w:b w:val="1"/>
                <w:bCs w:val="1"/>
                <w:color w:val="002856"/>
                <w:w w:val="97"/>
              </w:rPr>
              <w:t>2021</w:t>
            </w:r>
          </w:p>
        </w:tc>
        <w:tc>
          <w:tcPr>
            <w:tcW w:w="120" w:type="dxa"/>
            <w:vAlign w:val="bottom"/>
            <w:tcBorders>
              <w:bottom w:val="single" w:sz="8" w:color="C6093B"/>
            </w:tcBorders>
          </w:tcPr>
          <w:p>
            <w:pPr>
              <w:spacing w:after="0"/>
              <w:rPr>
                <w:sz w:val="11"/>
                <w:szCs w:val="11"/>
                <w:color w:val="auto"/>
              </w:rPr>
            </w:pPr>
          </w:p>
        </w:tc>
        <w:tc>
          <w:tcPr>
            <w:tcW w:w="480" w:type="dxa"/>
            <w:vAlign w:val="bottom"/>
            <w:tcBorders>
              <w:top w:val="single" w:sz="8" w:color="C6093B"/>
              <w:bottom w:val="single" w:sz="8" w:color="C6093B"/>
            </w:tcBorders>
          </w:tcPr>
          <w:p>
            <w:pPr>
              <w:jc w:val="center"/>
              <w:spacing w:after="0" w:line="107" w:lineRule="exact"/>
              <w:rPr>
                <w:sz w:val="20"/>
                <w:szCs w:val="20"/>
                <w:color w:val="auto"/>
              </w:rPr>
            </w:pPr>
            <w:r>
              <w:rPr>
                <w:rFonts w:ascii="Arial" w:cs="Arial" w:eastAsia="Arial" w:hAnsi="Arial"/>
                <w:sz w:val="11"/>
                <w:szCs w:val="11"/>
                <w:b w:val="1"/>
                <w:bCs w:val="1"/>
                <w:color w:val="002856"/>
                <w:w w:val="97"/>
              </w:rPr>
              <w:t>2020</w:t>
            </w:r>
          </w:p>
        </w:tc>
        <w:tc>
          <w:tcPr>
            <w:tcW w:w="10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07" w:lineRule="exact"/>
              <w:rPr>
                <w:sz w:val="20"/>
                <w:szCs w:val="20"/>
                <w:color w:val="auto"/>
              </w:rPr>
            </w:pPr>
            <w:r>
              <w:rPr>
                <w:rFonts w:ascii="Arial" w:cs="Arial" w:eastAsia="Arial" w:hAnsi="Arial"/>
                <w:sz w:val="11"/>
                <w:szCs w:val="11"/>
                <w:b w:val="1"/>
                <w:bCs w:val="1"/>
                <w:color w:val="002856"/>
                <w:w w:val="97"/>
              </w:rPr>
              <w:t>2020</w:t>
            </w:r>
          </w:p>
        </w:tc>
        <w:tc>
          <w:tcPr>
            <w:tcW w:w="14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2"/>
              <w:spacing w:after="0" w:line="107" w:lineRule="exact"/>
              <w:rPr>
                <w:sz w:val="20"/>
                <w:szCs w:val="20"/>
                <w:color w:val="auto"/>
              </w:rPr>
            </w:pPr>
            <w:r>
              <w:rPr>
                <w:rFonts w:ascii="Arial" w:cs="Arial" w:eastAsia="Arial" w:hAnsi="Arial"/>
                <w:sz w:val="11"/>
                <w:szCs w:val="11"/>
                <w:b w:val="1"/>
                <w:bCs w:val="1"/>
                <w:color w:val="002856"/>
              </w:rPr>
              <w:t>2021</w:t>
            </w:r>
          </w:p>
        </w:tc>
        <w:tc>
          <w:tcPr>
            <w:tcW w:w="500" w:type="dxa"/>
            <w:vAlign w:val="bottom"/>
            <w:tcBorders>
              <w:top w:val="single" w:sz="8" w:color="C6093B"/>
              <w:bottom w:val="single" w:sz="8" w:color="C6093B"/>
            </w:tcBorders>
          </w:tcPr>
          <w:p>
            <w:pPr>
              <w:jc w:val="right"/>
              <w:ind w:right="59"/>
              <w:spacing w:after="0" w:line="107" w:lineRule="exact"/>
              <w:rPr>
                <w:sz w:val="20"/>
                <w:szCs w:val="20"/>
                <w:color w:val="auto"/>
              </w:rPr>
            </w:pPr>
            <w:r>
              <w:rPr>
                <w:rFonts w:ascii="Arial" w:cs="Arial" w:eastAsia="Arial" w:hAnsi="Arial"/>
                <w:sz w:val="11"/>
                <w:szCs w:val="11"/>
                <w:b w:val="1"/>
                <w:bCs w:val="1"/>
                <w:color w:val="002856"/>
              </w:rPr>
              <w:t>2020</w:t>
            </w:r>
          </w:p>
        </w:tc>
        <w:tc>
          <w:tcPr>
            <w:tcW w:w="40" w:type="dxa"/>
            <w:vAlign w:val="bottom"/>
            <w:tcBorders>
              <w:bottom w:val="single" w:sz="8" w:color="C6093B"/>
            </w:tcBorders>
          </w:tcPr>
          <w:p>
            <w:pPr>
              <w:spacing w:after="0"/>
              <w:rPr>
                <w:sz w:val="11"/>
                <w:szCs w:val="11"/>
                <w:color w:val="auto"/>
              </w:rPr>
            </w:pPr>
          </w:p>
        </w:tc>
        <w:tc>
          <w:tcPr>
            <w:tcW w:w="560" w:type="dxa"/>
            <w:vAlign w:val="bottom"/>
            <w:tcBorders>
              <w:bottom w:val="single" w:sz="8" w:color="C6093B"/>
            </w:tcBorders>
          </w:tcPr>
          <w:p>
            <w:pPr>
              <w:jc w:val="center"/>
              <w:spacing w:after="0" w:line="107" w:lineRule="exact"/>
              <w:rPr>
                <w:sz w:val="20"/>
                <w:szCs w:val="20"/>
                <w:color w:val="auto"/>
              </w:rPr>
            </w:pPr>
            <w:r>
              <w:rPr>
                <w:rFonts w:ascii="Arial" w:cs="Arial" w:eastAsia="Arial" w:hAnsi="Arial"/>
                <w:sz w:val="11"/>
                <w:szCs w:val="11"/>
                <w:b w:val="1"/>
                <w:bCs w:val="1"/>
                <w:color w:val="002856"/>
                <w:w w:val="98"/>
              </w:rPr>
              <w:t>Growth</w:t>
            </w:r>
          </w:p>
        </w:tc>
        <w:tc>
          <w:tcPr>
            <w:tcW w:w="660" w:type="dxa"/>
            <w:vAlign w:val="bottom"/>
            <w:tcBorders>
              <w:bottom w:val="single" w:sz="8" w:color="C6093B"/>
            </w:tcBorders>
          </w:tcPr>
          <w:p>
            <w:pPr>
              <w:jc w:val="center"/>
              <w:ind w:right="22"/>
              <w:spacing w:after="0" w:line="107" w:lineRule="exact"/>
              <w:rPr>
                <w:sz w:val="20"/>
                <w:szCs w:val="20"/>
                <w:color w:val="auto"/>
              </w:rPr>
            </w:pPr>
            <w:r>
              <w:rPr>
                <w:rFonts w:ascii="Arial" w:cs="Arial" w:eastAsia="Arial" w:hAnsi="Arial"/>
                <w:sz w:val="11"/>
                <w:szCs w:val="11"/>
                <w:b w:val="1"/>
                <w:bCs w:val="1"/>
                <w:color w:val="002856"/>
              </w:rPr>
              <w:t>%</w:t>
            </w:r>
          </w:p>
        </w:tc>
      </w:tr>
      <w:tr>
        <w:trPr>
          <w:trHeight w:val="254"/>
        </w:trPr>
        <w:tc>
          <w:tcPr>
            <w:tcW w:w="1560" w:type="dxa"/>
            <w:vAlign w:val="bottom"/>
            <w:tcBorders>
              <w:bottom w:val="single" w:sz="8" w:color="4C4C4C"/>
            </w:tcBorders>
          </w:tcPr>
          <w:p>
            <w:pPr>
              <w:ind w:left="100"/>
              <w:spacing w:after="0"/>
              <w:rPr>
                <w:sz w:val="20"/>
                <w:szCs w:val="20"/>
                <w:color w:val="auto"/>
              </w:rPr>
            </w:pPr>
            <w:r>
              <w:rPr>
                <w:rFonts w:ascii="Arial" w:cs="Arial" w:eastAsia="Arial" w:hAnsi="Arial"/>
                <w:sz w:val="12"/>
                <w:szCs w:val="12"/>
                <w:color w:val="auto"/>
              </w:rPr>
              <w:t>Retail</w:t>
            </w:r>
            <w:r>
              <w:rPr>
                <w:rFonts w:ascii="Arial" w:cs="Arial" w:eastAsia="Arial" w:hAnsi="Arial"/>
                <w:sz w:val="18"/>
                <w:szCs w:val="18"/>
                <w:color w:val="auto"/>
                <w:vertAlign w:val="superscript"/>
              </w:rPr>
              <w:t>(1)</w:t>
            </w:r>
          </w:p>
        </w:tc>
        <w:tc>
          <w:tcPr>
            <w:tcW w:w="54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1,764.9</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1,470.1</w:t>
            </w:r>
          </w:p>
        </w:tc>
        <w:tc>
          <w:tcPr>
            <w:tcW w:w="50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294.8</w:t>
            </w:r>
          </w:p>
        </w:tc>
        <w:tc>
          <w:tcPr>
            <w:tcW w:w="640" w:type="dxa"/>
            <w:vAlign w:val="bottom"/>
            <w:tcBorders>
              <w:bottom w:val="single" w:sz="8" w:color="4C4C4C"/>
            </w:tcBorders>
          </w:tcPr>
          <w:p>
            <w:pPr>
              <w:jc w:val="right"/>
              <w:ind w:right="42"/>
              <w:spacing w:after="0"/>
              <w:rPr>
                <w:sz w:val="20"/>
                <w:szCs w:val="20"/>
                <w:color w:val="auto"/>
              </w:rPr>
            </w:pPr>
            <w:r>
              <w:rPr>
                <w:rFonts w:ascii="Arial" w:cs="Arial" w:eastAsia="Arial" w:hAnsi="Arial"/>
                <w:sz w:val="12"/>
                <w:szCs w:val="12"/>
                <w:color w:val="auto"/>
              </w:rPr>
              <w:t>20.1%</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38.9</w:t>
            </w:r>
          </w:p>
        </w:tc>
        <w:tc>
          <w:tcPr>
            <w:tcW w:w="44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35.8</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16.5</w:t>
            </w:r>
          </w:p>
        </w:tc>
        <w:tc>
          <w:tcPr>
            <w:tcW w:w="500" w:type="dxa"/>
            <w:vAlign w:val="bottom"/>
            <w:tcBorders>
              <w:bottom w:val="single" w:sz="8" w:color="4C4C4C"/>
            </w:tcBorders>
            <w:gridSpan w:val="2"/>
          </w:tcPr>
          <w:p>
            <w:pPr>
              <w:jc w:val="right"/>
              <w:ind w:right="160"/>
              <w:spacing w:after="0"/>
              <w:rPr>
                <w:sz w:val="20"/>
                <w:szCs w:val="20"/>
                <w:color w:val="auto"/>
              </w:rPr>
            </w:pPr>
            <w:r>
              <w:rPr>
                <w:rFonts w:ascii="Arial" w:cs="Arial" w:eastAsia="Arial" w:hAnsi="Arial"/>
                <w:sz w:val="12"/>
                <w:szCs w:val="12"/>
                <w:color w:val="auto"/>
              </w:rPr>
              <w:t>15.1</w:t>
            </w:r>
          </w:p>
        </w:tc>
        <w:tc>
          <w:tcPr>
            <w:tcW w:w="54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1,709.5</w:t>
            </w:r>
          </w:p>
        </w:tc>
        <w:tc>
          <w:tcPr>
            <w:tcW w:w="60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1,419.2</w:t>
            </w:r>
          </w:p>
        </w:tc>
        <w:tc>
          <w:tcPr>
            <w:tcW w:w="7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139.0</w:t>
            </w:r>
          </w:p>
        </w:tc>
        <w:tc>
          <w:tcPr>
            <w:tcW w:w="58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4.4</w:t>
            </w:r>
          </w:p>
        </w:tc>
        <w:tc>
          <w:tcPr>
            <w:tcW w:w="72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1,570.5</w:t>
            </w:r>
          </w:p>
        </w:tc>
        <w:tc>
          <w:tcPr>
            <w:tcW w:w="540" w:type="dxa"/>
            <w:vAlign w:val="bottom"/>
            <w:tcBorders>
              <w:bottom w:val="single" w:sz="8" w:color="4C4C4C"/>
            </w:tcBorders>
            <w:gridSpan w:val="2"/>
          </w:tcPr>
          <w:p>
            <w:pPr>
              <w:jc w:val="right"/>
              <w:ind w:right="40"/>
              <w:spacing w:after="0"/>
              <w:rPr>
                <w:sz w:val="20"/>
                <w:szCs w:val="20"/>
                <w:color w:val="auto"/>
              </w:rPr>
            </w:pPr>
            <w:r>
              <w:rPr>
                <w:rFonts w:ascii="Arial" w:cs="Arial" w:eastAsia="Arial" w:hAnsi="Arial"/>
                <w:sz w:val="12"/>
                <w:szCs w:val="12"/>
                <w:color w:val="auto"/>
              </w:rPr>
              <w:t>1,414.8</w:t>
            </w:r>
          </w:p>
        </w:tc>
        <w:tc>
          <w:tcPr>
            <w:tcW w:w="5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155.7</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11.0%</w:t>
            </w:r>
          </w:p>
        </w:tc>
      </w:tr>
      <w:tr>
        <w:trPr>
          <w:trHeight w:val="194"/>
        </w:trPr>
        <w:tc>
          <w:tcPr>
            <w:tcW w:w="1560" w:type="dxa"/>
            <w:vAlign w:val="bottom"/>
          </w:tcPr>
          <w:p>
            <w:pPr>
              <w:ind w:left="100"/>
              <w:spacing w:after="0"/>
              <w:rPr>
                <w:sz w:val="20"/>
                <w:szCs w:val="20"/>
                <w:color w:val="auto"/>
              </w:rPr>
            </w:pPr>
            <w:r>
              <w:rPr>
                <w:rFonts w:ascii="Arial" w:cs="Arial" w:eastAsia="Arial" w:hAnsi="Arial"/>
                <w:sz w:val="12"/>
                <w:szCs w:val="12"/>
                <w:color w:val="auto"/>
              </w:rPr>
              <w:t>National Programs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701.1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609.8</w:t>
            </w:r>
          </w:p>
        </w:tc>
        <w:tc>
          <w:tcPr>
            <w:tcW w:w="500" w:type="dxa"/>
            <w:vAlign w:val="bottom"/>
          </w:tcPr>
          <w:p>
            <w:pPr>
              <w:jc w:val="right"/>
              <w:spacing w:after="0"/>
              <w:rPr>
                <w:sz w:val="20"/>
                <w:szCs w:val="20"/>
                <w:color w:val="auto"/>
              </w:rPr>
            </w:pPr>
            <w:r>
              <w:rPr>
                <w:rFonts w:ascii="Arial" w:cs="Arial" w:eastAsia="Arial" w:hAnsi="Arial"/>
                <w:sz w:val="12"/>
                <w:szCs w:val="12"/>
                <w:color w:val="auto"/>
              </w:rPr>
              <w:t>91.3</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15.0%</w:t>
            </w:r>
          </w:p>
        </w:tc>
        <w:tc>
          <w:tcPr>
            <w:tcW w:w="360" w:type="dxa"/>
            <w:vAlign w:val="bottom"/>
          </w:tcPr>
          <w:p>
            <w:pPr>
              <w:jc w:val="right"/>
              <w:spacing w:after="0"/>
              <w:rPr>
                <w:sz w:val="20"/>
                <w:szCs w:val="20"/>
                <w:color w:val="auto"/>
              </w:rPr>
            </w:pPr>
            <w:r>
              <w:rPr>
                <w:rFonts w:ascii="Arial" w:cs="Arial" w:eastAsia="Arial" w:hAnsi="Arial"/>
                <w:sz w:val="12"/>
                <w:szCs w:val="12"/>
                <w:color w:val="auto"/>
              </w:rPr>
              <w:t>35.3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27.3</w:t>
            </w:r>
          </w:p>
        </w:tc>
        <w:tc>
          <w:tcPr>
            <w:tcW w:w="360" w:type="dxa"/>
            <w:vAlign w:val="bottom"/>
          </w:tcPr>
          <w:p>
            <w:pPr>
              <w:jc w:val="right"/>
              <w:spacing w:after="0"/>
              <w:rPr>
                <w:sz w:val="20"/>
                <w:szCs w:val="20"/>
                <w:color w:val="auto"/>
              </w:rPr>
            </w:pPr>
            <w:r>
              <w:rPr>
                <w:rFonts w:ascii="Arial" w:cs="Arial" w:eastAsia="Arial" w:hAnsi="Arial"/>
                <w:sz w:val="12"/>
                <w:szCs w:val="12"/>
                <w:color w:val="auto"/>
              </w:rPr>
              <w:t>1.6</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(0.2)</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664.2</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582.7</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8.2</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0.5</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656.0</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583.4</w:t>
            </w:r>
          </w:p>
        </w:tc>
        <w:tc>
          <w:tcPr>
            <w:tcW w:w="560" w:type="dxa"/>
            <w:vAlign w:val="bottom"/>
          </w:tcPr>
          <w:p>
            <w:pPr>
              <w:jc w:val="right"/>
              <w:spacing w:after="0"/>
              <w:rPr>
                <w:sz w:val="20"/>
                <w:szCs w:val="20"/>
                <w:color w:val="auto"/>
              </w:rPr>
            </w:pPr>
            <w:r>
              <w:rPr>
                <w:rFonts w:ascii="Arial" w:cs="Arial" w:eastAsia="Arial" w:hAnsi="Arial"/>
                <w:sz w:val="12"/>
                <w:szCs w:val="12"/>
                <w:color w:val="auto"/>
              </w:rPr>
              <w:t>72.6</w:t>
            </w:r>
          </w:p>
        </w:tc>
        <w:tc>
          <w:tcPr>
            <w:tcW w:w="660" w:type="dxa"/>
            <w:vAlign w:val="bottom"/>
          </w:tcPr>
          <w:p>
            <w:pPr>
              <w:jc w:val="right"/>
              <w:spacing w:after="0"/>
              <w:rPr>
                <w:sz w:val="20"/>
                <w:szCs w:val="20"/>
                <w:color w:val="auto"/>
              </w:rPr>
            </w:pPr>
            <w:r>
              <w:rPr>
                <w:rFonts w:ascii="Arial" w:cs="Arial" w:eastAsia="Arial" w:hAnsi="Arial"/>
                <w:sz w:val="12"/>
                <w:szCs w:val="12"/>
                <w:color w:val="auto"/>
              </w:rPr>
              <w:t>12.4%</w:t>
            </w:r>
          </w:p>
        </w:tc>
      </w:tr>
      <w:tr>
        <w:trPr>
          <w:trHeight w:val="54"/>
        </w:trPr>
        <w:tc>
          <w:tcPr>
            <w:tcW w:w="15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1560" w:type="dxa"/>
            <w:vAlign w:val="bottom"/>
          </w:tcPr>
          <w:p>
            <w:pPr>
              <w:ind w:left="100"/>
              <w:spacing w:after="0"/>
              <w:rPr>
                <w:sz w:val="20"/>
                <w:szCs w:val="20"/>
                <w:color w:val="auto"/>
              </w:rPr>
            </w:pPr>
            <w:r>
              <w:rPr>
                <w:rFonts w:ascii="Arial" w:cs="Arial" w:eastAsia="Arial" w:hAnsi="Arial"/>
                <w:sz w:val="12"/>
                <w:szCs w:val="12"/>
                <w:color w:val="auto"/>
              </w:rPr>
              <w:t>Wholesale Brokerage</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402.6</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352.2</w:t>
            </w:r>
          </w:p>
        </w:tc>
        <w:tc>
          <w:tcPr>
            <w:tcW w:w="500" w:type="dxa"/>
            <w:vAlign w:val="bottom"/>
          </w:tcPr>
          <w:p>
            <w:pPr>
              <w:jc w:val="right"/>
              <w:spacing w:after="0"/>
              <w:rPr>
                <w:sz w:val="20"/>
                <w:szCs w:val="20"/>
                <w:color w:val="auto"/>
              </w:rPr>
            </w:pPr>
            <w:r>
              <w:rPr>
                <w:rFonts w:ascii="Arial" w:cs="Arial" w:eastAsia="Arial" w:hAnsi="Arial"/>
                <w:sz w:val="12"/>
                <w:szCs w:val="12"/>
                <w:color w:val="auto"/>
              </w:rPr>
              <w:t>50.4</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14.3%</w:t>
            </w:r>
          </w:p>
        </w:tc>
        <w:tc>
          <w:tcPr>
            <w:tcW w:w="360" w:type="dxa"/>
            <w:vAlign w:val="bottom"/>
          </w:tcPr>
          <w:p>
            <w:pPr>
              <w:jc w:val="right"/>
              <w:spacing w:after="0"/>
              <w:rPr>
                <w:sz w:val="20"/>
                <w:szCs w:val="20"/>
                <w:color w:val="auto"/>
              </w:rPr>
            </w:pPr>
            <w:r>
              <w:rPr>
                <w:rFonts w:ascii="Arial" w:cs="Arial" w:eastAsia="Arial" w:hAnsi="Arial"/>
                <w:sz w:val="12"/>
                <w:szCs w:val="12"/>
                <w:color w:val="auto"/>
              </w:rPr>
              <w:t>8.0</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7.9</w:t>
            </w:r>
          </w:p>
        </w:tc>
        <w:tc>
          <w:tcPr>
            <w:tcW w:w="360" w:type="dxa"/>
            <w:vAlign w:val="bottom"/>
          </w:tcPr>
          <w:p>
            <w:pPr>
              <w:jc w:val="right"/>
              <w:spacing w:after="0"/>
              <w:rPr>
                <w:sz w:val="20"/>
                <w:szCs w:val="20"/>
                <w:color w:val="auto"/>
              </w:rPr>
            </w:pPr>
            <w:r>
              <w:rPr>
                <w:rFonts w:ascii="Arial" w:cs="Arial" w:eastAsia="Arial" w:hAnsi="Arial"/>
                <w:sz w:val="12"/>
                <w:szCs w:val="12"/>
                <w:color w:val="auto"/>
              </w:rPr>
              <w:t>0.9</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1.3</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393.7</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343.0</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23.0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370.7</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343.0</w:t>
            </w:r>
          </w:p>
        </w:tc>
        <w:tc>
          <w:tcPr>
            <w:tcW w:w="560" w:type="dxa"/>
            <w:vAlign w:val="bottom"/>
          </w:tcPr>
          <w:p>
            <w:pPr>
              <w:jc w:val="right"/>
              <w:spacing w:after="0"/>
              <w:rPr>
                <w:sz w:val="20"/>
                <w:szCs w:val="20"/>
                <w:color w:val="auto"/>
              </w:rPr>
            </w:pPr>
            <w:r>
              <w:rPr>
                <w:rFonts w:ascii="Arial" w:cs="Arial" w:eastAsia="Arial" w:hAnsi="Arial"/>
                <w:sz w:val="12"/>
                <w:szCs w:val="12"/>
                <w:color w:val="auto"/>
              </w:rPr>
              <w:t>27.7</w:t>
            </w:r>
          </w:p>
        </w:tc>
        <w:tc>
          <w:tcPr>
            <w:tcW w:w="66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54"/>
        </w:trPr>
        <w:tc>
          <w:tcPr>
            <w:tcW w:w="15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1560" w:type="dxa"/>
            <w:vAlign w:val="bottom"/>
          </w:tcPr>
          <w:p>
            <w:pPr>
              <w:ind w:left="100"/>
              <w:spacing w:after="0"/>
              <w:rPr>
                <w:sz w:val="20"/>
                <w:szCs w:val="20"/>
                <w:color w:val="auto"/>
              </w:rPr>
            </w:pPr>
            <w:r>
              <w:rPr>
                <w:rFonts w:ascii="Arial" w:cs="Arial" w:eastAsia="Arial" w:hAnsi="Arial"/>
                <w:sz w:val="12"/>
                <w:szCs w:val="12"/>
                <w:color w:val="auto"/>
              </w:rPr>
              <w:t>Services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178.9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174.0</w:t>
            </w:r>
          </w:p>
        </w:tc>
        <w:tc>
          <w:tcPr>
            <w:tcW w:w="500" w:type="dxa"/>
            <w:vAlign w:val="bottom"/>
          </w:tcPr>
          <w:p>
            <w:pPr>
              <w:jc w:val="right"/>
              <w:spacing w:after="0"/>
              <w:rPr>
                <w:sz w:val="20"/>
                <w:szCs w:val="20"/>
                <w:color w:val="auto"/>
              </w:rPr>
            </w:pPr>
            <w:r>
              <w:rPr>
                <w:rFonts w:ascii="Arial" w:cs="Arial" w:eastAsia="Arial" w:hAnsi="Arial"/>
                <w:sz w:val="12"/>
                <w:szCs w:val="12"/>
                <w:color w:val="auto"/>
              </w:rPr>
              <w:t>4.9</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2.8%</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178.9</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174.0</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0.4</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178.9</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173.6</w:t>
            </w:r>
          </w:p>
        </w:tc>
        <w:tc>
          <w:tcPr>
            <w:tcW w:w="560" w:type="dxa"/>
            <w:vAlign w:val="bottom"/>
          </w:tcPr>
          <w:p>
            <w:pPr>
              <w:jc w:val="right"/>
              <w:spacing w:after="0"/>
              <w:rPr>
                <w:sz w:val="20"/>
                <w:szCs w:val="20"/>
                <w:color w:val="auto"/>
              </w:rPr>
            </w:pPr>
            <w:r>
              <w:rPr>
                <w:rFonts w:ascii="Arial" w:cs="Arial" w:eastAsia="Arial" w:hAnsi="Arial"/>
                <w:sz w:val="12"/>
                <w:szCs w:val="12"/>
                <w:color w:val="auto"/>
              </w:rPr>
              <w:t>5.3</w:t>
            </w: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54"/>
        </w:trPr>
        <w:tc>
          <w:tcPr>
            <w:tcW w:w="15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1560" w:type="dxa"/>
            <w:vAlign w:val="bottom"/>
          </w:tcPr>
          <w:p>
            <w:pPr>
              <w:ind w:left="100"/>
              <w:spacing w:after="0"/>
              <w:rPr>
                <w:sz w:val="20"/>
                <w:szCs w:val="20"/>
                <w:color w:val="auto"/>
              </w:rPr>
            </w:pPr>
            <w:r>
              <w:rPr>
                <w:rFonts w:ascii="Arial" w:cs="Arial" w:eastAsia="Arial" w:hAnsi="Arial"/>
                <w:sz w:val="12"/>
                <w:szCs w:val="12"/>
                <w:color w:val="auto"/>
              </w:rPr>
              <w:t>Total Company</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3,047.5</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2,606.1</w:t>
            </w:r>
          </w:p>
        </w:tc>
        <w:tc>
          <w:tcPr>
            <w:tcW w:w="500" w:type="dxa"/>
            <w:vAlign w:val="bottom"/>
          </w:tcPr>
          <w:p>
            <w:pPr>
              <w:jc w:val="right"/>
              <w:spacing w:after="0"/>
              <w:rPr>
                <w:sz w:val="20"/>
                <w:szCs w:val="20"/>
                <w:color w:val="auto"/>
              </w:rPr>
            </w:pPr>
            <w:r>
              <w:rPr>
                <w:rFonts w:ascii="Arial" w:cs="Arial" w:eastAsia="Arial" w:hAnsi="Arial"/>
                <w:sz w:val="12"/>
                <w:szCs w:val="12"/>
                <w:color w:val="auto"/>
              </w:rPr>
              <w:t>441.4</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16.9%</w:t>
            </w:r>
          </w:p>
        </w:tc>
        <w:tc>
          <w:tcPr>
            <w:tcW w:w="360" w:type="dxa"/>
            <w:vAlign w:val="bottom"/>
          </w:tcPr>
          <w:p>
            <w:pPr>
              <w:jc w:val="right"/>
              <w:spacing w:after="0"/>
              <w:rPr>
                <w:sz w:val="20"/>
                <w:szCs w:val="20"/>
                <w:color w:val="auto"/>
              </w:rPr>
            </w:pPr>
            <w:r>
              <w:rPr>
                <w:rFonts w:ascii="Arial" w:cs="Arial" w:eastAsia="Arial" w:hAnsi="Arial"/>
                <w:sz w:val="12"/>
                <w:szCs w:val="12"/>
                <w:color w:val="auto"/>
              </w:rPr>
              <w:t>82.2</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71.0</w:t>
            </w:r>
          </w:p>
        </w:tc>
        <w:tc>
          <w:tcPr>
            <w:tcW w:w="360" w:type="dxa"/>
            <w:vAlign w:val="bottom"/>
          </w:tcPr>
          <w:p>
            <w:pPr>
              <w:jc w:val="right"/>
              <w:spacing w:after="0"/>
              <w:rPr>
                <w:sz w:val="20"/>
                <w:szCs w:val="20"/>
                <w:color w:val="auto"/>
              </w:rPr>
            </w:pPr>
            <w:r>
              <w:rPr>
                <w:rFonts w:ascii="Arial" w:cs="Arial" w:eastAsia="Arial" w:hAnsi="Arial"/>
                <w:sz w:val="12"/>
                <w:szCs w:val="12"/>
                <w:color w:val="auto"/>
              </w:rPr>
              <w:t>19.0</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16.2</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2,946.3</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2,518.9</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170.2</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5.3</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2,776.1</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2,514.8</w:t>
            </w:r>
          </w:p>
        </w:tc>
        <w:tc>
          <w:tcPr>
            <w:tcW w:w="560" w:type="dxa"/>
            <w:vAlign w:val="bottom"/>
          </w:tcPr>
          <w:p>
            <w:pPr>
              <w:jc w:val="right"/>
              <w:spacing w:after="0"/>
              <w:rPr>
                <w:sz w:val="20"/>
                <w:szCs w:val="20"/>
                <w:color w:val="auto"/>
              </w:rPr>
            </w:pPr>
            <w:r>
              <w:rPr>
                <w:rFonts w:ascii="Arial" w:cs="Arial" w:eastAsia="Arial" w:hAnsi="Arial"/>
                <w:sz w:val="12"/>
                <w:szCs w:val="12"/>
                <w:color w:val="auto"/>
              </w:rPr>
              <w:t>261.3</w:t>
            </w:r>
          </w:p>
        </w:tc>
        <w:tc>
          <w:tcPr>
            <w:tcW w:w="660" w:type="dxa"/>
            <w:vAlign w:val="bottom"/>
          </w:tcPr>
          <w:p>
            <w:pPr>
              <w:jc w:val="right"/>
              <w:spacing w:after="0"/>
              <w:rPr>
                <w:sz w:val="20"/>
                <w:szCs w:val="20"/>
                <w:color w:val="auto"/>
              </w:rPr>
            </w:pPr>
            <w:r>
              <w:rPr>
                <w:rFonts w:ascii="Arial" w:cs="Arial" w:eastAsia="Arial" w:hAnsi="Arial"/>
                <w:sz w:val="12"/>
                <w:szCs w:val="12"/>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300" w:hanging="213"/>
        <w:spacing w:after="0" w:line="201" w:lineRule="auto"/>
        <w:tabs>
          <w:tab w:leader="none" w:pos="220" w:val="left"/>
        </w:tabs>
        <w:numPr>
          <w:ilvl w:val="0"/>
          <w:numId w:val="66"/>
        </w:numPr>
        <w:rPr>
          <w:rFonts w:ascii="Arial" w:cs="Arial" w:eastAsia="Arial" w:hAnsi="Arial"/>
          <w:sz w:val="19"/>
          <w:szCs w:val="19"/>
          <w:color w:val="auto"/>
          <w:vertAlign w:val="superscript"/>
        </w:rPr>
      </w:pPr>
      <w:r>
        <w:rPr>
          <w:rFonts w:ascii="Arial" w:cs="Arial" w:eastAsia="Arial" w:hAnsi="Arial"/>
          <w:sz w:val="12"/>
          <w:szCs w:val="12"/>
          <w:color w:val="auto"/>
        </w:rPr>
        <w:t>The Retail segment includes commissions and fees reported in the “Other” column of the Segment Information table in Note 16 of the Notes to the Consolidated Financial Statements, which includes corporate and consolidation items.</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66"/>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6"/>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ectPr>
          <w:pgSz w:w="11900" w:h="16838" w:orient="portrait"/>
          <w:cols w:equalWidth="0" w:num="1">
            <w:col w:w="10920"/>
          </w:cols>
          <w:pgMar w:left="480" w:top="304" w:right="499" w:bottom="1440" w:gutter="0" w:footer="0" w:header="0"/>
        </w:sectPr>
      </w:pPr>
    </w:p>
    <w:p>
      <w:pPr>
        <w:spacing w:after="0" w:line="127"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69</w:t>
      </w:r>
    </w:p>
    <w:p>
      <w:pPr>
        <w:sectPr>
          <w:pgSz w:w="11900" w:h="16838" w:orient="portrait"/>
          <w:cols w:equalWidth="0" w:num="1">
            <w:col w:w="10920"/>
          </w:cols>
          <w:pgMar w:left="480" w:top="304" w:right="4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ANNEX A INFORMATION REGARDING NON-GAAP FINANCIAL MEASURES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total commissions and fees, included in the Consolidated Statement of Income, to Organic Revenue, which for 2020 includes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for the year ended December 31, 2020,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40" w:type="dxa"/>
            <w:vAlign w:val="bottom"/>
          </w:tcPr>
          <w:p>
            <w:pPr>
              <w:spacing w:after="0"/>
              <w:rPr>
                <w:sz w:val="10"/>
                <w:szCs w:val="10"/>
                <w:color w:val="auto"/>
              </w:rPr>
            </w:pPr>
          </w:p>
        </w:tc>
        <w:tc>
          <w:tcPr>
            <w:tcW w:w="680" w:type="dxa"/>
            <w:vAlign w:val="bottom"/>
          </w:tcPr>
          <w:p>
            <w:pPr>
              <w:jc w:val="center"/>
              <w:ind w:right="142"/>
              <w:spacing w:after="0"/>
              <w:rPr>
                <w:sz w:val="20"/>
                <w:szCs w:val="20"/>
                <w:color w:val="auto"/>
              </w:rPr>
            </w:pPr>
            <w:r>
              <w:rPr>
                <w:rFonts w:ascii="Arial" w:cs="Arial" w:eastAsia="Arial" w:hAnsi="Arial"/>
                <w:sz w:val="11"/>
                <w:szCs w:val="11"/>
                <w:b w:val="1"/>
                <w:bCs w:val="1"/>
                <w:color w:val="002856"/>
                <w:w w:val="91"/>
              </w:rPr>
              <w:t>Total</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jc w:val="center"/>
              <w:ind w:right="82"/>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2040" w:type="dxa"/>
            <w:vAlign w:val="bottom"/>
          </w:tcPr>
          <w:p>
            <w:pPr>
              <w:spacing w:after="0"/>
              <w:rPr>
                <w:sz w:val="10"/>
                <w:szCs w:val="10"/>
                <w:color w:val="auto"/>
              </w:rPr>
            </w:pPr>
          </w:p>
        </w:tc>
        <w:tc>
          <w:tcPr>
            <w:tcW w:w="11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8"/>
              </w:rPr>
              <w:t>Total</w:t>
            </w:r>
          </w:p>
        </w:tc>
        <w:tc>
          <w:tcPr>
            <w:tcW w:w="680" w:type="dxa"/>
            <w:vAlign w:val="bottom"/>
          </w:tcPr>
          <w:p>
            <w:pPr>
              <w:jc w:val="center"/>
              <w:ind w:right="122"/>
              <w:spacing w:after="0" w:line="121" w:lineRule="exact"/>
              <w:rPr>
                <w:sz w:val="20"/>
                <w:szCs w:val="20"/>
                <w:color w:val="auto"/>
              </w:rPr>
            </w:pPr>
            <w:r>
              <w:rPr>
                <w:rFonts w:ascii="Arial" w:cs="Arial" w:eastAsia="Arial" w:hAnsi="Arial"/>
                <w:sz w:val="11"/>
                <w:szCs w:val="11"/>
                <w:b w:val="1"/>
                <w:bCs w:val="1"/>
                <w:color w:val="002856"/>
              </w:rPr>
              <w:t>Net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Acquisition</w:t>
            </w:r>
          </w:p>
        </w:tc>
        <w:tc>
          <w:tcPr>
            <w:tcW w:w="6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5"/>
              </w:rPr>
              <w:t>Divested</w:t>
            </w:r>
          </w:p>
        </w:tc>
        <w:tc>
          <w:tcPr>
            <w:tcW w:w="1120" w:type="dxa"/>
            <w:vAlign w:val="bottom"/>
            <w:gridSpan w:val="3"/>
          </w:tcPr>
          <w:p>
            <w:pPr>
              <w:jc w:val="right"/>
              <w:ind w:right="380"/>
              <w:spacing w:after="0" w:line="121" w:lineRule="exact"/>
              <w:rPr>
                <w:sz w:val="20"/>
                <w:szCs w:val="20"/>
                <w:color w:val="auto"/>
              </w:rPr>
            </w:pPr>
            <w:r>
              <w:rPr>
                <w:rFonts w:ascii="Arial" w:cs="Arial" w:eastAsia="Arial" w:hAnsi="Arial"/>
                <w:sz w:val="11"/>
                <w:szCs w:val="11"/>
                <w:b w:val="1"/>
                <w:bCs w:val="1"/>
                <w:color w:val="002856"/>
              </w:rPr>
              <w:t>Organic</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Organic</w:t>
            </w:r>
          </w:p>
        </w:tc>
        <w:tc>
          <w:tcPr>
            <w:tcW w:w="700" w:type="dxa"/>
            <w:vAlign w:val="bottom"/>
          </w:tcPr>
          <w:p>
            <w:pPr>
              <w:jc w:val="center"/>
              <w:ind w:right="82"/>
              <w:spacing w:after="0" w:line="121"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2040" w:type="dxa"/>
            <w:vAlign w:val="bottom"/>
          </w:tcPr>
          <w:p>
            <w:pPr>
              <w:ind w:left="80"/>
              <w:spacing w:after="0" w:line="121" w:lineRule="exact"/>
              <w:rPr>
                <w:sz w:val="20"/>
                <w:szCs w:val="20"/>
                <w:color w:val="auto"/>
              </w:rPr>
            </w:pPr>
            <w:r>
              <w:rPr>
                <w:rFonts w:ascii="Arial" w:cs="Arial" w:eastAsia="Arial" w:hAnsi="Arial"/>
                <w:sz w:val="11"/>
                <w:szCs w:val="11"/>
                <w:b w:val="1"/>
                <w:bCs w:val="1"/>
                <w:color w:val="002856"/>
              </w:rPr>
              <w:t>(in millions,</w:t>
            </w:r>
          </w:p>
        </w:tc>
        <w:tc>
          <w:tcPr>
            <w:tcW w:w="1100" w:type="dxa"/>
            <w:vAlign w:val="bottom"/>
            <w:gridSpan w:val="3"/>
          </w:tcPr>
          <w:p>
            <w:pPr>
              <w:jc w:val="center"/>
              <w:ind w:right="4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4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Net</w:t>
            </w:r>
          </w:p>
        </w:tc>
        <w:tc>
          <w:tcPr>
            <w:tcW w:w="680" w:type="dxa"/>
            <w:vAlign w:val="bottom"/>
          </w:tcPr>
          <w:p>
            <w:pPr>
              <w:jc w:val="center"/>
              <w:ind w:right="122"/>
              <w:spacing w:after="0" w:line="121" w:lineRule="exact"/>
              <w:rPr>
                <w:sz w:val="20"/>
                <w:szCs w:val="20"/>
                <w:color w:val="auto"/>
              </w:rPr>
            </w:pPr>
            <w:r>
              <w:rPr>
                <w:rFonts w:ascii="Arial" w:cs="Arial" w:eastAsia="Arial" w:hAnsi="Arial"/>
                <w:sz w:val="11"/>
                <w:szCs w:val="11"/>
                <w:b w:val="1"/>
                <w:bCs w:val="1"/>
                <w:color w:val="002856"/>
                <w:w w:val="98"/>
              </w:rPr>
              <w:t>Growth</w:t>
            </w:r>
          </w:p>
        </w:tc>
        <w:tc>
          <w:tcPr>
            <w:tcW w:w="800" w:type="dxa"/>
            <w:vAlign w:val="bottom"/>
            <w:gridSpan w:val="3"/>
          </w:tcPr>
          <w:p>
            <w:pPr>
              <w:jc w:val="right"/>
              <w:ind w:right="140"/>
              <w:spacing w:after="0" w:line="121" w:lineRule="exact"/>
              <w:rPr>
                <w:sz w:val="20"/>
                <w:szCs w:val="20"/>
                <w:color w:val="auto"/>
              </w:rPr>
            </w:pPr>
            <w:r>
              <w:rPr>
                <w:rFonts w:ascii="Arial" w:cs="Arial" w:eastAsia="Arial" w:hAnsi="Arial"/>
                <w:sz w:val="11"/>
                <w:szCs w:val="11"/>
                <w:b w:val="1"/>
                <w:bCs w:val="1"/>
                <w:color w:val="002856"/>
                <w:w w:val="99"/>
              </w:rPr>
              <w:t>Contingents</w:t>
            </w:r>
          </w:p>
        </w:tc>
        <w:tc>
          <w:tcPr>
            <w:tcW w:w="860" w:type="dxa"/>
            <w:vAlign w:val="bottom"/>
            <w:gridSpan w:val="3"/>
          </w:tcPr>
          <w:p>
            <w:pPr>
              <w:jc w:val="right"/>
              <w:ind w:right="340"/>
              <w:spacing w:after="0" w:line="121" w:lineRule="exact"/>
              <w:rPr>
                <w:sz w:val="20"/>
                <w:szCs w:val="20"/>
                <w:color w:val="auto"/>
              </w:rPr>
            </w:pPr>
            <w:r>
              <w:rPr>
                <w:rFonts w:ascii="Arial" w:cs="Arial" w:eastAsia="Arial" w:hAnsi="Arial"/>
                <w:sz w:val="11"/>
                <w:szCs w:val="11"/>
                <w:b w:val="1"/>
                <w:bCs w:val="1"/>
                <w:color w:val="002856"/>
              </w:rPr>
              <w:t>GSCs</w:t>
            </w:r>
          </w:p>
        </w:tc>
        <w:tc>
          <w:tcPr>
            <w:tcW w:w="1160" w:type="dxa"/>
            <w:vAlign w:val="bottom"/>
            <w:gridSpan w:val="3"/>
          </w:tcPr>
          <w:p>
            <w:pPr>
              <w:jc w:val="center"/>
              <w:ind w:right="12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Revenues</w:t>
            </w:r>
          </w:p>
        </w:tc>
        <w:tc>
          <w:tcPr>
            <w:tcW w:w="6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8"/>
              </w:rPr>
              <w:t>Business</w:t>
            </w:r>
          </w:p>
        </w:tc>
        <w:tc>
          <w:tcPr>
            <w:tcW w:w="1120" w:type="dxa"/>
            <w:vAlign w:val="bottom"/>
            <w:gridSpan w:val="3"/>
          </w:tcPr>
          <w:p>
            <w:pPr>
              <w:jc w:val="right"/>
              <w:ind w:right="32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Revenue</w:t>
            </w:r>
          </w:p>
        </w:tc>
        <w:tc>
          <w:tcPr>
            <w:tcW w:w="700" w:type="dxa"/>
            <w:vAlign w:val="bottom"/>
          </w:tcPr>
          <w:p>
            <w:pPr>
              <w:jc w:val="center"/>
              <w:ind w:right="62"/>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2040" w:type="dxa"/>
            <w:vAlign w:val="bottom"/>
            <w:tcBorders>
              <w:bottom w:val="single" w:sz="8" w:color="C6093B"/>
            </w:tcBorders>
          </w:tcPr>
          <w:p>
            <w:pPr>
              <w:ind w:left="80"/>
              <w:spacing w:after="0" w:line="121" w:lineRule="exact"/>
              <w:rPr>
                <w:sz w:val="20"/>
                <w:szCs w:val="20"/>
                <w:color w:val="auto"/>
              </w:rPr>
            </w:pPr>
            <w:r>
              <w:rPr>
                <w:rFonts w:ascii="Arial" w:cs="Arial" w:eastAsia="Arial" w:hAnsi="Arial"/>
                <w:sz w:val="11"/>
                <w:szCs w:val="11"/>
                <w:b w:val="1"/>
                <w:bCs w:val="1"/>
                <w:color w:val="002856"/>
              </w:rPr>
              <w:t>except percentages)</w:t>
            </w:r>
          </w:p>
        </w:tc>
        <w:tc>
          <w:tcPr>
            <w:tcW w:w="540" w:type="dxa"/>
            <w:vAlign w:val="bottom"/>
            <w:tcBorders>
              <w:top w:val="single" w:sz="8" w:color="C6093B"/>
              <w:bottom w:val="single" w:sz="8" w:color="C6093B"/>
            </w:tcBorders>
          </w:tcPr>
          <w:p>
            <w:pPr>
              <w:jc w:val="right"/>
              <w:ind w:right="122"/>
              <w:spacing w:after="0" w:line="121" w:lineRule="exact"/>
              <w:rPr>
                <w:sz w:val="20"/>
                <w:szCs w:val="20"/>
                <w:color w:val="auto"/>
              </w:rPr>
            </w:pPr>
            <w:r>
              <w:rPr>
                <w:rFonts w:ascii="Arial" w:cs="Arial" w:eastAsia="Arial" w:hAnsi="Arial"/>
                <w:sz w:val="11"/>
                <w:szCs w:val="11"/>
                <w:b w:val="1"/>
                <w:bCs w:val="1"/>
                <w:color w:val="002856"/>
              </w:rPr>
              <w:t>2020</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2019</w:t>
            </w:r>
          </w:p>
        </w:tc>
        <w:tc>
          <w:tcPr>
            <w:tcW w:w="60" w:type="dxa"/>
            <w:vAlign w:val="bottom"/>
            <w:tcBorders>
              <w:bottom w:val="single" w:sz="8" w:color="C6093B"/>
            </w:tcBorders>
          </w:tcPr>
          <w:p>
            <w:pPr>
              <w:spacing w:after="0"/>
              <w:rPr>
                <w:sz w:val="11"/>
                <w:szCs w:val="11"/>
                <w:color w:val="auto"/>
              </w:rPr>
            </w:pPr>
          </w:p>
        </w:tc>
        <w:tc>
          <w:tcPr>
            <w:tcW w:w="54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4"/>
              </w:rPr>
              <w:t>Change</w:t>
            </w:r>
          </w:p>
        </w:tc>
        <w:tc>
          <w:tcPr>
            <w:tcW w:w="680" w:type="dxa"/>
            <w:vAlign w:val="bottom"/>
            <w:tcBorders>
              <w:bottom w:val="single" w:sz="8" w:color="C6093B"/>
            </w:tcBorders>
          </w:tcPr>
          <w:p>
            <w:pPr>
              <w:jc w:val="center"/>
              <w:ind w:right="122"/>
              <w:spacing w:after="0" w:line="121" w:lineRule="exact"/>
              <w:rPr>
                <w:sz w:val="20"/>
                <w:szCs w:val="20"/>
                <w:color w:val="auto"/>
              </w:rPr>
            </w:pPr>
            <w:r>
              <w:rPr>
                <w:rFonts w:ascii="Arial" w:cs="Arial" w:eastAsia="Arial" w:hAnsi="Arial"/>
                <w:sz w:val="11"/>
                <w:szCs w:val="11"/>
                <w:b w:val="1"/>
                <w:bCs w:val="1"/>
                <w:color w:val="002856"/>
              </w:rPr>
              <w:t>%</w:t>
            </w:r>
          </w:p>
        </w:tc>
        <w:tc>
          <w:tcPr>
            <w:tcW w:w="360" w:type="dxa"/>
            <w:vAlign w:val="bottom"/>
            <w:tcBorders>
              <w:top w:val="single" w:sz="8" w:color="C6093B"/>
              <w:bottom w:val="single" w:sz="8" w:color="C6093B"/>
            </w:tcBorders>
          </w:tcPr>
          <w:p>
            <w:pPr>
              <w:jc w:val="right"/>
              <w:ind w:right="20"/>
              <w:spacing w:after="0" w:line="121" w:lineRule="exact"/>
              <w:rPr>
                <w:sz w:val="20"/>
                <w:szCs w:val="20"/>
                <w:color w:val="auto"/>
              </w:rPr>
            </w:pPr>
            <w:r>
              <w:rPr>
                <w:rFonts w:ascii="Arial" w:cs="Arial" w:eastAsia="Arial" w:hAnsi="Arial"/>
                <w:sz w:val="11"/>
                <w:szCs w:val="11"/>
                <w:b w:val="1"/>
                <w:bCs w:val="1"/>
                <w:color w:val="002856"/>
              </w:rPr>
              <w:t>2020</w:t>
            </w:r>
          </w:p>
        </w:tc>
        <w:tc>
          <w:tcPr>
            <w:tcW w:w="34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2019</w:t>
            </w:r>
          </w:p>
        </w:tc>
        <w:tc>
          <w:tcPr>
            <w:tcW w:w="100" w:type="dxa"/>
            <w:vAlign w:val="bottom"/>
            <w:tcBorders>
              <w:bottom w:val="single" w:sz="8" w:color="C6093B"/>
            </w:tcBorders>
          </w:tcPr>
          <w:p>
            <w:pPr>
              <w:spacing w:after="0"/>
              <w:rPr>
                <w:sz w:val="11"/>
                <w:szCs w:val="11"/>
                <w:color w:val="auto"/>
              </w:rPr>
            </w:pPr>
          </w:p>
        </w:tc>
        <w:tc>
          <w:tcPr>
            <w:tcW w:w="420" w:type="dxa"/>
            <w:vAlign w:val="bottom"/>
            <w:tcBorders>
              <w:top w:val="single" w:sz="8" w:color="C6093B"/>
              <w:bottom w:val="single" w:sz="8" w:color="C6093B"/>
            </w:tcBorders>
          </w:tcPr>
          <w:p>
            <w:pPr>
              <w:jc w:val="right"/>
              <w:ind w:right="80"/>
              <w:spacing w:after="0" w:line="121" w:lineRule="exact"/>
              <w:rPr>
                <w:sz w:val="20"/>
                <w:szCs w:val="20"/>
                <w:color w:val="auto"/>
              </w:rPr>
            </w:pPr>
            <w:r>
              <w:rPr>
                <w:rFonts w:ascii="Arial" w:cs="Arial" w:eastAsia="Arial" w:hAnsi="Arial"/>
                <w:sz w:val="11"/>
                <w:szCs w:val="11"/>
                <w:b w:val="1"/>
                <w:bCs w:val="1"/>
                <w:color w:val="002856"/>
              </w:rPr>
              <w:t>2020</w:t>
            </w:r>
          </w:p>
        </w:tc>
        <w:tc>
          <w:tcPr>
            <w:tcW w:w="32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2019</w:t>
            </w:r>
          </w:p>
        </w:tc>
        <w:tc>
          <w:tcPr>
            <w:tcW w:w="120" w:type="dxa"/>
            <w:vAlign w:val="bottom"/>
            <w:tcBorders>
              <w:bottom w:val="single" w:sz="8" w:color="C6093B"/>
            </w:tcBorders>
          </w:tcPr>
          <w:p>
            <w:pPr>
              <w:spacing w:after="0"/>
              <w:rPr>
                <w:sz w:val="11"/>
                <w:szCs w:val="11"/>
                <w:color w:val="auto"/>
              </w:rPr>
            </w:pPr>
          </w:p>
        </w:tc>
        <w:tc>
          <w:tcPr>
            <w:tcW w:w="540" w:type="dxa"/>
            <w:vAlign w:val="bottom"/>
            <w:tcBorders>
              <w:top w:val="single" w:sz="8" w:color="C6093B"/>
              <w:bottom w:val="single" w:sz="8" w:color="C6093B"/>
            </w:tcBorders>
          </w:tcPr>
          <w:p>
            <w:pPr>
              <w:jc w:val="right"/>
              <w:ind w:right="143"/>
              <w:spacing w:after="0" w:line="121" w:lineRule="exact"/>
              <w:rPr>
                <w:sz w:val="20"/>
                <w:szCs w:val="20"/>
                <w:color w:val="auto"/>
              </w:rPr>
            </w:pPr>
            <w:r>
              <w:rPr>
                <w:rFonts w:ascii="Arial" w:cs="Arial" w:eastAsia="Arial" w:hAnsi="Arial"/>
                <w:sz w:val="11"/>
                <w:szCs w:val="11"/>
                <w:b w:val="1"/>
                <w:bCs w:val="1"/>
                <w:color w:val="002856"/>
              </w:rPr>
              <w:t>2020</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2019</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89"/>
              </w:rPr>
              <w:t>2020</w:t>
            </w:r>
          </w:p>
        </w:tc>
        <w:tc>
          <w:tcPr>
            <w:tcW w:w="120" w:type="dxa"/>
            <w:vAlign w:val="bottom"/>
            <w:tcBorders>
              <w:bottom w:val="single" w:sz="8" w:color="C6093B"/>
            </w:tcBorders>
          </w:tcPr>
          <w:p>
            <w:pPr>
              <w:spacing w:after="0"/>
              <w:rPr>
                <w:sz w:val="11"/>
                <w:szCs w:val="11"/>
                <w:color w:val="auto"/>
              </w:rPr>
            </w:pPr>
          </w:p>
        </w:tc>
        <w:tc>
          <w:tcPr>
            <w:tcW w:w="4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2019</w:t>
            </w:r>
          </w:p>
        </w:tc>
        <w:tc>
          <w:tcPr>
            <w:tcW w:w="12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2"/>
              <w:spacing w:after="0" w:line="121" w:lineRule="exact"/>
              <w:rPr>
                <w:sz w:val="20"/>
                <w:szCs w:val="20"/>
                <w:color w:val="auto"/>
              </w:rPr>
            </w:pPr>
            <w:r>
              <w:rPr>
                <w:rFonts w:ascii="Arial" w:cs="Arial" w:eastAsia="Arial" w:hAnsi="Arial"/>
                <w:sz w:val="11"/>
                <w:szCs w:val="11"/>
                <w:b w:val="1"/>
                <w:bCs w:val="1"/>
                <w:color w:val="002856"/>
              </w:rPr>
              <w:t>2020</w:t>
            </w:r>
          </w:p>
        </w:tc>
        <w:tc>
          <w:tcPr>
            <w:tcW w:w="500" w:type="dxa"/>
            <w:vAlign w:val="bottom"/>
            <w:tcBorders>
              <w:top w:val="single" w:sz="8" w:color="C6093B"/>
              <w:bottom w:val="single" w:sz="8" w:color="C6093B"/>
            </w:tcBorders>
          </w:tcPr>
          <w:p>
            <w:pPr>
              <w:jc w:val="right"/>
              <w:ind w:right="59"/>
              <w:spacing w:after="0" w:line="121" w:lineRule="exact"/>
              <w:rPr>
                <w:sz w:val="20"/>
                <w:szCs w:val="20"/>
                <w:color w:val="auto"/>
              </w:rPr>
            </w:pPr>
            <w:r>
              <w:rPr>
                <w:rFonts w:ascii="Arial" w:cs="Arial" w:eastAsia="Arial" w:hAnsi="Arial"/>
                <w:sz w:val="11"/>
                <w:szCs w:val="11"/>
                <w:b w:val="1"/>
                <w:bCs w:val="1"/>
                <w:color w:val="002856"/>
              </w:rPr>
              <w:t>2019</w:t>
            </w:r>
          </w:p>
        </w:tc>
        <w:tc>
          <w:tcPr>
            <w:tcW w:w="60" w:type="dxa"/>
            <w:vAlign w:val="bottom"/>
            <w:tcBorders>
              <w:bottom w:val="single" w:sz="8" w:color="C6093B"/>
            </w:tcBorders>
          </w:tcPr>
          <w:p>
            <w:pPr>
              <w:spacing w:after="0"/>
              <w:rPr>
                <w:sz w:val="11"/>
                <w:szCs w:val="11"/>
                <w:color w:val="auto"/>
              </w:rPr>
            </w:pPr>
          </w:p>
        </w:tc>
        <w:tc>
          <w:tcPr>
            <w:tcW w:w="62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8"/>
              </w:rPr>
              <w:t>Growth</w:t>
            </w:r>
          </w:p>
        </w:tc>
        <w:tc>
          <w:tcPr>
            <w:tcW w:w="700" w:type="dxa"/>
            <w:vAlign w:val="bottom"/>
            <w:tcBorders>
              <w:bottom w:val="single" w:sz="8" w:color="C6093B"/>
            </w:tcBorders>
          </w:tcPr>
          <w:p>
            <w:pPr>
              <w:jc w:val="center"/>
              <w:ind w:right="62"/>
              <w:spacing w:after="0" w:line="121" w:lineRule="exact"/>
              <w:rPr>
                <w:sz w:val="20"/>
                <w:szCs w:val="20"/>
                <w:color w:val="auto"/>
              </w:rPr>
            </w:pPr>
            <w:r>
              <w:rPr>
                <w:rFonts w:ascii="Arial" w:cs="Arial" w:eastAsia="Arial" w:hAnsi="Arial"/>
                <w:sz w:val="11"/>
                <w:szCs w:val="11"/>
                <w:b w:val="1"/>
                <w:bCs w:val="1"/>
                <w:color w:val="002856"/>
              </w:rPr>
              <w:t>%</w:t>
            </w:r>
          </w:p>
        </w:tc>
      </w:tr>
      <w:tr>
        <w:trPr>
          <w:trHeight w:val="254"/>
        </w:trPr>
        <w:tc>
          <w:tcPr>
            <w:tcW w:w="2040" w:type="dxa"/>
            <w:vAlign w:val="bottom"/>
            <w:tcBorders>
              <w:bottom w:val="single" w:sz="8" w:color="4C4C4C"/>
            </w:tcBorders>
          </w:tcPr>
          <w:p>
            <w:pPr>
              <w:ind w:left="80"/>
              <w:spacing w:after="0"/>
              <w:rPr>
                <w:sz w:val="20"/>
                <w:szCs w:val="20"/>
                <w:color w:val="auto"/>
              </w:rPr>
            </w:pPr>
            <w:r>
              <w:rPr>
                <w:rFonts w:ascii="Arial" w:cs="Arial" w:eastAsia="Arial" w:hAnsi="Arial"/>
                <w:sz w:val="12"/>
                <w:szCs w:val="12"/>
                <w:color w:val="auto"/>
              </w:rPr>
              <w:t>Retail</w:t>
            </w:r>
            <w:r>
              <w:rPr>
                <w:rFonts w:ascii="Arial" w:cs="Arial" w:eastAsia="Arial" w:hAnsi="Arial"/>
                <w:sz w:val="18"/>
                <w:szCs w:val="18"/>
                <w:color w:val="auto"/>
                <w:vertAlign w:val="superscript"/>
              </w:rPr>
              <w:t>(1)</w:t>
            </w:r>
          </w:p>
        </w:tc>
        <w:tc>
          <w:tcPr>
            <w:tcW w:w="54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1,470.1</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1,364.8</w:t>
            </w:r>
          </w:p>
        </w:tc>
        <w:tc>
          <w:tcPr>
            <w:tcW w:w="540" w:type="dxa"/>
            <w:vAlign w:val="bottom"/>
            <w:tcBorders>
              <w:bottom w:val="single" w:sz="8" w:color="4C4C4C"/>
            </w:tcBorders>
          </w:tcPr>
          <w:p>
            <w:pPr>
              <w:jc w:val="right"/>
              <w:ind w:right="21"/>
              <w:spacing w:after="0"/>
              <w:rPr>
                <w:sz w:val="20"/>
                <w:szCs w:val="20"/>
                <w:color w:val="auto"/>
              </w:rPr>
            </w:pPr>
            <w:r>
              <w:rPr>
                <w:rFonts w:ascii="Arial" w:cs="Arial" w:eastAsia="Arial" w:hAnsi="Arial"/>
                <w:sz w:val="12"/>
                <w:szCs w:val="12"/>
                <w:color w:val="auto"/>
              </w:rPr>
              <w:t>105.3</w:t>
            </w:r>
          </w:p>
        </w:tc>
        <w:tc>
          <w:tcPr>
            <w:tcW w:w="680" w:type="dxa"/>
            <w:vAlign w:val="bottom"/>
            <w:tcBorders>
              <w:bottom w:val="single" w:sz="8" w:color="4C4C4C"/>
            </w:tcBorders>
          </w:tcPr>
          <w:p>
            <w:pPr>
              <w:jc w:val="right"/>
              <w:ind w:right="82"/>
              <w:spacing w:after="0"/>
              <w:rPr>
                <w:sz w:val="20"/>
                <w:szCs w:val="20"/>
                <w:color w:val="auto"/>
              </w:rPr>
            </w:pPr>
            <w:r>
              <w:rPr>
                <w:rFonts w:ascii="Arial" w:cs="Arial" w:eastAsia="Arial" w:hAnsi="Arial"/>
                <w:sz w:val="12"/>
                <w:szCs w:val="12"/>
                <w:color w:val="auto"/>
              </w:rPr>
              <w:t>7.7%</w:t>
            </w:r>
          </w:p>
        </w:tc>
        <w:tc>
          <w:tcPr>
            <w:tcW w:w="3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35.8</w:t>
            </w:r>
          </w:p>
        </w:tc>
        <w:tc>
          <w:tcPr>
            <w:tcW w:w="44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2"/>
                <w:szCs w:val="12"/>
                <w:color w:val="auto"/>
              </w:rPr>
              <w:t>34.2</w:t>
            </w:r>
          </w:p>
        </w:tc>
        <w:tc>
          <w:tcPr>
            <w:tcW w:w="420" w:type="dxa"/>
            <w:vAlign w:val="bottom"/>
            <w:tcBorders>
              <w:bottom w:val="single" w:sz="8" w:color="4C4C4C"/>
            </w:tcBorders>
          </w:tcPr>
          <w:p>
            <w:pPr>
              <w:jc w:val="right"/>
              <w:ind w:right="60"/>
              <w:spacing w:after="0"/>
              <w:rPr>
                <w:sz w:val="20"/>
                <w:szCs w:val="20"/>
                <w:color w:val="auto"/>
              </w:rPr>
            </w:pPr>
            <w:r>
              <w:rPr>
                <w:rFonts w:ascii="Arial" w:cs="Arial" w:eastAsia="Arial" w:hAnsi="Arial"/>
                <w:sz w:val="12"/>
                <w:szCs w:val="12"/>
                <w:color w:val="auto"/>
              </w:rPr>
              <w:t>15.1</w:t>
            </w:r>
          </w:p>
        </w:tc>
        <w:tc>
          <w:tcPr>
            <w:tcW w:w="44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11.0</w:t>
            </w:r>
          </w:p>
        </w:tc>
        <w:tc>
          <w:tcPr>
            <w:tcW w:w="54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1,419.2</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1,319.6</w:t>
            </w:r>
          </w:p>
        </w:tc>
        <w:tc>
          <w:tcPr>
            <w:tcW w:w="7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79.5</w:t>
            </w:r>
          </w:p>
        </w:tc>
        <w:tc>
          <w:tcPr>
            <w:tcW w:w="6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11.8</w:t>
            </w:r>
          </w:p>
        </w:tc>
        <w:tc>
          <w:tcPr>
            <w:tcW w:w="56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1,339.6</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1,307.8</w:t>
            </w:r>
          </w:p>
        </w:tc>
        <w:tc>
          <w:tcPr>
            <w:tcW w:w="620" w:type="dxa"/>
            <w:vAlign w:val="bottom"/>
            <w:tcBorders>
              <w:bottom w:val="single" w:sz="8" w:color="4C4C4C"/>
            </w:tcBorders>
          </w:tcPr>
          <w:p>
            <w:pPr>
              <w:jc w:val="right"/>
              <w:ind w:right="41"/>
              <w:spacing w:after="0"/>
              <w:rPr>
                <w:sz w:val="20"/>
                <w:szCs w:val="20"/>
                <w:color w:val="auto"/>
              </w:rPr>
            </w:pPr>
            <w:r>
              <w:rPr>
                <w:rFonts w:ascii="Arial" w:cs="Arial" w:eastAsia="Arial" w:hAnsi="Arial"/>
                <w:sz w:val="12"/>
                <w:szCs w:val="12"/>
                <w:color w:val="auto"/>
              </w:rPr>
              <w:t>31.8</w:t>
            </w:r>
          </w:p>
        </w:tc>
        <w:tc>
          <w:tcPr>
            <w:tcW w:w="700" w:type="dxa"/>
            <w:vAlign w:val="bottom"/>
            <w:tcBorders>
              <w:bottom w:val="single" w:sz="8" w:color="4C4C4C"/>
            </w:tcBorders>
          </w:tcPr>
          <w:p>
            <w:pPr>
              <w:jc w:val="right"/>
              <w:ind w:right="22"/>
              <w:spacing w:after="0"/>
              <w:rPr>
                <w:sz w:val="20"/>
                <w:szCs w:val="20"/>
                <w:color w:val="auto"/>
              </w:rPr>
            </w:pPr>
            <w:r>
              <w:rPr>
                <w:rFonts w:ascii="Arial" w:cs="Arial" w:eastAsia="Arial" w:hAnsi="Arial"/>
                <w:sz w:val="12"/>
                <w:szCs w:val="12"/>
                <w:color w:val="auto"/>
              </w:rPr>
              <w:t>2.4%</w:t>
            </w:r>
          </w:p>
        </w:tc>
      </w:tr>
      <w:tr>
        <w:trPr>
          <w:trHeight w:val="194"/>
        </w:trPr>
        <w:tc>
          <w:tcPr>
            <w:tcW w:w="2040" w:type="dxa"/>
            <w:vAlign w:val="bottom"/>
          </w:tcPr>
          <w:p>
            <w:pPr>
              <w:ind w:left="80"/>
              <w:spacing w:after="0"/>
              <w:rPr>
                <w:sz w:val="20"/>
                <w:szCs w:val="20"/>
                <w:color w:val="auto"/>
              </w:rPr>
            </w:pPr>
            <w:r>
              <w:rPr>
                <w:rFonts w:ascii="Arial" w:cs="Arial" w:eastAsia="Arial" w:hAnsi="Arial"/>
                <w:sz w:val="12"/>
                <w:szCs w:val="12"/>
                <w:color w:val="auto"/>
              </w:rPr>
              <w:t>National Programs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609.8</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516.9</w:t>
            </w: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92.9</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18.0%</w:t>
            </w:r>
          </w:p>
        </w:tc>
        <w:tc>
          <w:tcPr>
            <w:tcW w:w="360" w:type="dxa"/>
            <w:vAlign w:val="bottom"/>
          </w:tcPr>
          <w:p>
            <w:pPr>
              <w:jc w:val="right"/>
              <w:spacing w:after="0"/>
              <w:rPr>
                <w:sz w:val="20"/>
                <w:szCs w:val="20"/>
                <w:color w:val="auto"/>
              </w:rPr>
            </w:pPr>
            <w:r>
              <w:rPr>
                <w:rFonts w:ascii="Arial" w:cs="Arial" w:eastAsia="Arial" w:hAnsi="Arial"/>
                <w:sz w:val="12"/>
                <w:szCs w:val="12"/>
                <w:color w:val="auto"/>
              </w:rPr>
              <w:t>27.3</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17.5</w:t>
            </w:r>
          </w:p>
        </w:tc>
        <w:tc>
          <w:tcPr>
            <w:tcW w:w="420" w:type="dxa"/>
            <w:vAlign w:val="bottom"/>
          </w:tcPr>
          <w:p>
            <w:pPr>
              <w:jc w:val="right"/>
              <w:ind w:right="20"/>
              <w:spacing w:after="0"/>
              <w:rPr>
                <w:sz w:val="20"/>
                <w:szCs w:val="20"/>
                <w:color w:val="auto"/>
              </w:rPr>
            </w:pPr>
            <w:r>
              <w:rPr>
                <w:rFonts w:ascii="Arial" w:cs="Arial" w:eastAsia="Arial" w:hAnsi="Arial"/>
                <w:sz w:val="12"/>
                <w:szCs w:val="12"/>
                <w:color w:val="auto"/>
              </w:rPr>
              <w:t>(0.2)</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10.6</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582.7</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488.8</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34.2</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0.4</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548.6</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488.4</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60.2</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12.3%</w:t>
            </w:r>
          </w:p>
        </w:tc>
      </w:tr>
      <w:tr>
        <w:trPr>
          <w:trHeight w:val="54"/>
        </w:trPr>
        <w:tc>
          <w:tcPr>
            <w:tcW w:w="20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2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040" w:type="dxa"/>
            <w:vAlign w:val="bottom"/>
          </w:tcPr>
          <w:p>
            <w:pPr>
              <w:ind w:left="80"/>
              <w:spacing w:after="0"/>
              <w:rPr>
                <w:sz w:val="20"/>
                <w:szCs w:val="20"/>
                <w:color w:val="auto"/>
              </w:rPr>
            </w:pPr>
            <w:r>
              <w:rPr>
                <w:rFonts w:ascii="Arial" w:cs="Arial" w:eastAsia="Arial" w:hAnsi="Arial"/>
                <w:sz w:val="12"/>
                <w:szCs w:val="12"/>
                <w:color w:val="auto"/>
              </w:rPr>
              <w:t>Wholesale Brokerage</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352.2</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309.4</w:t>
            </w: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42.8</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13.8%</w:t>
            </w:r>
          </w:p>
        </w:tc>
        <w:tc>
          <w:tcPr>
            <w:tcW w:w="360" w:type="dxa"/>
            <w:vAlign w:val="bottom"/>
          </w:tcPr>
          <w:p>
            <w:pPr>
              <w:jc w:val="right"/>
              <w:spacing w:after="0"/>
              <w:rPr>
                <w:sz w:val="20"/>
                <w:szCs w:val="20"/>
                <w:color w:val="auto"/>
              </w:rPr>
            </w:pPr>
            <w:r>
              <w:rPr>
                <w:rFonts w:ascii="Arial" w:cs="Arial" w:eastAsia="Arial" w:hAnsi="Arial"/>
                <w:sz w:val="12"/>
                <w:szCs w:val="12"/>
                <w:color w:val="auto"/>
              </w:rPr>
              <w:t>7.9</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7.5</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1.3</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343.0</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300.5</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25.9</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317.1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300.5</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16.6</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5.5%</w:t>
            </w:r>
          </w:p>
        </w:tc>
      </w:tr>
      <w:tr>
        <w:trPr>
          <w:trHeight w:val="54"/>
        </w:trPr>
        <w:tc>
          <w:tcPr>
            <w:tcW w:w="20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2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040" w:type="dxa"/>
            <w:vAlign w:val="bottom"/>
          </w:tcPr>
          <w:p>
            <w:pPr>
              <w:ind w:left="80"/>
              <w:spacing w:after="0"/>
              <w:rPr>
                <w:sz w:val="20"/>
                <w:szCs w:val="20"/>
                <w:color w:val="auto"/>
              </w:rPr>
            </w:pPr>
            <w:r>
              <w:rPr>
                <w:rFonts w:ascii="Arial" w:cs="Arial" w:eastAsia="Arial" w:hAnsi="Arial"/>
                <w:sz w:val="12"/>
                <w:szCs w:val="12"/>
                <w:color w:val="auto"/>
              </w:rPr>
              <w:t>Services</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174.0</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193.6</w:t>
            </w:r>
          </w:p>
        </w:tc>
        <w:tc>
          <w:tcPr>
            <w:tcW w:w="540" w:type="dxa"/>
            <w:vAlign w:val="bottom"/>
          </w:tcPr>
          <w:p>
            <w:pPr>
              <w:jc w:val="right"/>
              <w:spacing w:after="0"/>
              <w:rPr>
                <w:sz w:val="20"/>
                <w:szCs w:val="20"/>
                <w:color w:val="auto"/>
              </w:rPr>
            </w:pPr>
            <w:r>
              <w:rPr>
                <w:rFonts w:ascii="Arial" w:cs="Arial" w:eastAsia="Arial" w:hAnsi="Arial"/>
                <w:sz w:val="12"/>
                <w:szCs w:val="12"/>
                <w:color w:val="auto"/>
              </w:rPr>
              <w:t>(19.6)</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174.0</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193.6</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1.5</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172.5</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193.6</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(21.1)</w:t>
            </w:r>
          </w:p>
        </w:tc>
        <w:tc>
          <w:tcPr>
            <w:tcW w:w="70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54"/>
        </w:trPr>
        <w:tc>
          <w:tcPr>
            <w:tcW w:w="204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68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2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r>
      <w:tr>
        <w:trPr>
          <w:trHeight w:val="194"/>
        </w:trPr>
        <w:tc>
          <w:tcPr>
            <w:tcW w:w="2040" w:type="dxa"/>
            <w:vAlign w:val="bottom"/>
          </w:tcPr>
          <w:p>
            <w:pPr>
              <w:ind w:left="80"/>
              <w:spacing w:after="0"/>
              <w:rPr>
                <w:sz w:val="20"/>
                <w:szCs w:val="20"/>
                <w:color w:val="auto"/>
              </w:rPr>
            </w:pPr>
            <w:r>
              <w:rPr>
                <w:rFonts w:ascii="Arial" w:cs="Arial" w:eastAsia="Arial" w:hAnsi="Arial"/>
                <w:sz w:val="12"/>
                <w:szCs w:val="12"/>
                <w:color w:val="auto"/>
              </w:rPr>
              <w:t>Total Company</w:t>
            </w: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2,606.1</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2,384.7</w:t>
            </w: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221.4</w:t>
            </w:r>
          </w:p>
        </w:tc>
        <w:tc>
          <w:tcPr>
            <w:tcW w:w="680" w:type="dxa"/>
            <w:vAlign w:val="bottom"/>
          </w:tcPr>
          <w:p>
            <w:pPr>
              <w:jc w:val="right"/>
              <w:ind w:right="82"/>
              <w:spacing w:after="0"/>
              <w:rPr>
                <w:sz w:val="20"/>
                <w:szCs w:val="20"/>
                <w:color w:val="auto"/>
              </w:rPr>
            </w:pPr>
            <w:r>
              <w:rPr>
                <w:rFonts w:ascii="Arial" w:cs="Arial" w:eastAsia="Arial" w:hAnsi="Arial"/>
                <w:sz w:val="12"/>
                <w:szCs w:val="12"/>
                <w:color w:val="auto"/>
              </w:rPr>
              <w:t>9.3%</w:t>
            </w:r>
          </w:p>
        </w:tc>
        <w:tc>
          <w:tcPr>
            <w:tcW w:w="360" w:type="dxa"/>
            <w:vAlign w:val="bottom"/>
          </w:tcPr>
          <w:p>
            <w:pPr>
              <w:jc w:val="right"/>
              <w:spacing w:after="0"/>
              <w:rPr>
                <w:sz w:val="20"/>
                <w:szCs w:val="20"/>
                <w:color w:val="auto"/>
              </w:rPr>
            </w:pPr>
            <w:r>
              <w:rPr>
                <w:rFonts w:ascii="Arial" w:cs="Arial" w:eastAsia="Arial" w:hAnsi="Arial"/>
                <w:sz w:val="12"/>
                <w:szCs w:val="12"/>
                <w:color w:val="auto"/>
              </w:rPr>
              <w:t>71.0</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59.2</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16.2</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23.0</w:t>
            </w:r>
          </w:p>
        </w:tc>
        <w:tc>
          <w:tcPr>
            <w:tcW w:w="540" w:type="dxa"/>
            <w:vAlign w:val="bottom"/>
          </w:tcPr>
          <w:p>
            <w:pPr>
              <w:jc w:val="right"/>
              <w:ind w:right="23"/>
              <w:spacing w:after="0"/>
              <w:rPr>
                <w:sz w:val="20"/>
                <w:szCs w:val="20"/>
                <w:color w:val="auto"/>
              </w:rPr>
            </w:pPr>
            <w:r>
              <w:rPr>
                <w:rFonts w:ascii="Arial" w:cs="Arial" w:eastAsia="Arial" w:hAnsi="Arial"/>
                <w:sz w:val="12"/>
                <w:szCs w:val="12"/>
                <w:color w:val="auto"/>
              </w:rPr>
              <w:t>2,518.9</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2,302.5</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141.1</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2,377.9</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2,290.3</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87.5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300" w:hanging="213"/>
        <w:spacing w:after="0" w:line="201" w:lineRule="auto"/>
        <w:tabs>
          <w:tab w:leader="none" w:pos="22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The Retail segment includes commissions and fees reported in the “Other” column of the Segment Information table in Note 16 of the Notes to the Consolidated Financial Statements, which includes corporate and consolidation items.</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2023, Retail segment Organic Revenue growth was adjusted to include the impact of certain offices within the National Programs and Wholesale Brokerage segments for which Mr. Barrett Brown had responsibility in 2023 (collectively, the “2023 Retail Office-Based Adjustments”). The growth rate for Retail segment Organic Revenue – adjusted, which is a non-GAAP financial measure and which for 2023 excludes Foreign Currency Translation, for the year ended December 31, 2023,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80" w:type="dxa"/>
            <w:vAlign w:val="bottom"/>
          </w:tcPr>
          <w:p>
            <w:pPr>
              <w:spacing w:after="0"/>
              <w:rPr>
                <w:sz w:val="10"/>
                <w:szCs w:val="10"/>
                <w:color w:val="auto"/>
              </w:rPr>
            </w:pPr>
          </w:p>
        </w:tc>
        <w:tc>
          <w:tcPr>
            <w:tcW w:w="660" w:type="dxa"/>
            <w:vAlign w:val="bottom"/>
          </w:tcPr>
          <w:p>
            <w:pPr>
              <w:jc w:val="center"/>
              <w:ind w:right="123"/>
              <w:spacing w:after="0"/>
              <w:rPr>
                <w:sz w:val="20"/>
                <w:szCs w:val="20"/>
                <w:color w:val="auto"/>
              </w:rPr>
            </w:pPr>
            <w:r>
              <w:rPr>
                <w:rFonts w:ascii="Arial" w:cs="Arial" w:eastAsia="Arial" w:hAnsi="Arial"/>
                <w:sz w:val="11"/>
                <w:szCs w:val="11"/>
                <w:b w:val="1"/>
                <w:bCs w:val="1"/>
                <w:color w:val="002856"/>
                <w:w w:val="91"/>
              </w:rPr>
              <w:t>Total</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002856"/>
                <w:w w:val="99"/>
              </w:rPr>
              <w:t>Foreign</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ind w:right="44"/>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2140" w:type="dxa"/>
            <w:vAlign w:val="bottom"/>
          </w:tcPr>
          <w:p>
            <w:pPr>
              <w:spacing w:after="0"/>
              <w:rPr>
                <w:sz w:val="10"/>
                <w:szCs w:val="10"/>
                <w:color w:val="auto"/>
              </w:rPr>
            </w:pPr>
          </w:p>
        </w:tc>
        <w:tc>
          <w:tcPr>
            <w:tcW w:w="114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1"/>
              </w:rPr>
              <w:t>Total</w:t>
            </w:r>
          </w:p>
        </w:tc>
        <w:tc>
          <w:tcPr>
            <w:tcW w:w="660" w:type="dxa"/>
            <w:vAlign w:val="bottom"/>
          </w:tcPr>
          <w:p>
            <w:pPr>
              <w:jc w:val="center"/>
              <w:ind w:right="123"/>
              <w:spacing w:after="0" w:line="121" w:lineRule="exact"/>
              <w:rPr>
                <w:sz w:val="20"/>
                <w:szCs w:val="20"/>
                <w:color w:val="auto"/>
              </w:rPr>
            </w:pPr>
            <w:r>
              <w:rPr>
                <w:rFonts w:ascii="Arial" w:cs="Arial" w:eastAsia="Arial" w:hAnsi="Arial"/>
                <w:sz w:val="11"/>
                <w:szCs w:val="11"/>
                <w:b w:val="1"/>
                <w:bCs w:val="1"/>
                <w:color w:val="002856"/>
                <w:w w:val="90"/>
              </w:rPr>
              <w:t>Net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Acquisition</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rPr>
              <w:t>Divested</w:t>
            </w: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9"/>
              </w:rPr>
              <w:t>Currency</w:t>
            </w:r>
          </w:p>
        </w:tc>
        <w:tc>
          <w:tcPr>
            <w:tcW w:w="1120" w:type="dxa"/>
            <w:vAlign w:val="bottom"/>
            <w:gridSpan w:val="3"/>
          </w:tcPr>
          <w:p>
            <w:pPr>
              <w:jc w:val="right"/>
              <w:ind w:right="380"/>
              <w:spacing w:after="0" w:line="121" w:lineRule="exact"/>
              <w:rPr>
                <w:sz w:val="20"/>
                <w:szCs w:val="20"/>
                <w:color w:val="auto"/>
              </w:rPr>
            </w:pPr>
            <w:r>
              <w:rPr>
                <w:rFonts w:ascii="Arial" w:cs="Arial" w:eastAsia="Arial" w:hAnsi="Arial"/>
                <w:sz w:val="11"/>
                <w:szCs w:val="11"/>
                <w:b w:val="1"/>
                <w:bCs w:val="1"/>
                <w:color w:val="002856"/>
              </w:rPr>
              <w:t>Organic</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Organic</w:t>
            </w:r>
          </w:p>
        </w:tc>
        <w:tc>
          <w:tcPr>
            <w:tcW w:w="660" w:type="dxa"/>
            <w:vAlign w:val="bottom"/>
          </w:tcPr>
          <w:p>
            <w:pPr>
              <w:jc w:val="center"/>
              <w:ind w:right="44"/>
              <w:spacing w:after="0" w:line="121"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2140" w:type="dxa"/>
            <w:vAlign w:val="bottom"/>
          </w:tcPr>
          <w:p>
            <w:pPr>
              <w:ind w:left="80"/>
              <w:spacing w:after="0" w:line="121" w:lineRule="exact"/>
              <w:rPr>
                <w:sz w:val="20"/>
                <w:szCs w:val="20"/>
                <w:color w:val="auto"/>
              </w:rPr>
            </w:pPr>
            <w:r>
              <w:rPr>
                <w:rFonts w:ascii="Arial" w:cs="Arial" w:eastAsia="Arial" w:hAnsi="Arial"/>
                <w:sz w:val="11"/>
                <w:szCs w:val="11"/>
                <w:b w:val="1"/>
                <w:bCs w:val="1"/>
                <w:color w:val="002856"/>
              </w:rPr>
              <w:t>(in thousands,</w:t>
            </w:r>
          </w:p>
        </w:tc>
        <w:tc>
          <w:tcPr>
            <w:tcW w:w="114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0"/>
              </w:rPr>
              <w:t>Net</w:t>
            </w:r>
          </w:p>
        </w:tc>
        <w:tc>
          <w:tcPr>
            <w:tcW w:w="660" w:type="dxa"/>
            <w:vAlign w:val="bottom"/>
          </w:tcPr>
          <w:p>
            <w:pPr>
              <w:jc w:val="center"/>
              <w:ind w:right="123"/>
              <w:spacing w:after="0" w:line="121" w:lineRule="exact"/>
              <w:rPr>
                <w:sz w:val="20"/>
                <w:szCs w:val="20"/>
                <w:color w:val="auto"/>
              </w:rPr>
            </w:pPr>
            <w:r>
              <w:rPr>
                <w:rFonts w:ascii="Arial" w:cs="Arial" w:eastAsia="Arial" w:hAnsi="Arial"/>
                <w:sz w:val="11"/>
                <w:szCs w:val="11"/>
                <w:b w:val="1"/>
                <w:bCs w:val="1"/>
                <w:color w:val="002856"/>
                <w:w w:val="93"/>
              </w:rPr>
              <w:t>Growth</w:t>
            </w:r>
          </w:p>
        </w:tc>
        <w:tc>
          <w:tcPr>
            <w:tcW w:w="820" w:type="dxa"/>
            <w:vAlign w:val="bottom"/>
            <w:gridSpan w:val="3"/>
          </w:tcPr>
          <w:p>
            <w:pPr>
              <w:jc w:val="right"/>
              <w:ind w:right="160"/>
              <w:spacing w:after="0" w:line="121" w:lineRule="exact"/>
              <w:rPr>
                <w:sz w:val="20"/>
                <w:szCs w:val="20"/>
                <w:color w:val="auto"/>
              </w:rPr>
            </w:pPr>
            <w:r>
              <w:rPr>
                <w:rFonts w:ascii="Arial" w:cs="Arial" w:eastAsia="Arial" w:hAnsi="Arial"/>
                <w:sz w:val="11"/>
                <w:szCs w:val="11"/>
                <w:b w:val="1"/>
                <w:bCs w:val="1"/>
                <w:color w:val="002856"/>
                <w:w w:val="99"/>
              </w:rPr>
              <w:t>Contingents</w:t>
            </w:r>
          </w:p>
        </w:tc>
        <w:tc>
          <w:tcPr>
            <w:tcW w:w="1180" w:type="dxa"/>
            <w:vAlign w:val="bottom"/>
            <w:gridSpan w:val="3"/>
          </w:tcPr>
          <w:p>
            <w:pPr>
              <w:jc w:val="center"/>
              <w:ind w:right="10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0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Revenues</w:t>
            </w:r>
          </w:p>
        </w:tc>
        <w:tc>
          <w:tcPr>
            <w:tcW w:w="62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002856"/>
                <w:w w:val="93"/>
              </w:rPr>
              <w:t>Business</w:t>
            </w:r>
          </w:p>
        </w:tc>
        <w:tc>
          <w:tcPr>
            <w:tcW w:w="7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4"/>
              </w:rPr>
              <w:t>Translation</w:t>
            </w:r>
          </w:p>
        </w:tc>
        <w:tc>
          <w:tcPr>
            <w:tcW w:w="1120" w:type="dxa"/>
            <w:vAlign w:val="bottom"/>
            <w:gridSpan w:val="3"/>
          </w:tcPr>
          <w:p>
            <w:pPr>
              <w:jc w:val="right"/>
              <w:ind w:right="32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Revenue</w:t>
            </w:r>
          </w:p>
        </w:tc>
        <w:tc>
          <w:tcPr>
            <w:tcW w:w="660" w:type="dxa"/>
            <w:vAlign w:val="bottom"/>
          </w:tcPr>
          <w:p>
            <w:pPr>
              <w:jc w:val="center"/>
              <w:ind w:right="24"/>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2140" w:type="dxa"/>
            <w:vAlign w:val="bottom"/>
            <w:tcBorders>
              <w:bottom w:val="single" w:sz="8" w:color="C6093B"/>
            </w:tcBorders>
          </w:tcPr>
          <w:p>
            <w:pPr>
              <w:ind w:left="80"/>
              <w:spacing w:after="0" w:line="121" w:lineRule="exact"/>
              <w:rPr>
                <w:sz w:val="20"/>
                <w:szCs w:val="20"/>
                <w:color w:val="auto"/>
              </w:rPr>
            </w:pPr>
            <w:r>
              <w:rPr>
                <w:rFonts w:ascii="Arial" w:cs="Arial" w:eastAsia="Arial" w:hAnsi="Arial"/>
                <w:sz w:val="11"/>
                <w:szCs w:val="11"/>
                <w:b w:val="1"/>
                <w:bCs w:val="1"/>
                <w:color w:val="002856"/>
              </w:rPr>
              <w:t>except percentages)</w:t>
            </w:r>
          </w:p>
        </w:tc>
        <w:tc>
          <w:tcPr>
            <w:tcW w:w="560" w:type="dxa"/>
            <w:vAlign w:val="bottom"/>
            <w:tcBorders>
              <w:top w:val="single" w:sz="8" w:color="C6093B"/>
              <w:bottom w:val="single" w:sz="8" w:color="C6093B"/>
            </w:tcBorders>
          </w:tcPr>
          <w:p>
            <w:pPr>
              <w:jc w:val="right"/>
              <w:ind w:right="143"/>
              <w:spacing w:after="0" w:line="121" w:lineRule="exact"/>
              <w:rPr>
                <w:sz w:val="20"/>
                <w:szCs w:val="20"/>
                <w:color w:val="auto"/>
              </w:rPr>
            </w:pPr>
            <w:r>
              <w:rPr>
                <w:rFonts w:ascii="Arial" w:cs="Arial" w:eastAsia="Arial" w:hAnsi="Arial"/>
                <w:sz w:val="11"/>
                <w:szCs w:val="11"/>
                <w:b w:val="1"/>
                <w:bCs w:val="1"/>
                <w:color w:val="002856"/>
              </w:rPr>
              <w:t>2023</w:t>
            </w:r>
          </w:p>
        </w:tc>
        <w:tc>
          <w:tcPr>
            <w:tcW w:w="500" w:type="dxa"/>
            <w:vAlign w:val="bottom"/>
            <w:tcBorders>
              <w:top w:val="single" w:sz="8" w:color="C6093B"/>
              <w:bottom w:val="single" w:sz="8" w:color="C6093B"/>
            </w:tcBorders>
          </w:tcPr>
          <w:p>
            <w:pPr>
              <w:jc w:val="right"/>
              <w:ind w:right="60"/>
              <w:spacing w:after="0" w:line="121" w:lineRule="exact"/>
              <w:rPr>
                <w:sz w:val="20"/>
                <w:szCs w:val="20"/>
                <w:color w:val="auto"/>
              </w:rPr>
            </w:pPr>
            <w:r>
              <w:rPr>
                <w:rFonts w:ascii="Arial" w:cs="Arial" w:eastAsia="Arial" w:hAnsi="Arial"/>
                <w:sz w:val="11"/>
                <w:szCs w:val="11"/>
                <w:b w:val="1"/>
                <w:bCs w:val="1"/>
                <w:color w:val="002856"/>
              </w:rPr>
              <w:t>2022</w:t>
            </w:r>
          </w:p>
        </w:tc>
        <w:tc>
          <w:tcPr>
            <w:tcW w:w="80" w:type="dxa"/>
            <w:vAlign w:val="bottom"/>
            <w:tcBorders>
              <w:bottom w:val="single" w:sz="8" w:color="C6093B"/>
            </w:tcBorders>
          </w:tcPr>
          <w:p>
            <w:pPr>
              <w:spacing w:after="0"/>
              <w:rPr>
                <w:sz w:val="11"/>
                <w:szCs w:val="11"/>
                <w:color w:val="auto"/>
              </w:rPr>
            </w:pPr>
          </w:p>
        </w:tc>
        <w:tc>
          <w:tcPr>
            <w:tcW w:w="58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9"/>
              </w:rPr>
              <w:t>Change</w:t>
            </w:r>
          </w:p>
        </w:tc>
        <w:tc>
          <w:tcPr>
            <w:tcW w:w="660" w:type="dxa"/>
            <w:vAlign w:val="bottom"/>
            <w:tcBorders>
              <w:bottom w:val="single" w:sz="8" w:color="C6093B"/>
            </w:tcBorders>
          </w:tcPr>
          <w:p>
            <w:pPr>
              <w:jc w:val="center"/>
              <w:ind w:right="123"/>
              <w:spacing w:after="0" w:line="121" w:lineRule="exact"/>
              <w:rPr>
                <w:sz w:val="20"/>
                <w:szCs w:val="20"/>
                <w:color w:val="auto"/>
              </w:rPr>
            </w:pPr>
            <w:r>
              <w:rPr>
                <w:rFonts w:ascii="Arial" w:cs="Arial" w:eastAsia="Arial" w:hAnsi="Arial"/>
                <w:sz w:val="11"/>
                <w:szCs w:val="11"/>
                <w:b w:val="1"/>
                <w:bCs w:val="1"/>
                <w:color w:val="002856"/>
                <w:w w:val="81"/>
              </w:rPr>
              <w:t>%</w:t>
            </w:r>
          </w:p>
        </w:tc>
        <w:tc>
          <w:tcPr>
            <w:tcW w:w="360" w:type="dxa"/>
            <w:vAlign w:val="bottom"/>
            <w:tcBorders>
              <w:top w:val="single" w:sz="8" w:color="C6093B"/>
              <w:bottom w:val="single" w:sz="8" w:color="C6093B"/>
            </w:tcBorders>
          </w:tcPr>
          <w:p>
            <w:pPr>
              <w:jc w:val="right"/>
              <w:ind w:right="41"/>
              <w:spacing w:after="0" w:line="121" w:lineRule="exact"/>
              <w:rPr>
                <w:sz w:val="20"/>
                <w:szCs w:val="20"/>
                <w:color w:val="auto"/>
              </w:rPr>
            </w:pPr>
            <w:r>
              <w:rPr>
                <w:rFonts w:ascii="Arial" w:cs="Arial" w:eastAsia="Arial" w:hAnsi="Arial"/>
                <w:sz w:val="11"/>
                <w:szCs w:val="11"/>
                <w:b w:val="1"/>
                <w:bCs w:val="1"/>
                <w:color w:val="002856"/>
                <w:w w:val="97"/>
              </w:rPr>
              <w:t>2023</w:t>
            </w:r>
          </w:p>
        </w:tc>
        <w:tc>
          <w:tcPr>
            <w:tcW w:w="34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2022</w:t>
            </w:r>
          </w:p>
        </w:tc>
        <w:tc>
          <w:tcPr>
            <w:tcW w:w="12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4"/>
              <w:spacing w:after="0" w:line="121" w:lineRule="exact"/>
              <w:rPr>
                <w:sz w:val="20"/>
                <w:szCs w:val="20"/>
                <w:color w:val="auto"/>
              </w:rPr>
            </w:pPr>
            <w:r>
              <w:rPr>
                <w:rFonts w:ascii="Arial" w:cs="Arial" w:eastAsia="Arial" w:hAnsi="Arial"/>
                <w:sz w:val="11"/>
                <w:szCs w:val="11"/>
                <w:b w:val="1"/>
                <w:bCs w:val="1"/>
                <w:color w:val="002856"/>
              </w:rPr>
              <w:t>2023</w:t>
            </w:r>
          </w:p>
        </w:tc>
        <w:tc>
          <w:tcPr>
            <w:tcW w:w="500" w:type="dxa"/>
            <w:vAlign w:val="bottom"/>
            <w:tcBorders>
              <w:top w:val="single" w:sz="8" w:color="C6093B"/>
              <w:bottom w:val="single" w:sz="8" w:color="C6093B"/>
            </w:tcBorders>
          </w:tcPr>
          <w:p>
            <w:pPr>
              <w:jc w:val="right"/>
              <w:ind w:right="60"/>
              <w:spacing w:after="0" w:line="121" w:lineRule="exact"/>
              <w:rPr>
                <w:sz w:val="20"/>
                <w:szCs w:val="20"/>
                <w:color w:val="auto"/>
              </w:rPr>
            </w:pPr>
            <w:r>
              <w:rPr>
                <w:rFonts w:ascii="Arial" w:cs="Arial" w:eastAsia="Arial" w:hAnsi="Arial"/>
                <w:sz w:val="11"/>
                <w:szCs w:val="11"/>
                <w:b w:val="1"/>
                <w:bCs w:val="1"/>
                <w:color w:val="002856"/>
              </w:rPr>
              <w:t>2022</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2023</w:t>
            </w:r>
          </w:p>
        </w:tc>
        <w:tc>
          <w:tcPr>
            <w:tcW w:w="120" w:type="dxa"/>
            <w:vAlign w:val="bottom"/>
            <w:tcBorders>
              <w:bottom w:val="single" w:sz="8" w:color="C6093B"/>
            </w:tcBorders>
          </w:tcPr>
          <w:p>
            <w:pPr>
              <w:spacing w:after="0"/>
              <w:rPr>
                <w:sz w:val="11"/>
                <w:szCs w:val="11"/>
                <w:color w:val="auto"/>
              </w:rPr>
            </w:pPr>
          </w:p>
        </w:tc>
        <w:tc>
          <w:tcPr>
            <w:tcW w:w="50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89"/>
              </w:rPr>
              <w:t>2022</w:t>
            </w:r>
          </w:p>
        </w:tc>
        <w:tc>
          <w:tcPr>
            <w:tcW w:w="12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2022</w:t>
            </w:r>
          </w:p>
        </w:tc>
        <w:tc>
          <w:tcPr>
            <w:tcW w:w="16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4"/>
              <w:spacing w:after="0" w:line="121" w:lineRule="exact"/>
              <w:rPr>
                <w:sz w:val="20"/>
                <w:szCs w:val="20"/>
                <w:color w:val="auto"/>
              </w:rPr>
            </w:pPr>
            <w:r>
              <w:rPr>
                <w:rFonts w:ascii="Arial" w:cs="Arial" w:eastAsia="Arial" w:hAnsi="Arial"/>
                <w:sz w:val="11"/>
                <w:szCs w:val="11"/>
                <w:b w:val="1"/>
                <w:bCs w:val="1"/>
                <w:color w:val="002856"/>
              </w:rPr>
              <w:t>2023</w:t>
            </w:r>
          </w:p>
        </w:tc>
        <w:tc>
          <w:tcPr>
            <w:tcW w:w="500" w:type="dxa"/>
            <w:vAlign w:val="bottom"/>
            <w:tcBorders>
              <w:top w:val="single" w:sz="8" w:color="C6093B"/>
              <w:bottom w:val="single" w:sz="8" w:color="C6093B"/>
            </w:tcBorders>
          </w:tcPr>
          <w:p>
            <w:pPr>
              <w:jc w:val="right"/>
              <w:ind w:right="60"/>
              <w:spacing w:after="0" w:line="121" w:lineRule="exact"/>
              <w:rPr>
                <w:sz w:val="20"/>
                <w:szCs w:val="20"/>
                <w:color w:val="auto"/>
              </w:rPr>
            </w:pPr>
            <w:r>
              <w:rPr>
                <w:rFonts w:ascii="Arial" w:cs="Arial" w:eastAsia="Arial" w:hAnsi="Arial"/>
                <w:sz w:val="11"/>
                <w:szCs w:val="11"/>
                <w:b w:val="1"/>
                <w:bCs w:val="1"/>
                <w:color w:val="002856"/>
              </w:rPr>
              <w:t>2022</w:t>
            </w:r>
          </w:p>
        </w:tc>
        <w:tc>
          <w:tcPr>
            <w:tcW w:w="60" w:type="dxa"/>
            <w:vAlign w:val="bottom"/>
            <w:tcBorders>
              <w:bottom w:val="single" w:sz="8" w:color="C6093B"/>
            </w:tcBorders>
          </w:tcPr>
          <w:p>
            <w:pPr>
              <w:spacing w:after="0"/>
              <w:rPr>
                <w:sz w:val="11"/>
                <w:szCs w:val="11"/>
                <w:color w:val="auto"/>
              </w:rPr>
            </w:pPr>
          </w:p>
        </w:tc>
        <w:tc>
          <w:tcPr>
            <w:tcW w:w="58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8"/>
              </w:rPr>
              <w:t>Growth</w:t>
            </w:r>
          </w:p>
        </w:tc>
        <w:tc>
          <w:tcPr>
            <w:tcW w:w="660" w:type="dxa"/>
            <w:vAlign w:val="bottom"/>
            <w:tcBorders>
              <w:bottom w:val="single" w:sz="8" w:color="C6093B"/>
            </w:tcBorders>
          </w:tcPr>
          <w:p>
            <w:pPr>
              <w:jc w:val="center"/>
              <w:ind w:right="24"/>
              <w:spacing w:after="0" w:line="121" w:lineRule="exact"/>
              <w:rPr>
                <w:sz w:val="20"/>
                <w:szCs w:val="20"/>
                <w:color w:val="auto"/>
              </w:rPr>
            </w:pPr>
            <w:r>
              <w:rPr>
                <w:rFonts w:ascii="Arial" w:cs="Arial" w:eastAsia="Arial" w:hAnsi="Arial"/>
                <w:sz w:val="11"/>
                <w:szCs w:val="11"/>
                <w:b w:val="1"/>
                <w:bCs w:val="1"/>
                <w:color w:val="002856"/>
              </w:rPr>
              <w:t>%</w:t>
            </w:r>
          </w:p>
        </w:tc>
      </w:tr>
      <w:tr>
        <w:trPr>
          <w:trHeight w:val="254"/>
        </w:trPr>
        <w:tc>
          <w:tcPr>
            <w:tcW w:w="2140" w:type="dxa"/>
            <w:vAlign w:val="bottom"/>
            <w:tcBorders>
              <w:bottom w:val="single" w:sz="8" w:color="4C4C4C"/>
            </w:tcBorders>
          </w:tcPr>
          <w:p>
            <w:pPr>
              <w:ind w:left="80"/>
              <w:spacing w:after="0"/>
              <w:rPr>
                <w:sz w:val="20"/>
                <w:szCs w:val="20"/>
                <w:color w:val="auto"/>
              </w:rPr>
            </w:pPr>
            <w:r>
              <w:rPr>
                <w:rFonts w:ascii="Arial" w:cs="Arial" w:eastAsia="Arial" w:hAnsi="Arial"/>
                <w:sz w:val="12"/>
                <w:szCs w:val="12"/>
                <w:color w:val="auto"/>
              </w:rPr>
              <w:t>Retail</w:t>
            </w:r>
            <w:r>
              <w:rPr>
                <w:rFonts w:ascii="Arial" w:cs="Arial" w:eastAsia="Arial" w:hAnsi="Arial"/>
                <w:sz w:val="18"/>
                <w:szCs w:val="18"/>
                <w:color w:val="auto"/>
                <w:vertAlign w:val="superscript"/>
              </w:rPr>
              <w:t>(1)</w:t>
            </w:r>
          </w:p>
        </w:tc>
        <w:tc>
          <w:tcPr>
            <w:tcW w:w="560" w:type="dxa"/>
            <w:vAlign w:val="bottom"/>
            <w:tcBorders>
              <w:bottom w:val="single" w:sz="8" w:color="4C4C4C"/>
            </w:tcBorders>
          </w:tcPr>
          <w:p>
            <w:pPr>
              <w:jc w:val="right"/>
              <w:ind w:right="23"/>
              <w:spacing w:after="0"/>
              <w:rPr>
                <w:sz w:val="20"/>
                <w:szCs w:val="20"/>
                <w:color w:val="auto"/>
              </w:rPr>
            </w:pPr>
            <w:r>
              <w:rPr>
                <w:rFonts w:ascii="Arial" w:cs="Arial" w:eastAsia="Arial" w:hAnsi="Arial"/>
                <w:sz w:val="12"/>
                <w:szCs w:val="12"/>
                <w:color w:val="auto"/>
              </w:rPr>
              <w:t>2,434.7</w:t>
            </w:r>
          </w:p>
        </w:tc>
        <w:tc>
          <w:tcPr>
            <w:tcW w:w="580" w:type="dxa"/>
            <w:vAlign w:val="bottom"/>
            <w:tcBorders>
              <w:bottom w:val="single" w:sz="8" w:color="4C4C4C"/>
            </w:tcBorders>
            <w:gridSpan w:val="2"/>
          </w:tcPr>
          <w:p>
            <w:pPr>
              <w:jc w:val="right"/>
              <w:ind w:right="80"/>
              <w:spacing w:after="0"/>
              <w:rPr>
                <w:sz w:val="20"/>
                <w:szCs w:val="20"/>
                <w:color w:val="auto"/>
              </w:rPr>
            </w:pPr>
            <w:r>
              <w:rPr>
                <w:rFonts w:ascii="Arial" w:cs="Arial" w:eastAsia="Arial" w:hAnsi="Arial"/>
                <w:sz w:val="12"/>
                <w:szCs w:val="12"/>
                <w:color w:val="auto"/>
              </w:rPr>
              <w:t>2,081.6</w:t>
            </w:r>
          </w:p>
        </w:tc>
        <w:tc>
          <w:tcPr>
            <w:tcW w:w="580" w:type="dxa"/>
            <w:vAlign w:val="bottom"/>
            <w:tcBorders>
              <w:bottom w:val="single" w:sz="8" w:color="4C4C4C"/>
            </w:tcBorders>
          </w:tcPr>
          <w:p>
            <w:pPr>
              <w:jc w:val="right"/>
              <w:ind w:right="2"/>
              <w:spacing w:after="0"/>
              <w:rPr>
                <w:sz w:val="20"/>
                <w:szCs w:val="20"/>
                <w:color w:val="auto"/>
              </w:rPr>
            </w:pPr>
            <w:r>
              <w:rPr>
                <w:rFonts w:ascii="Arial" w:cs="Arial" w:eastAsia="Arial" w:hAnsi="Arial"/>
                <w:sz w:val="12"/>
                <w:szCs w:val="12"/>
                <w:color w:val="auto"/>
              </w:rPr>
              <w:t>353.2</w:t>
            </w:r>
          </w:p>
        </w:tc>
        <w:tc>
          <w:tcPr>
            <w:tcW w:w="660" w:type="dxa"/>
            <w:vAlign w:val="bottom"/>
            <w:tcBorders>
              <w:bottom w:val="single" w:sz="8" w:color="4C4C4C"/>
            </w:tcBorders>
          </w:tcPr>
          <w:p>
            <w:pPr>
              <w:jc w:val="right"/>
              <w:ind w:right="63"/>
              <w:spacing w:after="0"/>
              <w:rPr>
                <w:sz w:val="20"/>
                <w:szCs w:val="20"/>
                <w:color w:val="auto"/>
              </w:rPr>
            </w:pPr>
            <w:r>
              <w:rPr>
                <w:rFonts w:ascii="Arial" w:cs="Arial" w:eastAsia="Arial" w:hAnsi="Arial"/>
                <w:sz w:val="12"/>
                <w:szCs w:val="12"/>
                <w:color w:val="auto"/>
              </w:rPr>
              <w:t>17.0%</w:t>
            </w:r>
          </w:p>
        </w:tc>
        <w:tc>
          <w:tcPr>
            <w:tcW w:w="360" w:type="dxa"/>
            <w:vAlign w:val="bottom"/>
            <w:tcBorders>
              <w:bottom w:val="single" w:sz="8" w:color="4C4C4C"/>
            </w:tcBorders>
          </w:tcPr>
          <w:p>
            <w:pPr>
              <w:jc w:val="right"/>
              <w:ind w:right="21"/>
              <w:spacing w:after="0"/>
              <w:rPr>
                <w:sz w:val="20"/>
                <w:szCs w:val="20"/>
                <w:color w:val="auto"/>
              </w:rPr>
            </w:pPr>
            <w:r>
              <w:rPr>
                <w:rFonts w:ascii="Arial" w:cs="Arial" w:eastAsia="Arial" w:hAnsi="Arial"/>
                <w:sz w:val="12"/>
                <w:szCs w:val="12"/>
                <w:color w:val="auto"/>
              </w:rPr>
              <w:t>49.9</w:t>
            </w:r>
          </w:p>
        </w:tc>
        <w:tc>
          <w:tcPr>
            <w:tcW w:w="46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48.8</w:t>
            </w:r>
          </w:p>
        </w:tc>
        <w:tc>
          <w:tcPr>
            <w:tcW w:w="560" w:type="dxa"/>
            <w:vAlign w:val="bottom"/>
            <w:tcBorders>
              <w:bottom w:val="single" w:sz="8" w:color="4C4C4C"/>
            </w:tcBorders>
          </w:tcPr>
          <w:p>
            <w:pPr>
              <w:jc w:val="right"/>
              <w:ind w:right="24"/>
              <w:spacing w:after="0"/>
              <w:rPr>
                <w:sz w:val="20"/>
                <w:szCs w:val="20"/>
                <w:color w:val="auto"/>
              </w:rPr>
            </w:pPr>
            <w:r>
              <w:rPr>
                <w:rFonts w:ascii="Arial" w:cs="Arial" w:eastAsia="Arial" w:hAnsi="Arial"/>
                <w:sz w:val="12"/>
                <w:szCs w:val="12"/>
                <w:color w:val="auto"/>
              </w:rPr>
              <w:t>2,384.8</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2,032.7</w:t>
            </w:r>
          </w:p>
        </w:tc>
        <w:tc>
          <w:tcPr>
            <w:tcW w:w="70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203.5</w:t>
            </w:r>
          </w:p>
        </w:tc>
        <w:tc>
          <w:tcPr>
            <w:tcW w:w="6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20.2</w:t>
            </w:r>
          </w:p>
        </w:tc>
        <w:tc>
          <w:tcPr>
            <w:tcW w:w="720" w:type="dxa"/>
            <w:vAlign w:val="bottom"/>
            <w:tcBorders>
              <w:bottom w:val="single" w:sz="8" w:color="4C4C4C"/>
            </w:tcBorders>
            <w:gridSpan w:val="2"/>
          </w:tcPr>
          <w:p>
            <w:pPr>
              <w:jc w:val="right"/>
              <w:ind w:right="120"/>
              <w:spacing w:after="0"/>
              <w:rPr>
                <w:sz w:val="20"/>
                <w:szCs w:val="20"/>
                <w:color w:val="auto"/>
              </w:rPr>
            </w:pPr>
            <w:r>
              <w:rPr>
                <w:rFonts w:ascii="Arial" w:cs="Arial" w:eastAsia="Arial" w:hAnsi="Arial"/>
                <w:sz w:val="12"/>
                <w:szCs w:val="12"/>
                <w:color w:val="auto"/>
              </w:rPr>
              <w:t>(8.8)</w:t>
            </w:r>
          </w:p>
        </w:tc>
        <w:tc>
          <w:tcPr>
            <w:tcW w:w="560" w:type="dxa"/>
            <w:vAlign w:val="bottom"/>
            <w:tcBorders>
              <w:bottom w:val="single" w:sz="8" w:color="4C4C4C"/>
            </w:tcBorders>
          </w:tcPr>
          <w:p>
            <w:pPr>
              <w:jc w:val="right"/>
              <w:ind w:right="24"/>
              <w:spacing w:after="0"/>
              <w:rPr>
                <w:sz w:val="20"/>
                <w:szCs w:val="20"/>
                <w:color w:val="auto"/>
              </w:rPr>
            </w:pPr>
            <w:r>
              <w:rPr>
                <w:rFonts w:ascii="Arial" w:cs="Arial" w:eastAsia="Arial" w:hAnsi="Arial"/>
                <w:sz w:val="12"/>
                <w:szCs w:val="12"/>
                <w:color w:val="auto"/>
              </w:rPr>
              <w:t>2,181.3</w:t>
            </w:r>
          </w:p>
        </w:tc>
        <w:tc>
          <w:tcPr>
            <w:tcW w:w="56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2"/>
                <w:szCs w:val="12"/>
                <w:color w:val="auto"/>
              </w:rPr>
              <w:t>2,021.3</w:t>
            </w:r>
          </w:p>
        </w:tc>
        <w:tc>
          <w:tcPr>
            <w:tcW w:w="580" w:type="dxa"/>
            <w:vAlign w:val="bottom"/>
            <w:tcBorders>
              <w:bottom w:val="single" w:sz="8" w:color="4C4C4C"/>
            </w:tcBorders>
          </w:tcPr>
          <w:p>
            <w:pPr>
              <w:jc w:val="right"/>
              <w:ind w:right="2"/>
              <w:spacing w:after="0"/>
              <w:rPr>
                <w:sz w:val="20"/>
                <w:szCs w:val="20"/>
                <w:color w:val="auto"/>
              </w:rPr>
            </w:pPr>
            <w:r>
              <w:rPr>
                <w:rFonts w:ascii="Arial" w:cs="Arial" w:eastAsia="Arial" w:hAnsi="Arial"/>
                <w:sz w:val="12"/>
                <w:szCs w:val="12"/>
                <w:color w:val="auto"/>
              </w:rPr>
              <w:t>160.0</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2"/>
                <w:szCs w:val="12"/>
                <w:color w:val="auto"/>
              </w:rPr>
              <w:t>7.9%</w:t>
            </w:r>
          </w:p>
        </w:tc>
      </w:tr>
      <w:tr>
        <w:trPr>
          <w:trHeight w:val="163"/>
        </w:trPr>
        <w:tc>
          <w:tcPr>
            <w:tcW w:w="2140" w:type="dxa"/>
            <w:vAlign w:val="bottom"/>
          </w:tcPr>
          <w:p>
            <w:pPr>
              <w:ind w:left="80"/>
              <w:spacing w:after="0"/>
              <w:rPr>
                <w:sz w:val="20"/>
                <w:szCs w:val="20"/>
                <w:color w:val="auto"/>
              </w:rPr>
            </w:pPr>
            <w:r>
              <w:rPr>
                <w:rFonts w:ascii="Arial" w:cs="Arial" w:eastAsia="Arial" w:hAnsi="Arial"/>
                <w:sz w:val="12"/>
                <w:szCs w:val="12"/>
                <w:color w:val="auto"/>
              </w:rPr>
              <w:t>2023 Retail Office-Based</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5"/>
        </w:trPr>
        <w:tc>
          <w:tcPr>
            <w:tcW w:w="2140" w:type="dxa"/>
            <w:vAlign w:val="bottom"/>
          </w:tcPr>
          <w:p>
            <w:pPr>
              <w:ind w:left="80"/>
              <w:spacing w:after="0"/>
              <w:rPr>
                <w:sz w:val="20"/>
                <w:szCs w:val="20"/>
                <w:color w:val="auto"/>
              </w:rPr>
            </w:pPr>
            <w:r>
              <w:rPr>
                <w:rFonts w:ascii="Arial" w:cs="Arial" w:eastAsia="Arial" w:hAnsi="Arial"/>
                <w:sz w:val="12"/>
                <w:szCs w:val="12"/>
                <w:color w:val="auto"/>
              </w:rPr>
              <w:t>Adjustments</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82.7</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25.3</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25.3</w:t>
            </w:r>
          </w:p>
        </w:tc>
        <w:tc>
          <w:tcPr>
            <w:tcW w:w="660" w:type="dxa"/>
            <w:vAlign w:val="bottom"/>
          </w:tcPr>
          <w:p>
            <w:pPr>
              <w:jc w:val="right"/>
              <w:ind w:right="63"/>
              <w:spacing w:after="0"/>
              <w:rPr>
                <w:sz w:val="20"/>
                <w:szCs w:val="20"/>
                <w:color w:val="auto"/>
              </w:rPr>
            </w:pPr>
            <w:r>
              <w:rPr>
                <w:rFonts w:ascii="Arial" w:cs="Arial" w:eastAsia="Arial" w:hAnsi="Arial"/>
                <w:sz w:val="12"/>
                <w:szCs w:val="12"/>
                <w:color w:val="auto"/>
              </w:rPr>
              <w:t>226.9%</w:t>
            </w: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5.0</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1.1</w:t>
            </w:r>
          </w:p>
        </w:tc>
        <w:tc>
          <w:tcPr>
            <w:tcW w:w="560" w:type="dxa"/>
            <w:vAlign w:val="bottom"/>
          </w:tcPr>
          <w:p>
            <w:pPr>
              <w:jc w:val="right"/>
              <w:ind w:right="24"/>
              <w:spacing w:after="0"/>
              <w:rPr>
                <w:sz w:val="20"/>
                <w:szCs w:val="20"/>
                <w:color w:val="auto"/>
              </w:rPr>
            </w:pPr>
            <w:r>
              <w:rPr>
                <w:rFonts w:ascii="Arial" w:cs="Arial" w:eastAsia="Arial" w:hAnsi="Arial"/>
                <w:sz w:val="12"/>
                <w:szCs w:val="12"/>
                <w:color w:val="auto"/>
              </w:rPr>
              <w:t>77.7</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24.2</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48.7</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(1.6)</w:t>
            </w:r>
          </w:p>
        </w:tc>
        <w:tc>
          <w:tcPr>
            <w:tcW w:w="560" w:type="dxa"/>
            <w:vAlign w:val="bottom"/>
          </w:tcPr>
          <w:p>
            <w:pPr>
              <w:jc w:val="right"/>
              <w:ind w:right="24"/>
              <w:spacing w:after="0"/>
              <w:rPr>
                <w:sz w:val="20"/>
                <w:szCs w:val="20"/>
                <w:color w:val="auto"/>
              </w:rPr>
            </w:pPr>
            <w:r>
              <w:rPr>
                <w:rFonts w:ascii="Arial" w:cs="Arial" w:eastAsia="Arial" w:hAnsi="Arial"/>
                <w:sz w:val="12"/>
                <w:szCs w:val="12"/>
                <w:color w:val="auto"/>
              </w:rPr>
              <w:t>29.0</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22.6</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6.4</w:t>
            </w:r>
          </w:p>
        </w:tc>
        <w:tc>
          <w:tcPr>
            <w:tcW w:w="660" w:type="dxa"/>
            <w:vAlign w:val="bottom"/>
          </w:tcPr>
          <w:p>
            <w:pPr>
              <w:spacing w:after="0"/>
              <w:rPr>
                <w:sz w:val="14"/>
                <w:szCs w:val="14"/>
                <w:color w:val="auto"/>
              </w:rPr>
            </w:pPr>
          </w:p>
        </w:tc>
      </w:tr>
      <w:tr>
        <w:trPr>
          <w:trHeight w:val="54"/>
        </w:trPr>
        <w:tc>
          <w:tcPr>
            <w:tcW w:w="214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8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c>
          <w:tcPr>
            <w:tcW w:w="36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2140" w:type="dxa"/>
            <w:vAlign w:val="bottom"/>
          </w:tcPr>
          <w:p>
            <w:pPr>
              <w:ind w:left="80"/>
              <w:spacing w:after="0"/>
              <w:rPr>
                <w:sz w:val="20"/>
                <w:szCs w:val="20"/>
                <w:color w:val="auto"/>
              </w:rPr>
            </w:pPr>
            <w:r>
              <w:rPr>
                <w:rFonts w:ascii="Arial" w:cs="Arial" w:eastAsia="Arial" w:hAnsi="Arial"/>
                <w:sz w:val="12"/>
                <w:szCs w:val="12"/>
                <w:color w:val="auto"/>
              </w:rPr>
              <w:t>Retail – Adjusted</w:t>
            </w:r>
          </w:p>
        </w:tc>
        <w:tc>
          <w:tcPr>
            <w:tcW w:w="560" w:type="dxa"/>
            <w:vAlign w:val="bottom"/>
          </w:tcPr>
          <w:p>
            <w:pPr>
              <w:jc w:val="right"/>
              <w:ind w:right="23"/>
              <w:spacing w:after="0"/>
              <w:rPr>
                <w:sz w:val="20"/>
                <w:szCs w:val="20"/>
                <w:color w:val="auto"/>
              </w:rPr>
            </w:pPr>
            <w:r>
              <w:rPr>
                <w:rFonts w:ascii="Arial" w:cs="Arial" w:eastAsia="Arial" w:hAnsi="Arial"/>
                <w:sz w:val="12"/>
                <w:szCs w:val="12"/>
                <w:color w:val="auto"/>
              </w:rPr>
              <w:t>2,517.4</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2,106.8</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2,106.8</w:t>
            </w:r>
          </w:p>
        </w:tc>
        <w:tc>
          <w:tcPr>
            <w:tcW w:w="660" w:type="dxa"/>
            <w:vAlign w:val="bottom"/>
          </w:tcPr>
          <w:p>
            <w:pPr>
              <w:jc w:val="right"/>
              <w:ind w:right="63"/>
              <w:spacing w:after="0"/>
              <w:rPr>
                <w:sz w:val="20"/>
                <w:szCs w:val="20"/>
                <w:color w:val="auto"/>
              </w:rPr>
            </w:pPr>
            <w:r>
              <w:rPr>
                <w:rFonts w:ascii="Arial" w:cs="Arial" w:eastAsia="Arial" w:hAnsi="Arial"/>
                <w:sz w:val="12"/>
                <w:szCs w:val="12"/>
                <w:color w:val="auto"/>
              </w:rPr>
              <w:t>19.5%</w:t>
            </w: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54.9</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49.9</w:t>
            </w:r>
          </w:p>
        </w:tc>
        <w:tc>
          <w:tcPr>
            <w:tcW w:w="560" w:type="dxa"/>
            <w:vAlign w:val="bottom"/>
          </w:tcPr>
          <w:p>
            <w:pPr>
              <w:jc w:val="right"/>
              <w:ind w:right="24"/>
              <w:spacing w:after="0"/>
              <w:rPr>
                <w:sz w:val="20"/>
                <w:szCs w:val="20"/>
                <w:color w:val="auto"/>
              </w:rPr>
            </w:pPr>
            <w:r>
              <w:rPr>
                <w:rFonts w:ascii="Arial" w:cs="Arial" w:eastAsia="Arial" w:hAnsi="Arial"/>
                <w:sz w:val="12"/>
                <w:szCs w:val="12"/>
                <w:color w:val="auto"/>
              </w:rPr>
              <w:t>2,462.5</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2,056.9</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252.2</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20.2</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(10.4)</w:t>
            </w:r>
          </w:p>
        </w:tc>
        <w:tc>
          <w:tcPr>
            <w:tcW w:w="560" w:type="dxa"/>
            <w:vAlign w:val="bottom"/>
          </w:tcPr>
          <w:p>
            <w:pPr>
              <w:jc w:val="right"/>
              <w:ind w:right="24"/>
              <w:spacing w:after="0"/>
              <w:rPr>
                <w:sz w:val="20"/>
                <w:szCs w:val="20"/>
                <w:color w:val="auto"/>
              </w:rPr>
            </w:pPr>
            <w:r>
              <w:rPr>
                <w:rFonts w:ascii="Arial" w:cs="Arial" w:eastAsia="Arial" w:hAnsi="Arial"/>
                <w:sz w:val="12"/>
                <w:szCs w:val="12"/>
                <w:color w:val="auto"/>
              </w:rPr>
              <w:t>2,210.3</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2,047.1</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163.2</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300" w:hanging="213"/>
        <w:spacing w:after="0" w:line="201" w:lineRule="auto"/>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The Retail segment includes commissions and fees reported in the “Other” column of the Segment Information table in Note 16 of the Notes to the Consolidated Financial Statements, which includes corporate and consolidation items.</w:t>
      </w:r>
    </w:p>
    <w:p>
      <w:pPr>
        <w:spacing w:after="0" w:line="49" w:lineRule="exact"/>
        <w:rPr>
          <w:rFonts w:ascii="Arial" w:cs="Arial" w:eastAsia="Arial" w:hAnsi="Arial"/>
          <w:sz w:val="19"/>
          <w:szCs w:val="19"/>
          <w:color w:val="auto"/>
          <w:vertAlign w:val="superscript"/>
        </w:rPr>
      </w:pPr>
    </w:p>
    <w:p>
      <w:pPr>
        <w:ind w:left="220" w:right="40" w:hanging="213"/>
        <w:spacing w:after="0" w:line="201" w:lineRule="auto"/>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pacing w:after="0" w:line="18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For 2023, National Programs segment Organic Revenue growth was adjusted to (i) include the impact of certain offices within the Services segment for which Mr. Walker had responsibility in 2023, and (ii) exclude the impact of certain offices in the National Programs segment for which Mr. Walker did not have responsibility in 2023 (collectively, the “2023 NP Office-Based Adjustments”). The growth rate for National Programs segment Organic Revenue – adjusted, which is a non-GAAP financial measure and which for 2023 excludes Foreign Currency Translation, for the year ended December 31, 2023,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tcPr>
          <w:p>
            <w:pPr>
              <w:spacing w:after="0"/>
              <w:rPr>
                <w:sz w:val="10"/>
                <w:szCs w:val="10"/>
                <w:color w:val="auto"/>
              </w:rPr>
            </w:pPr>
          </w:p>
        </w:tc>
        <w:tc>
          <w:tcPr>
            <w:tcW w:w="620" w:type="dxa"/>
            <w:vAlign w:val="bottom"/>
          </w:tcPr>
          <w:p>
            <w:pPr>
              <w:jc w:val="center"/>
              <w:ind w:left="263"/>
              <w:spacing w:after="0"/>
              <w:rPr>
                <w:sz w:val="20"/>
                <w:szCs w:val="20"/>
                <w:color w:val="auto"/>
              </w:rPr>
            </w:pPr>
            <w:r>
              <w:rPr>
                <w:rFonts w:ascii="Arial" w:cs="Arial" w:eastAsia="Arial" w:hAnsi="Arial"/>
                <w:sz w:val="11"/>
                <w:szCs w:val="11"/>
                <w:b w:val="1"/>
                <w:bCs w:val="1"/>
                <w:color w:val="002856"/>
                <w:w w:val="98"/>
              </w:rPr>
              <w:t>Total</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jc w:val="center"/>
              <w:ind w:right="143"/>
              <w:spacing w:after="0"/>
              <w:rPr>
                <w:sz w:val="20"/>
                <w:szCs w:val="20"/>
                <w:color w:val="auto"/>
              </w:rPr>
            </w:pPr>
            <w:r>
              <w:rPr>
                <w:rFonts w:ascii="Arial" w:cs="Arial" w:eastAsia="Arial" w:hAnsi="Arial"/>
                <w:sz w:val="11"/>
                <w:szCs w:val="11"/>
                <w:b w:val="1"/>
                <w:bCs w:val="1"/>
                <w:color w:val="002856"/>
                <w:w w:val="98"/>
              </w:rPr>
              <w:t>Total</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02856"/>
                <w:w w:val="95"/>
              </w:rPr>
              <w:t>Total Core</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002856"/>
                <w:w w:val="99"/>
              </w:rPr>
              <w:t>Foreign</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ind w:right="44"/>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2340" w:type="dxa"/>
            <w:vAlign w:val="bottom"/>
          </w:tcPr>
          <w:p>
            <w:pPr>
              <w:spacing w:after="0"/>
              <w:rPr>
                <w:sz w:val="10"/>
                <w:szCs w:val="10"/>
                <w:color w:val="auto"/>
              </w:rPr>
            </w:pPr>
          </w:p>
        </w:tc>
        <w:tc>
          <w:tcPr>
            <w:tcW w:w="100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1"/>
              </w:rPr>
              <w:t>Total</w:t>
            </w:r>
          </w:p>
        </w:tc>
        <w:tc>
          <w:tcPr>
            <w:tcW w:w="700" w:type="dxa"/>
            <w:vAlign w:val="bottom"/>
          </w:tcPr>
          <w:p>
            <w:pPr>
              <w:jc w:val="center"/>
              <w:ind w:right="143"/>
              <w:spacing w:after="0" w:line="121" w:lineRule="exact"/>
              <w:rPr>
                <w:sz w:val="20"/>
                <w:szCs w:val="20"/>
                <w:color w:val="auto"/>
              </w:rPr>
            </w:pPr>
            <w:r>
              <w:rPr>
                <w:rFonts w:ascii="Arial" w:cs="Arial" w:eastAsia="Arial" w:hAnsi="Arial"/>
                <w:sz w:val="11"/>
                <w:szCs w:val="11"/>
                <w:b w:val="1"/>
                <w:bCs w:val="1"/>
                <w:color w:val="002856"/>
              </w:rPr>
              <w:t>Net</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002856"/>
                <w:w w:val="96"/>
              </w:rPr>
              <w:t>Commissions</w:t>
            </w:r>
          </w:p>
        </w:tc>
        <w:tc>
          <w:tcPr>
            <w:tcW w:w="7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002856"/>
                <w:w w:val="96"/>
              </w:rPr>
              <w:t>Acquisition</w:t>
            </w:r>
          </w:p>
        </w:tc>
        <w:tc>
          <w:tcPr>
            <w:tcW w:w="6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002856"/>
              </w:rPr>
              <w:t>Divested</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5"/>
              </w:rPr>
              <w:t>Currency</w:t>
            </w:r>
          </w:p>
        </w:tc>
        <w:tc>
          <w:tcPr>
            <w:tcW w:w="1000" w:type="dxa"/>
            <w:vAlign w:val="bottom"/>
            <w:gridSpan w:val="3"/>
          </w:tcPr>
          <w:p>
            <w:pPr>
              <w:jc w:val="right"/>
              <w:ind w:right="320"/>
              <w:spacing w:after="0" w:line="121" w:lineRule="exact"/>
              <w:rPr>
                <w:sz w:val="20"/>
                <w:szCs w:val="20"/>
                <w:color w:val="auto"/>
              </w:rPr>
            </w:pPr>
            <w:r>
              <w:rPr>
                <w:rFonts w:ascii="Arial" w:cs="Arial" w:eastAsia="Arial" w:hAnsi="Arial"/>
                <w:sz w:val="11"/>
                <w:szCs w:val="11"/>
                <w:b w:val="1"/>
                <w:bCs w:val="1"/>
                <w:color w:val="002856"/>
              </w:rPr>
              <w:t>Organic</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Organic</w:t>
            </w:r>
          </w:p>
        </w:tc>
        <w:tc>
          <w:tcPr>
            <w:tcW w:w="660" w:type="dxa"/>
            <w:vAlign w:val="bottom"/>
          </w:tcPr>
          <w:p>
            <w:pPr>
              <w:jc w:val="center"/>
              <w:ind w:right="44"/>
              <w:spacing w:after="0" w:line="121"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2340" w:type="dxa"/>
            <w:vAlign w:val="bottom"/>
          </w:tcPr>
          <w:p>
            <w:pPr>
              <w:ind w:left="80"/>
              <w:spacing w:after="0" w:line="121" w:lineRule="exact"/>
              <w:rPr>
                <w:sz w:val="20"/>
                <w:szCs w:val="20"/>
                <w:color w:val="auto"/>
              </w:rPr>
            </w:pPr>
            <w:r>
              <w:rPr>
                <w:rFonts w:ascii="Arial" w:cs="Arial" w:eastAsia="Arial" w:hAnsi="Arial"/>
                <w:sz w:val="11"/>
                <w:szCs w:val="11"/>
                <w:b w:val="1"/>
                <w:bCs w:val="1"/>
                <w:color w:val="002856"/>
              </w:rPr>
              <w:t>(in thousands,</w:t>
            </w:r>
          </w:p>
        </w:tc>
        <w:tc>
          <w:tcPr>
            <w:tcW w:w="1000" w:type="dxa"/>
            <w:vAlign w:val="bottom"/>
            <w:gridSpan w:val="3"/>
          </w:tcPr>
          <w:p>
            <w:pPr>
              <w:jc w:val="center"/>
              <w:ind w:right="6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Net</w:t>
            </w:r>
          </w:p>
        </w:tc>
        <w:tc>
          <w:tcPr>
            <w:tcW w:w="700" w:type="dxa"/>
            <w:vAlign w:val="bottom"/>
          </w:tcPr>
          <w:p>
            <w:pPr>
              <w:jc w:val="center"/>
              <w:ind w:right="143"/>
              <w:spacing w:after="0" w:line="121" w:lineRule="exact"/>
              <w:rPr>
                <w:sz w:val="20"/>
                <w:szCs w:val="20"/>
                <w:color w:val="auto"/>
              </w:rPr>
            </w:pPr>
            <w:r>
              <w:rPr>
                <w:rFonts w:ascii="Arial" w:cs="Arial" w:eastAsia="Arial" w:hAnsi="Arial"/>
                <w:sz w:val="11"/>
                <w:szCs w:val="11"/>
                <w:b w:val="1"/>
                <w:bCs w:val="1"/>
                <w:color w:val="002856"/>
                <w:w w:val="98"/>
              </w:rPr>
              <w:t>Growth</w:t>
            </w:r>
          </w:p>
        </w:tc>
        <w:tc>
          <w:tcPr>
            <w:tcW w:w="920" w:type="dxa"/>
            <w:vAlign w:val="bottom"/>
            <w:gridSpan w:val="3"/>
          </w:tcPr>
          <w:p>
            <w:pPr>
              <w:jc w:val="right"/>
              <w:ind w:right="220"/>
              <w:spacing w:after="0" w:line="121" w:lineRule="exact"/>
              <w:rPr>
                <w:sz w:val="20"/>
                <w:szCs w:val="20"/>
                <w:color w:val="auto"/>
              </w:rPr>
            </w:pPr>
            <w:r>
              <w:rPr>
                <w:rFonts w:ascii="Arial" w:cs="Arial" w:eastAsia="Arial" w:hAnsi="Arial"/>
                <w:sz w:val="11"/>
                <w:szCs w:val="11"/>
                <w:b w:val="1"/>
                <w:bCs w:val="1"/>
                <w:color w:val="002856"/>
              </w:rPr>
              <w:t>Contingents</w:t>
            </w:r>
          </w:p>
        </w:tc>
        <w:tc>
          <w:tcPr>
            <w:tcW w:w="1060" w:type="dxa"/>
            <w:vAlign w:val="bottom"/>
            <w:gridSpan w:val="3"/>
          </w:tcPr>
          <w:p>
            <w:pPr>
              <w:jc w:val="center"/>
              <w:ind w:right="100"/>
              <w:spacing w:after="0" w:line="121" w:lineRule="exact"/>
              <w:rPr>
                <w:sz w:val="20"/>
                <w:szCs w:val="20"/>
                <w:color w:val="auto"/>
              </w:rPr>
            </w:pPr>
            <w:r>
              <w:rPr>
                <w:rFonts w:ascii="Arial" w:cs="Arial" w:eastAsia="Arial" w:hAnsi="Arial"/>
                <w:sz w:val="9"/>
                <w:szCs w:val="9"/>
                <w:b w:val="1"/>
                <w:bCs w:val="1"/>
                <w:color w:val="002856"/>
              </w:rPr>
              <w:t>and Fees</w:t>
            </w:r>
            <w:r>
              <w:rPr>
                <w:rFonts w:ascii="Arial" w:cs="Arial" w:eastAsia="Arial" w:hAnsi="Arial"/>
                <w:sz w:val="13"/>
                <w:szCs w:val="13"/>
                <w:b w:val="1"/>
                <w:bCs w:val="1"/>
                <w:color w:val="002856"/>
                <w:vertAlign w:val="superscript"/>
              </w:rPr>
              <w:t>(2)</w:t>
            </w:r>
          </w:p>
        </w:tc>
        <w:tc>
          <w:tcPr>
            <w:tcW w:w="76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9"/>
              </w:rPr>
              <w:t>Revenues</w:t>
            </w: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002856"/>
                <w:w w:val="93"/>
              </w:rPr>
              <w:t>Business</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7"/>
              </w:rPr>
              <w:t>Translation</w:t>
            </w:r>
          </w:p>
        </w:tc>
        <w:tc>
          <w:tcPr>
            <w:tcW w:w="1000" w:type="dxa"/>
            <w:vAlign w:val="bottom"/>
            <w:gridSpan w:val="3"/>
          </w:tcPr>
          <w:p>
            <w:pPr>
              <w:jc w:val="right"/>
              <w:ind w:right="260"/>
              <w:spacing w:after="0" w:line="121" w:lineRule="exact"/>
              <w:rPr>
                <w:sz w:val="20"/>
                <w:szCs w:val="20"/>
                <w:color w:val="auto"/>
              </w:rPr>
            </w:pPr>
            <w:r>
              <w:rPr>
                <w:rFonts w:ascii="Arial" w:cs="Arial" w:eastAsia="Arial" w:hAnsi="Arial"/>
                <w:sz w:val="9"/>
                <w:szCs w:val="9"/>
                <w:b w:val="1"/>
                <w:bCs w:val="1"/>
                <w:color w:val="002856"/>
              </w:rPr>
              <w:t>Revenue</w:t>
            </w:r>
            <w:r>
              <w:rPr>
                <w:rFonts w:ascii="Arial" w:cs="Arial" w:eastAsia="Arial" w:hAnsi="Arial"/>
                <w:sz w:val="13"/>
                <w:szCs w:val="13"/>
                <w:b w:val="1"/>
                <w:bCs w:val="1"/>
                <w:color w:val="002856"/>
                <w:vertAlign w:val="superscript"/>
              </w:rPr>
              <w:t>(3)</w:t>
            </w: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Revenue</w:t>
            </w:r>
          </w:p>
        </w:tc>
        <w:tc>
          <w:tcPr>
            <w:tcW w:w="660" w:type="dxa"/>
            <w:vAlign w:val="bottom"/>
          </w:tcPr>
          <w:p>
            <w:pPr>
              <w:jc w:val="center"/>
              <w:ind w:right="24"/>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2340" w:type="dxa"/>
            <w:vAlign w:val="bottom"/>
            <w:tcBorders>
              <w:bottom w:val="single" w:sz="8" w:color="C6093B"/>
            </w:tcBorders>
          </w:tcPr>
          <w:p>
            <w:pPr>
              <w:ind w:left="80"/>
              <w:spacing w:after="0" w:line="121" w:lineRule="exact"/>
              <w:rPr>
                <w:sz w:val="20"/>
                <w:szCs w:val="20"/>
                <w:color w:val="auto"/>
              </w:rPr>
            </w:pPr>
            <w:r>
              <w:rPr>
                <w:rFonts w:ascii="Arial" w:cs="Arial" w:eastAsia="Arial" w:hAnsi="Arial"/>
                <w:sz w:val="11"/>
                <w:szCs w:val="11"/>
                <w:b w:val="1"/>
                <w:bCs w:val="1"/>
                <w:color w:val="002856"/>
              </w:rPr>
              <w:t>except percentages)</w:t>
            </w:r>
          </w:p>
        </w:tc>
        <w:tc>
          <w:tcPr>
            <w:tcW w:w="620" w:type="dxa"/>
            <w:vAlign w:val="bottom"/>
            <w:tcBorders>
              <w:top w:val="single" w:sz="8" w:color="C6093B"/>
              <w:bottom w:val="single" w:sz="8" w:color="C6093B"/>
            </w:tcBorders>
          </w:tcPr>
          <w:p>
            <w:pPr>
              <w:jc w:val="right"/>
              <w:ind w:right="223"/>
              <w:spacing w:after="0" w:line="121" w:lineRule="exact"/>
              <w:rPr>
                <w:sz w:val="20"/>
                <w:szCs w:val="20"/>
                <w:color w:val="auto"/>
              </w:rPr>
            </w:pPr>
            <w:r>
              <w:rPr>
                <w:rFonts w:ascii="Arial" w:cs="Arial" w:eastAsia="Arial" w:hAnsi="Arial"/>
                <w:sz w:val="11"/>
                <w:szCs w:val="11"/>
                <w:b w:val="1"/>
                <w:bCs w:val="1"/>
                <w:color w:val="002856"/>
              </w:rPr>
              <w:t>2023</w:t>
            </w:r>
          </w:p>
        </w:tc>
        <w:tc>
          <w:tcPr>
            <w:tcW w:w="32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w w:val="97"/>
              </w:rPr>
              <w:t>2022</w:t>
            </w:r>
          </w:p>
        </w:tc>
        <w:tc>
          <w:tcPr>
            <w:tcW w:w="60" w:type="dxa"/>
            <w:vAlign w:val="bottom"/>
            <w:tcBorders>
              <w:bottom w:val="single" w:sz="8" w:color="C6093B"/>
            </w:tcBorders>
          </w:tcPr>
          <w:p>
            <w:pPr>
              <w:spacing w:after="0"/>
              <w:rPr>
                <w:sz w:val="11"/>
                <w:szCs w:val="11"/>
                <w:color w:val="auto"/>
              </w:rPr>
            </w:pPr>
          </w:p>
        </w:tc>
        <w:tc>
          <w:tcPr>
            <w:tcW w:w="56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9"/>
              </w:rPr>
              <w:t>Change</w:t>
            </w:r>
          </w:p>
        </w:tc>
        <w:tc>
          <w:tcPr>
            <w:tcW w:w="700" w:type="dxa"/>
            <w:vAlign w:val="bottom"/>
            <w:tcBorders>
              <w:bottom w:val="single" w:sz="8" w:color="C6093B"/>
            </w:tcBorders>
          </w:tcPr>
          <w:p>
            <w:pPr>
              <w:jc w:val="center"/>
              <w:ind w:right="143"/>
              <w:spacing w:after="0" w:line="121" w:lineRule="exact"/>
              <w:rPr>
                <w:sz w:val="20"/>
                <w:szCs w:val="20"/>
                <w:color w:val="auto"/>
              </w:rPr>
            </w:pPr>
            <w:r>
              <w:rPr>
                <w:rFonts w:ascii="Arial" w:cs="Arial" w:eastAsia="Arial" w:hAnsi="Arial"/>
                <w:sz w:val="11"/>
                <w:szCs w:val="11"/>
                <w:b w:val="1"/>
                <w:bCs w:val="1"/>
                <w:color w:val="002856"/>
              </w:rPr>
              <w:t>%</w:t>
            </w:r>
          </w:p>
        </w:tc>
        <w:tc>
          <w:tcPr>
            <w:tcW w:w="420" w:type="dxa"/>
            <w:vAlign w:val="bottom"/>
            <w:tcBorders>
              <w:top w:val="single" w:sz="8" w:color="C6093B"/>
              <w:bottom w:val="single" w:sz="8" w:color="C6093B"/>
            </w:tcBorders>
          </w:tcPr>
          <w:p>
            <w:pPr>
              <w:jc w:val="right"/>
              <w:ind w:right="81"/>
              <w:spacing w:after="0" w:line="121" w:lineRule="exact"/>
              <w:rPr>
                <w:sz w:val="20"/>
                <w:szCs w:val="20"/>
                <w:color w:val="auto"/>
              </w:rPr>
            </w:pPr>
            <w:r>
              <w:rPr>
                <w:rFonts w:ascii="Arial" w:cs="Arial" w:eastAsia="Arial" w:hAnsi="Arial"/>
                <w:sz w:val="11"/>
                <w:szCs w:val="11"/>
                <w:b w:val="1"/>
                <w:bCs w:val="1"/>
                <w:color w:val="002856"/>
              </w:rPr>
              <w:t>2023</w:t>
            </w:r>
          </w:p>
        </w:tc>
        <w:tc>
          <w:tcPr>
            <w:tcW w:w="34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2022</w:t>
            </w:r>
          </w:p>
        </w:tc>
        <w:tc>
          <w:tcPr>
            <w:tcW w:w="160" w:type="dxa"/>
            <w:vAlign w:val="bottom"/>
            <w:tcBorders>
              <w:bottom w:val="single" w:sz="8" w:color="C6093B"/>
            </w:tcBorders>
          </w:tcPr>
          <w:p>
            <w:pPr>
              <w:spacing w:after="0"/>
              <w:rPr>
                <w:sz w:val="11"/>
                <w:szCs w:val="11"/>
                <w:color w:val="auto"/>
              </w:rPr>
            </w:pPr>
          </w:p>
        </w:tc>
        <w:tc>
          <w:tcPr>
            <w:tcW w:w="560" w:type="dxa"/>
            <w:vAlign w:val="bottom"/>
            <w:tcBorders>
              <w:top w:val="single" w:sz="8" w:color="C6093B"/>
              <w:bottom w:val="single" w:sz="8" w:color="C6093B"/>
            </w:tcBorders>
          </w:tcPr>
          <w:p>
            <w:pPr>
              <w:jc w:val="right"/>
              <w:ind w:right="144"/>
              <w:spacing w:after="0" w:line="121" w:lineRule="exact"/>
              <w:rPr>
                <w:sz w:val="20"/>
                <w:szCs w:val="20"/>
                <w:color w:val="auto"/>
              </w:rPr>
            </w:pPr>
            <w:r>
              <w:rPr>
                <w:rFonts w:ascii="Arial" w:cs="Arial" w:eastAsia="Arial" w:hAnsi="Arial"/>
                <w:sz w:val="11"/>
                <w:szCs w:val="11"/>
                <w:b w:val="1"/>
                <w:bCs w:val="1"/>
                <w:color w:val="002856"/>
              </w:rPr>
              <w:t>2023</w:t>
            </w:r>
          </w:p>
        </w:tc>
        <w:tc>
          <w:tcPr>
            <w:tcW w:w="38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2022</w:t>
            </w:r>
          </w:p>
        </w:tc>
        <w:tc>
          <w:tcPr>
            <w:tcW w:w="120" w:type="dxa"/>
            <w:vAlign w:val="bottom"/>
            <w:tcBorders>
              <w:bottom w:val="single" w:sz="8" w:color="C6093B"/>
            </w:tcBorders>
          </w:tcPr>
          <w:p>
            <w:pPr>
              <w:spacing w:after="0"/>
              <w:rPr>
                <w:sz w:val="11"/>
                <w:szCs w:val="11"/>
                <w:color w:val="auto"/>
              </w:rPr>
            </w:pPr>
          </w:p>
        </w:tc>
        <w:tc>
          <w:tcPr>
            <w:tcW w:w="60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2023</w:t>
            </w:r>
          </w:p>
        </w:tc>
        <w:tc>
          <w:tcPr>
            <w:tcW w:w="160" w:type="dxa"/>
            <w:vAlign w:val="bottom"/>
            <w:tcBorders>
              <w:bottom w:val="single" w:sz="8" w:color="C6093B"/>
            </w:tcBorders>
          </w:tcPr>
          <w:p>
            <w:pPr>
              <w:spacing w:after="0"/>
              <w:rPr>
                <w:sz w:val="11"/>
                <w:szCs w:val="11"/>
                <w:color w:val="auto"/>
              </w:rPr>
            </w:pPr>
          </w:p>
        </w:tc>
        <w:tc>
          <w:tcPr>
            <w:tcW w:w="480" w:type="dxa"/>
            <w:vAlign w:val="bottom"/>
            <w:tcBorders>
              <w:top w:val="single" w:sz="8" w:color="C6093B"/>
              <w:bottom w:val="single" w:sz="8" w:color="C6093B"/>
            </w:tcBorders>
          </w:tcPr>
          <w:p>
            <w:pPr>
              <w:jc w:val="right"/>
              <w:ind w:right="62"/>
              <w:spacing w:after="0" w:line="121" w:lineRule="exact"/>
              <w:rPr>
                <w:sz w:val="20"/>
                <w:szCs w:val="20"/>
                <w:color w:val="auto"/>
              </w:rPr>
            </w:pPr>
            <w:r>
              <w:rPr>
                <w:rFonts w:ascii="Arial" w:cs="Arial" w:eastAsia="Arial" w:hAnsi="Arial"/>
                <w:sz w:val="11"/>
                <w:szCs w:val="11"/>
                <w:b w:val="1"/>
                <w:bCs w:val="1"/>
                <w:color w:val="002856"/>
              </w:rPr>
              <w:t>2022</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2022</w:t>
            </w:r>
          </w:p>
        </w:tc>
        <w:tc>
          <w:tcPr>
            <w:tcW w:w="160" w:type="dxa"/>
            <w:vAlign w:val="bottom"/>
            <w:tcBorders>
              <w:bottom w:val="single" w:sz="8" w:color="C6093B"/>
            </w:tcBorders>
          </w:tcPr>
          <w:p>
            <w:pPr>
              <w:spacing w:after="0"/>
              <w:rPr>
                <w:sz w:val="11"/>
                <w:szCs w:val="11"/>
                <w:color w:val="auto"/>
              </w:rPr>
            </w:pPr>
          </w:p>
        </w:tc>
        <w:tc>
          <w:tcPr>
            <w:tcW w:w="540" w:type="dxa"/>
            <w:vAlign w:val="bottom"/>
            <w:tcBorders>
              <w:top w:val="single" w:sz="8" w:color="C6093B"/>
              <w:bottom w:val="single" w:sz="8" w:color="C6093B"/>
            </w:tcBorders>
          </w:tcPr>
          <w:p>
            <w:pPr>
              <w:jc w:val="right"/>
              <w:ind w:right="144"/>
              <w:spacing w:after="0" w:line="121" w:lineRule="exact"/>
              <w:rPr>
                <w:sz w:val="20"/>
                <w:szCs w:val="20"/>
                <w:color w:val="auto"/>
              </w:rPr>
            </w:pPr>
            <w:r>
              <w:rPr>
                <w:rFonts w:ascii="Arial" w:cs="Arial" w:eastAsia="Arial" w:hAnsi="Arial"/>
                <w:sz w:val="11"/>
                <w:szCs w:val="11"/>
                <w:b w:val="1"/>
                <w:bCs w:val="1"/>
                <w:color w:val="002856"/>
              </w:rPr>
              <w:t>2023</w:t>
            </w:r>
          </w:p>
        </w:tc>
        <w:tc>
          <w:tcPr>
            <w:tcW w:w="40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2022</w:t>
            </w:r>
          </w:p>
        </w:tc>
        <w:tc>
          <w:tcPr>
            <w:tcW w:w="60" w:type="dxa"/>
            <w:vAlign w:val="bottom"/>
            <w:tcBorders>
              <w:bottom w:val="single" w:sz="8" w:color="C6093B"/>
            </w:tcBorders>
          </w:tcPr>
          <w:p>
            <w:pPr>
              <w:spacing w:after="0"/>
              <w:rPr>
                <w:sz w:val="11"/>
                <w:szCs w:val="11"/>
                <w:color w:val="auto"/>
              </w:rPr>
            </w:pPr>
          </w:p>
        </w:tc>
        <w:tc>
          <w:tcPr>
            <w:tcW w:w="58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8"/>
              </w:rPr>
              <w:t>Growth</w:t>
            </w:r>
          </w:p>
        </w:tc>
        <w:tc>
          <w:tcPr>
            <w:tcW w:w="660" w:type="dxa"/>
            <w:vAlign w:val="bottom"/>
            <w:tcBorders>
              <w:bottom w:val="single" w:sz="8" w:color="C6093B"/>
            </w:tcBorders>
          </w:tcPr>
          <w:p>
            <w:pPr>
              <w:jc w:val="center"/>
              <w:ind w:right="24"/>
              <w:spacing w:after="0" w:line="121" w:lineRule="exact"/>
              <w:rPr>
                <w:sz w:val="20"/>
                <w:szCs w:val="20"/>
                <w:color w:val="auto"/>
              </w:rPr>
            </w:pPr>
            <w:r>
              <w:rPr>
                <w:rFonts w:ascii="Arial" w:cs="Arial" w:eastAsia="Arial" w:hAnsi="Arial"/>
                <w:sz w:val="11"/>
                <w:szCs w:val="11"/>
                <w:b w:val="1"/>
                <w:bCs w:val="1"/>
                <w:color w:val="002856"/>
              </w:rPr>
              <w:t>%</w:t>
            </w:r>
          </w:p>
        </w:tc>
      </w:tr>
      <w:tr>
        <w:trPr>
          <w:trHeight w:val="200"/>
        </w:trPr>
        <w:tc>
          <w:tcPr>
            <w:tcW w:w="2340" w:type="dxa"/>
            <w:vAlign w:val="bottom"/>
          </w:tcPr>
          <w:p>
            <w:pPr>
              <w:ind w:left="80"/>
              <w:spacing w:after="0"/>
              <w:rPr>
                <w:sz w:val="20"/>
                <w:szCs w:val="20"/>
                <w:color w:val="auto"/>
              </w:rPr>
            </w:pPr>
            <w:r>
              <w:rPr>
                <w:rFonts w:ascii="Arial" w:cs="Arial" w:eastAsia="Arial" w:hAnsi="Arial"/>
                <w:sz w:val="12"/>
                <w:szCs w:val="12"/>
                <w:color w:val="auto"/>
              </w:rPr>
              <w:t>National Programs</w:t>
            </w:r>
          </w:p>
        </w:tc>
        <w:tc>
          <w:tcPr>
            <w:tcW w:w="620" w:type="dxa"/>
            <w:vAlign w:val="bottom"/>
          </w:tcPr>
          <w:p>
            <w:pPr>
              <w:jc w:val="right"/>
              <w:ind w:right="103"/>
              <w:spacing w:after="0"/>
              <w:rPr>
                <w:sz w:val="20"/>
                <w:szCs w:val="20"/>
                <w:color w:val="auto"/>
              </w:rPr>
            </w:pPr>
            <w:r>
              <w:rPr>
                <w:rFonts w:ascii="Arial" w:cs="Arial" w:eastAsia="Arial" w:hAnsi="Arial"/>
                <w:sz w:val="12"/>
                <w:szCs w:val="12"/>
                <w:color w:val="auto"/>
              </w:rPr>
              <w:t>1,064.3</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858.1</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206.2</w:t>
            </w:r>
          </w:p>
        </w:tc>
        <w:tc>
          <w:tcPr>
            <w:tcW w:w="700" w:type="dxa"/>
            <w:vAlign w:val="bottom"/>
          </w:tcPr>
          <w:p>
            <w:pPr>
              <w:jc w:val="right"/>
              <w:ind w:right="83"/>
              <w:spacing w:after="0"/>
              <w:rPr>
                <w:sz w:val="20"/>
                <w:szCs w:val="20"/>
                <w:color w:val="auto"/>
              </w:rPr>
            </w:pPr>
            <w:r>
              <w:rPr>
                <w:rFonts w:ascii="Arial" w:cs="Arial" w:eastAsia="Arial" w:hAnsi="Arial"/>
                <w:sz w:val="12"/>
                <w:szCs w:val="12"/>
                <w:color w:val="auto"/>
              </w:rPr>
              <w:t>24.0%</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65.2</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27.6</w:t>
            </w:r>
          </w:p>
        </w:tc>
        <w:tc>
          <w:tcPr>
            <w:tcW w:w="560" w:type="dxa"/>
            <w:vAlign w:val="bottom"/>
          </w:tcPr>
          <w:p>
            <w:pPr>
              <w:jc w:val="right"/>
              <w:ind w:right="44"/>
              <w:spacing w:after="0"/>
              <w:rPr>
                <w:sz w:val="20"/>
                <w:szCs w:val="20"/>
                <w:color w:val="auto"/>
              </w:rPr>
            </w:pPr>
            <w:r>
              <w:rPr>
                <w:rFonts w:ascii="Arial" w:cs="Arial" w:eastAsia="Arial" w:hAnsi="Arial"/>
                <w:sz w:val="12"/>
                <w:szCs w:val="12"/>
                <w:color w:val="auto"/>
              </w:rPr>
              <w:t>999.1</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830.5</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47.1</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18.0</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24"/>
              <w:spacing w:after="0"/>
              <w:rPr>
                <w:sz w:val="20"/>
                <w:szCs w:val="20"/>
                <w:color w:val="auto"/>
              </w:rPr>
            </w:pPr>
            <w:r>
              <w:rPr>
                <w:rFonts w:ascii="Arial" w:cs="Arial" w:eastAsia="Arial" w:hAnsi="Arial"/>
                <w:sz w:val="12"/>
                <w:szCs w:val="12"/>
                <w:color w:val="auto"/>
              </w:rPr>
              <w:t>952.0</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812.5</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139.5</w:t>
            </w:r>
          </w:p>
        </w:tc>
        <w:tc>
          <w:tcPr>
            <w:tcW w:w="660" w:type="dxa"/>
            <w:vAlign w:val="bottom"/>
          </w:tcPr>
          <w:p>
            <w:pPr>
              <w:jc w:val="right"/>
              <w:spacing w:after="0"/>
              <w:rPr>
                <w:sz w:val="20"/>
                <w:szCs w:val="20"/>
                <w:color w:val="auto"/>
              </w:rPr>
            </w:pPr>
            <w:r>
              <w:rPr>
                <w:rFonts w:ascii="Arial" w:cs="Arial" w:eastAsia="Arial" w:hAnsi="Arial"/>
                <w:sz w:val="12"/>
                <w:szCs w:val="12"/>
                <w:color w:val="auto"/>
              </w:rPr>
              <w:t>17.2%</w:t>
            </w:r>
          </w:p>
        </w:tc>
      </w:tr>
      <w:tr>
        <w:trPr>
          <w:trHeight w:val="54"/>
        </w:trPr>
        <w:tc>
          <w:tcPr>
            <w:tcW w:w="234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32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3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2340" w:type="dxa"/>
            <w:vAlign w:val="bottom"/>
          </w:tcPr>
          <w:p>
            <w:pPr>
              <w:ind w:left="80"/>
              <w:spacing w:after="0"/>
              <w:rPr>
                <w:sz w:val="20"/>
                <w:szCs w:val="20"/>
                <w:color w:val="auto"/>
              </w:rPr>
            </w:pPr>
            <w:r>
              <w:rPr>
                <w:rFonts w:ascii="Arial" w:cs="Arial" w:eastAsia="Arial" w:hAnsi="Arial"/>
                <w:sz w:val="12"/>
                <w:szCs w:val="12"/>
                <w:color w:val="auto"/>
              </w:rPr>
              <w:t>2023 NP Office-Based Adjustments</w:t>
            </w:r>
          </w:p>
        </w:tc>
        <w:tc>
          <w:tcPr>
            <w:tcW w:w="620" w:type="dxa"/>
            <w:vAlign w:val="bottom"/>
          </w:tcPr>
          <w:p>
            <w:pPr>
              <w:jc w:val="right"/>
              <w:ind w:right="103"/>
              <w:spacing w:after="0"/>
              <w:rPr>
                <w:sz w:val="20"/>
                <w:szCs w:val="20"/>
                <w:color w:val="auto"/>
              </w:rPr>
            </w:pPr>
            <w:r>
              <w:rPr>
                <w:rFonts w:ascii="Arial" w:cs="Arial" w:eastAsia="Arial" w:hAnsi="Arial"/>
                <w:sz w:val="12"/>
                <w:szCs w:val="12"/>
                <w:color w:val="auto"/>
              </w:rPr>
              <w:t>44.4</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89.9</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(45.5)</w:t>
            </w:r>
          </w:p>
        </w:tc>
        <w:tc>
          <w:tcPr>
            <w:tcW w:w="700" w:type="dxa"/>
            <w:vAlign w:val="bottom"/>
          </w:tcPr>
          <w:p>
            <w:pPr>
              <w:jc w:val="right"/>
              <w:ind w:right="43"/>
              <w:spacing w:after="0"/>
              <w:rPr>
                <w:sz w:val="20"/>
                <w:szCs w:val="20"/>
                <w:color w:val="auto"/>
              </w:rPr>
            </w:pPr>
            <w:r>
              <w:rPr>
                <w:rFonts w:ascii="Arial" w:cs="Arial" w:eastAsia="Arial" w:hAnsi="Arial"/>
                <w:sz w:val="12"/>
                <w:szCs w:val="12"/>
                <w:color w:val="auto"/>
              </w:rPr>
              <w:t>(50.6)%</w:t>
            </w:r>
          </w:p>
        </w:tc>
        <w:tc>
          <w:tcPr>
            <w:tcW w:w="420" w:type="dxa"/>
            <w:vAlign w:val="bottom"/>
          </w:tcPr>
          <w:p>
            <w:pPr>
              <w:jc w:val="right"/>
              <w:ind w:right="21"/>
              <w:spacing w:after="0"/>
              <w:rPr>
                <w:sz w:val="20"/>
                <w:szCs w:val="20"/>
                <w:color w:val="auto"/>
              </w:rPr>
            </w:pPr>
            <w:r>
              <w:rPr>
                <w:rFonts w:ascii="Arial" w:cs="Arial" w:eastAsia="Arial" w:hAnsi="Arial"/>
                <w:sz w:val="12"/>
                <w:szCs w:val="12"/>
                <w:color w:val="auto"/>
              </w:rPr>
              <w:t>(4.2)</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(0.9)</w:t>
            </w:r>
          </w:p>
        </w:tc>
        <w:tc>
          <w:tcPr>
            <w:tcW w:w="560" w:type="dxa"/>
            <w:vAlign w:val="bottom"/>
          </w:tcPr>
          <w:p>
            <w:pPr>
              <w:jc w:val="right"/>
              <w:ind w:right="44"/>
              <w:spacing w:after="0"/>
              <w:rPr>
                <w:sz w:val="20"/>
                <w:szCs w:val="20"/>
                <w:color w:val="auto"/>
              </w:rPr>
            </w:pPr>
            <w:r>
              <w:rPr>
                <w:rFonts w:ascii="Arial" w:cs="Arial" w:eastAsia="Arial" w:hAnsi="Arial"/>
                <w:sz w:val="12"/>
                <w:szCs w:val="12"/>
                <w:color w:val="auto"/>
              </w:rPr>
              <w:t>48.6</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90.8</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(32.3)</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12.9</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(0.8)</w:t>
            </w:r>
          </w:p>
        </w:tc>
        <w:tc>
          <w:tcPr>
            <w:tcW w:w="540" w:type="dxa"/>
            <w:vAlign w:val="bottom"/>
          </w:tcPr>
          <w:p>
            <w:pPr>
              <w:jc w:val="right"/>
              <w:ind w:right="24"/>
              <w:spacing w:after="0"/>
              <w:rPr>
                <w:sz w:val="20"/>
                <w:szCs w:val="20"/>
                <w:color w:val="auto"/>
              </w:rPr>
            </w:pPr>
            <w:r>
              <w:rPr>
                <w:rFonts w:ascii="Arial" w:cs="Arial" w:eastAsia="Arial" w:hAnsi="Arial"/>
                <w:sz w:val="12"/>
                <w:szCs w:val="12"/>
                <w:color w:val="auto"/>
              </w:rPr>
              <w:t>80.9</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78.7</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660" w:type="dxa"/>
            <w:vAlign w:val="bottom"/>
          </w:tcPr>
          <w:p>
            <w:pPr>
              <w:spacing w:after="0"/>
              <w:rPr>
                <w:sz w:val="16"/>
                <w:szCs w:val="16"/>
                <w:color w:val="auto"/>
              </w:rPr>
            </w:pPr>
          </w:p>
        </w:tc>
      </w:tr>
      <w:tr>
        <w:trPr>
          <w:trHeight w:val="54"/>
        </w:trPr>
        <w:tc>
          <w:tcPr>
            <w:tcW w:w="234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32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3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5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2340" w:type="dxa"/>
            <w:vAlign w:val="bottom"/>
          </w:tcPr>
          <w:p>
            <w:pPr>
              <w:ind w:left="80"/>
              <w:spacing w:after="0"/>
              <w:rPr>
                <w:sz w:val="20"/>
                <w:szCs w:val="20"/>
                <w:color w:val="auto"/>
              </w:rPr>
            </w:pPr>
            <w:r>
              <w:rPr>
                <w:rFonts w:ascii="Arial" w:cs="Arial" w:eastAsia="Arial" w:hAnsi="Arial"/>
                <w:sz w:val="12"/>
                <w:szCs w:val="12"/>
                <w:color w:val="auto"/>
              </w:rPr>
              <w:t>National Programs – Adjusted</w:t>
            </w:r>
          </w:p>
        </w:tc>
        <w:tc>
          <w:tcPr>
            <w:tcW w:w="620" w:type="dxa"/>
            <w:vAlign w:val="bottom"/>
          </w:tcPr>
          <w:p>
            <w:pPr>
              <w:jc w:val="right"/>
              <w:ind w:right="103"/>
              <w:spacing w:after="0"/>
              <w:rPr>
                <w:sz w:val="20"/>
                <w:szCs w:val="20"/>
                <w:color w:val="auto"/>
              </w:rPr>
            </w:pPr>
            <w:r>
              <w:rPr>
                <w:rFonts w:ascii="Arial" w:cs="Arial" w:eastAsia="Arial" w:hAnsi="Arial"/>
                <w:sz w:val="12"/>
                <w:szCs w:val="12"/>
                <w:color w:val="auto"/>
              </w:rPr>
              <w:t>1,108.7</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948.0</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160.7</w:t>
            </w:r>
          </w:p>
        </w:tc>
        <w:tc>
          <w:tcPr>
            <w:tcW w:w="700" w:type="dxa"/>
            <w:vAlign w:val="bottom"/>
          </w:tcPr>
          <w:p>
            <w:pPr>
              <w:jc w:val="right"/>
              <w:ind w:right="83"/>
              <w:spacing w:after="0"/>
              <w:rPr>
                <w:sz w:val="20"/>
                <w:szCs w:val="20"/>
                <w:color w:val="auto"/>
              </w:rPr>
            </w:pPr>
            <w:r>
              <w:rPr>
                <w:rFonts w:ascii="Arial" w:cs="Arial" w:eastAsia="Arial" w:hAnsi="Arial"/>
                <w:sz w:val="12"/>
                <w:szCs w:val="12"/>
                <w:color w:val="auto"/>
              </w:rPr>
              <w:t>17.0%</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61.0</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26.7</w:t>
            </w:r>
          </w:p>
        </w:tc>
        <w:tc>
          <w:tcPr>
            <w:tcW w:w="560" w:type="dxa"/>
            <w:vAlign w:val="bottom"/>
          </w:tcPr>
          <w:p>
            <w:pPr>
              <w:jc w:val="right"/>
              <w:ind w:right="44"/>
              <w:spacing w:after="0"/>
              <w:rPr>
                <w:sz w:val="20"/>
                <w:szCs w:val="20"/>
                <w:color w:val="auto"/>
              </w:rPr>
            </w:pPr>
            <w:r>
              <w:rPr>
                <w:rFonts w:ascii="Arial" w:cs="Arial" w:eastAsia="Arial" w:hAnsi="Arial"/>
                <w:sz w:val="12"/>
                <w:szCs w:val="12"/>
                <w:color w:val="auto"/>
              </w:rPr>
              <w:t>1,047.7</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921.3</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14.8</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30.9</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0.8</w:t>
            </w:r>
          </w:p>
        </w:tc>
        <w:tc>
          <w:tcPr>
            <w:tcW w:w="540" w:type="dxa"/>
            <w:vAlign w:val="bottom"/>
          </w:tcPr>
          <w:p>
            <w:pPr>
              <w:jc w:val="right"/>
              <w:ind w:right="24"/>
              <w:spacing w:after="0"/>
              <w:rPr>
                <w:sz w:val="20"/>
                <w:szCs w:val="20"/>
                <w:color w:val="auto"/>
              </w:rPr>
            </w:pPr>
            <w:r>
              <w:rPr>
                <w:rFonts w:ascii="Arial" w:cs="Arial" w:eastAsia="Arial" w:hAnsi="Arial"/>
                <w:sz w:val="12"/>
                <w:szCs w:val="12"/>
                <w:color w:val="auto"/>
              </w:rPr>
              <w:t>1,032.9</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889.6</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143.3</w:t>
            </w:r>
          </w:p>
        </w:tc>
        <w:tc>
          <w:tcPr>
            <w:tcW w:w="660" w:type="dxa"/>
            <w:vAlign w:val="bottom"/>
          </w:tcPr>
          <w:p>
            <w:pPr>
              <w:jc w:val="right"/>
              <w:spacing w:after="0"/>
              <w:rPr>
                <w:sz w:val="20"/>
                <w:szCs w:val="20"/>
                <w:color w:val="auto"/>
              </w:rPr>
            </w:pPr>
            <w:r>
              <w:rPr>
                <w:rFonts w:ascii="Arial" w:cs="Arial" w:eastAsia="Arial" w:hAnsi="Arial"/>
                <w:sz w:val="12"/>
                <w:szCs w:val="12"/>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40" w:hanging="213"/>
        <w:spacing w:after="0" w:line="201" w:lineRule="auto"/>
        <w:tabs>
          <w:tab w:leader="none" w:pos="220" w:val="left"/>
        </w:tabs>
        <w:numPr>
          <w:ilvl w:val="0"/>
          <w:numId w:val="69"/>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280" w:hanging="213"/>
        <w:spacing w:after="0" w:line="214" w:lineRule="auto"/>
        <w:tabs>
          <w:tab w:leader="none" w:pos="220" w:val="left"/>
        </w:tabs>
        <w:numPr>
          <w:ilvl w:val="0"/>
          <w:numId w:val="69"/>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2022 and 2023, Foreign Currency Translation. Organic Revenue can be expressed as a dollar amount or a percentage rate when describing Organic Revenue growth.</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70</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75" w:name="page76"/>
    <w:bookmarkEnd w:id="75"/>
    <w:p>
      <w:pPr>
        <w:ind w:left="5860"/>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ANNEX A INFORMATION REGARDING NON-GAAP FINANCIAL MEASURES</w:t>
      </w:r>
    </w:p>
    <w:p>
      <w:pPr>
        <w:spacing w:after="0" w:line="142" w:lineRule="exact"/>
        <w:rPr>
          <w:sz w:val="20"/>
          <w:szCs w:val="20"/>
          <w:color w:val="auto"/>
        </w:rPr>
      </w:pPr>
    </w:p>
    <w:p>
      <w:pPr>
        <w:jc w:val="both"/>
        <w:ind w:right="380"/>
        <w:spacing w:after="0" w:line="256" w:lineRule="auto"/>
        <w:rPr>
          <w:sz w:val="20"/>
          <w:szCs w:val="20"/>
          <w:color w:val="auto"/>
        </w:rPr>
      </w:pPr>
      <w:r>
        <w:rPr>
          <w:rFonts w:ascii="Arial" w:cs="Arial" w:eastAsia="Arial" w:hAnsi="Arial"/>
          <w:sz w:val="16"/>
          <w:szCs w:val="16"/>
          <w:color w:val="auto"/>
        </w:rPr>
        <w:t>For 2022, National Programs segment Organic Revenue growth was adjusted to include the impact of certain offices within the Services segment for which Mr. Walker had responsibility in 2022 (collectively, the “2022 NP Office-Based Adjustments”). The growth rate for National Programs segment Organic Revenue – adjusted, which is a non-GAAP financial measure and which for 2022 excludes Foreign Currency Translation, for the year ended December 31, 2022,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0"/>
                <w:szCs w:val="10"/>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02856"/>
                <w:w w:val="91"/>
              </w:rPr>
              <w:t>Total</w:t>
            </w:r>
          </w:p>
        </w:tc>
        <w:tc>
          <w:tcPr>
            <w:tcW w:w="560" w:type="dxa"/>
            <w:vAlign w:val="bottom"/>
          </w:tcPr>
          <w:p>
            <w:pPr>
              <w:spacing w:after="0"/>
              <w:rPr>
                <w:sz w:val="10"/>
                <w:szCs w:val="10"/>
                <w:color w:val="auto"/>
              </w:rPr>
            </w:pPr>
          </w:p>
        </w:tc>
        <w:tc>
          <w:tcPr>
            <w:tcW w:w="700" w:type="dxa"/>
            <w:vAlign w:val="bottom"/>
          </w:tcPr>
          <w:p>
            <w:pPr>
              <w:jc w:val="center"/>
              <w:ind w:right="143"/>
              <w:spacing w:after="0"/>
              <w:rPr>
                <w:sz w:val="20"/>
                <w:szCs w:val="20"/>
                <w:color w:val="auto"/>
              </w:rPr>
            </w:pPr>
            <w:r>
              <w:rPr>
                <w:rFonts w:ascii="Arial" w:cs="Arial" w:eastAsia="Arial" w:hAnsi="Arial"/>
                <w:sz w:val="11"/>
                <w:szCs w:val="11"/>
                <w:b w:val="1"/>
                <w:bCs w:val="1"/>
                <w:color w:val="002856"/>
                <w:w w:val="98"/>
              </w:rPr>
              <w:t>Total</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002856"/>
                <w:w w:val="95"/>
              </w:rPr>
              <w:t>Total Core</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02856"/>
                <w:w w:val="94"/>
              </w:rPr>
              <w:t>Foreign</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jc w:val="center"/>
              <w:ind w:right="44"/>
              <w:spacing w:after="0"/>
              <w:rPr>
                <w:sz w:val="20"/>
                <w:szCs w:val="20"/>
                <w:color w:val="auto"/>
              </w:rPr>
            </w:pPr>
            <w:r>
              <w:rPr>
                <w:rFonts w:ascii="Arial" w:cs="Arial" w:eastAsia="Arial" w:hAnsi="Arial"/>
                <w:sz w:val="11"/>
                <w:szCs w:val="11"/>
                <w:b w:val="1"/>
                <w:bCs w:val="1"/>
                <w:color w:val="002856"/>
                <w:w w:val="96"/>
              </w:rPr>
              <w:t>Organic</w:t>
            </w:r>
          </w:p>
        </w:tc>
      </w:tr>
      <w:tr>
        <w:trPr>
          <w:trHeight w:val="120"/>
        </w:trPr>
        <w:tc>
          <w:tcPr>
            <w:tcW w:w="2700" w:type="dxa"/>
            <w:vAlign w:val="bottom"/>
          </w:tcPr>
          <w:p>
            <w:pPr>
              <w:spacing w:after="0"/>
              <w:rPr>
                <w:sz w:val="10"/>
                <w:szCs w:val="10"/>
                <w:color w:val="auto"/>
              </w:rPr>
            </w:pPr>
          </w:p>
        </w:tc>
        <w:tc>
          <w:tcPr>
            <w:tcW w:w="900" w:type="dxa"/>
            <w:vAlign w:val="bottom"/>
            <w:gridSpan w:val="3"/>
          </w:tcPr>
          <w:p>
            <w:pPr>
              <w:jc w:val="center"/>
              <w:ind w:right="80"/>
              <w:spacing w:after="0" w:line="120" w:lineRule="exact"/>
              <w:rPr>
                <w:sz w:val="20"/>
                <w:szCs w:val="20"/>
                <w:color w:val="auto"/>
              </w:rPr>
            </w:pPr>
            <w:r>
              <w:rPr>
                <w:rFonts w:ascii="Arial" w:cs="Arial" w:eastAsia="Arial" w:hAnsi="Arial"/>
                <w:sz w:val="11"/>
                <w:szCs w:val="11"/>
                <w:b w:val="1"/>
                <w:bCs w:val="1"/>
                <w:color w:val="002856"/>
                <w:w w:val="96"/>
              </w:rPr>
              <w:t>Commissions</w:t>
            </w:r>
          </w:p>
        </w:tc>
        <w:tc>
          <w:tcPr>
            <w:tcW w:w="560" w:type="dxa"/>
            <w:vAlign w:val="bottom"/>
          </w:tcPr>
          <w:p>
            <w:pPr>
              <w:jc w:val="center"/>
              <w:spacing w:after="0" w:line="120" w:lineRule="exact"/>
              <w:rPr>
                <w:sz w:val="20"/>
                <w:szCs w:val="20"/>
                <w:color w:val="auto"/>
              </w:rPr>
            </w:pPr>
            <w:r>
              <w:rPr>
                <w:rFonts w:ascii="Arial" w:cs="Arial" w:eastAsia="Arial" w:hAnsi="Arial"/>
                <w:sz w:val="11"/>
                <w:szCs w:val="11"/>
                <w:b w:val="1"/>
                <w:bCs w:val="1"/>
                <w:color w:val="002856"/>
                <w:w w:val="91"/>
              </w:rPr>
              <w:t>Total</w:t>
            </w:r>
          </w:p>
        </w:tc>
        <w:tc>
          <w:tcPr>
            <w:tcW w:w="700" w:type="dxa"/>
            <w:vAlign w:val="bottom"/>
          </w:tcPr>
          <w:p>
            <w:pPr>
              <w:jc w:val="center"/>
              <w:ind w:right="143"/>
              <w:spacing w:after="0" w:line="120" w:lineRule="exact"/>
              <w:rPr>
                <w:sz w:val="20"/>
                <w:szCs w:val="20"/>
                <w:color w:val="auto"/>
              </w:rPr>
            </w:pPr>
            <w:r>
              <w:rPr>
                <w:rFonts w:ascii="Arial" w:cs="Arial" w:eastAsia="Arial" w:hAnsi="Arial"/>
                <w:sz w:val="11"/>
                <w:szCs w:val="11"/>
                <w:b w:val="1"/>
                <w:bCs w:val="1"/>
                <w:color w:val="002856"/>
              </w:rPr>
              <w:t>Net</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140"/>
              <w:spacing w:after="0" w:line="120" w:lineRule="exact"/>
              <w:rPr>
                <w:sz w:val="20"/>
                <w:szCs w:val="20"/>
                <w:color w:val="auto"/>
              </w:rPr>
            </w:pPr>
            <w:r>
              <w:rPr>
                <w:rFonts w:ascii="Arial" w:cs="Arial" w:eastAsia="Arial" w:hAnsi="Arial"/>
                <w:sz w:val="11"/>
                <w:szCs w:val="11"/>
                <w:b w:val="1"/>
                <w:bCs w:val="1"/>
                <w:color w:val="002856"/>
                <w:w w:val="96"/>
              </w:rPr>
              <w:t>Commissions</w:t>
            </w:r>
          </w:p>
        </w:tc>
        <w:tc>
          <w:tcPr>
            <w:tcW w:w="74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002856"/>
                <w:w w:val="96"/>
              </w:rPr>
              <w:t>Acquisition</w:t>
            </w:r>
          </w:p>
        </w:tc>
        <w:tc>
          <w:tcPr>
            <w:tcW w:w="600" w:type="dxa"/>
            <w:vAlign w:val="bottom"/>
            <w:gridSpan w:val="2"/>
          </w:tcPr>
          <w:p>
            <w:pPr>
              <w:jc w:val="center"/>
              <w:ind w:right="120"/>
              <w:spacing w:after="0" w:line="120" w:lineRule="exact"/>
              <w:rPr>
                <w:sz w:val="20"/>
                <w:szCs w:val="20"/>
                <w:color w:val="auto"/>
              </w:rPr>
            </w:pPr>
            <w:r>
              <w:rPr>
                <w:rFonts w:ascii="Arial" w:cs="Arial" w:eastAsia="Arial" w:hAnsi="Arial"/>
                <w:sz w:val="11"/>
                <w:szCs w:val="11"/>
                <w:b w:val="1"/>
                <w:bCs w:val="1"/>
                <w:color w:val="002856"/>
                <w:w w:val="95"/>
              </w:rPr>
              <w:t>Divested</w:t>
            </w:r>
          </w:p>
        </w:tc>
        <w:tc>
          <w:tcPr>
            <w:tcW w:w="700" w:type="dxa"/>
            <w:vAlign w:val="bottom"/>
            <w:gridSpan w:val="2"/>
          </w:tcPr>
          <w:p>
            <w:pPr>
              <w:jc w:val="center"/>
              <w:ind w:right="120"/>
              <w:spacing w:after="0" w:line="120" w:lineRule="exact"/>
              <w:rPr>
                <w:sz w:val="20"/>
                <w:szCs w:val="20"/>
                <w:color w:val="auto"/>
              </w:rPr>
            </w:pPr>
            <w:r>
              <w:rPr>
                <w:rFonts w:ascii="Arial" w:cs="Arial" w:eastAsia="Arial" w:hAnsi="Arial"/>
                <w:sz w:val="11"/>
                <w:szCs w:val="11"/>
                <w:b w:val="1"/>
                <w:bCs w:val="1"/>
                <w:color w:val="002856"/>
                <w:w w:val="95"/>
              </w:rPr>
              <w:t>Currency</w:t>
            </w:r>
          </w:p>
        </w:tc>
        <w:tc>
          <w:tcPr>
            <w:tcW w:w="900" w:type="dxa"/>
            <w:vAlign w:val="bottom"/>
            <w:gridSpan w:val="3"/>
          </w:tcPr>
          <w:p>
            <w:pPr>
              <w:jc w:val="center"/>
              <w:ind w:right="60"/>
              <w:spacing w:after="0" w:line="120" w:lineRule="exact"/>
              <w:rPr>
                <w:sz w:val="20"/>
                <w:szCs w:val="20"/>
                <w:color w:val="auto"/>
              </w:rPr>
            </w:pPr>
            <w:r>
              <w:rPr>
                <w:rFonts w:ascii="Arial" w:cs="Arial" w:eastAsia="Arial" w:hAnsi="Arial"/>
                <w:sz w:val="11"/>
                <w:szCs w:val="11"/>
                <w:b w:val="1"/>
                <w:bCs w:val="1"/>
                <w:color w:val="002856"/>
                <w:w w:val="96"/>
              </w:rPr>
              <w:t>Organic</w:t>
            </w:r>
          </w:p>
        </w:tc>
        <w:tc>
          <w:tcPr>
            <w:tcW w:w="620" w:type="dxa"/>
            <w:vAlign w:val="bottom"/>
          </w:tcPr>
          <w:p>
            <w:pPr>
              <w:jc w:val="center"/>
              <w:spacing w:after="0" w:line="120" w:lineRule="exact"/>
              <w:rPr>
                <w:sz w:val="20"/>
                <w:szCs w:val="20"/>
                <w:color w:val="auto"/>
              </w:rPr>
            </w:pPr>
            <w:r>
              <w:rPr>
                <w:rFonts w:ascii="Arial" w:cs="Arial" w:eastAsia="Arial" w:hAnsi="Arial"/>
                <w:sz w:val="11"/>
                <w:szCs w:val="11"/>
                <w:b w:val="1"/>
                <w:bCs w:val="1"/>
                <w:color w:val="002856"/>
              </w:rPr>
              <w:t>Organic</w:t>
            </w:r>
          </w:p>
        </w:tc>
        <w:tc>
          <w:tcPr>
            <w:tcW w:w="660" w:type="dxa"/>
            <w:vAlign w:val="bottom"/>
          </w:tcPr>
          <w:p>
            <w:pPr>
              <w:jc w:val="center"/>
              <w:ind w:right="44"/>
              <w:spacing w:after="0" w:line="120" w:lineRule="exact"/>
              <w:rPr>
                <w:sz w:val="20"/>
                <w:szCs w:val="20"/>
                <w:color w:val="auto"/>
              </w:rPr>
            </w:pPr>
            <w:r>
              <w:rPr>
                <w:rFonts w:ascii="Arial" w:cs="Arial" w:eastAsia="Arial" w:hAnsi="Arial"/>
                <w:sz w:val="11"/>
                <w:szCs w:val="11"/>
                <w:b w:val="1"/>
                <w:bCs w:val="1"/>
                <w:color w:val="002856"/>
                <w:w w:val="95"/>
              </w:rPr>
              <w:t>Revenue</w:t>
            </w:r>
          </w:p>
        </w:tc>
      </w:tr>
      <w:tr>
        <w:trPr>
          <w:trHeight w:val="127"/>
        </w:trPr>
        <w:tc>
          <w:tcPr>
            <w:tcW w:w="2700" w:type="dxa"/>
            <w:vAlign w:val="bottom"/>
          </w:tcPr>
          <w:p>
            <w:pPr>
              <w:ind w:left="80"/>
              <w:spacing w:after="0" w:line="121" w:lineRule="exact"/>
              <w:rPr>
                <w:sz w:val="20"/>
                <w:szCs w:val="20"/>
                <w:color w:val="auto"/>
              </w:rPr>
            </w:pPr>
            <w:r>
              <w:rPr>
                <w:rFonts w:ascii="Arial" w:cs="Arial" w:eastAsia="Arial" w:hAnsi="Arial"/>
                <w:sz w:val="11"/>
                <w:szCs w:val="11"/>
                <w:b w:val="1"/>
                <w:bCs w:val="1"/>
                <w:color w:val="002856"/>
              </w:rPr>
              <w:t>(in thousands,</w:t>
            </w:r>
          </w:p>
        </w:tc>
        <w:tc>
          <w:tcPr>
            <w:tcW w:w="900" w:type="dxa"/>
            <w:vAlign w:val="bottom"/>
            <w:gridSpan w:val="3"/>
          </w:tcPr>
          <w:p>
            <w:pPr>
              <w:jc w:val="center"/>
              <w:ind w:right="80"/>
              <w:spacing w:after="0" w:line="121" w:lineRule="exact"/>
              <w:rPr>
                <w:sz w:val="20"/>
                <w:szCs w:val="20"/>
                <w:color w:val="auto"/>
              </w:rPr>
            </w:pPr>
            <w:r>
              <w:rPr>
                <w:rFonts w:ascii="Arial" w:cs="Arial" w:eastAsia="Arial" w:hAnsi="Arial"/>
                <w:sz w:val="11"/>
                <w:szCs w:val="11"/>
                <w:b w:val="1"/>
                <w:bCs w:val="1"/>
                <w:color w:val="002856"/>
                <w:w w:val="96"/>
              </w:rPr>
              <w:t>and Fees</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w w:val="90"/>
              </w:rPr>
              <w:t>Net</w:t>
            </w:r>
          </w:p>
        </w:tc>
        <w:tc>
          <w:tcPr>
            <w:tcW w:w="700" w:type="dxa"/>
            <w:vAlign w:val="bottom"/>
          </w:tcPr>
          <w:p>
            <w:pPr>
              <w:jc w:val="center"/>
              <w:ind w:right="143"/>
              <w:spacing w:after="0" w:line="121" w:lineRule="exact"/>
              <w:rPr>
                <w:sz w:val="20"/>
                <w:szCs w:val="20"/>
                <w:color w:val="auto"/>
              </w:rPr>
            </w:pPr>
            <w:r>
              <w:rPr>
                <w:rFonts w:ascii="Arial" w:cs="Arial" w:eastAsia="Arial" w:hAnsi="Arial"/>
                <w:sz w:val="11"/>
                <w:szCs w:val="11"/>
                <w:b w:val="1"/>
                <w:bCs w:val="1"/>
                <w:color w:val="002856"/>
                <w:w w:val="98"/>
              </w:rPr>
              <w:t>Growth</w:t>
            </w:r>
          </w:p>
        </w:tc>
        <w:tc>
          <w:tcPr>
            <w:tcW w:w="8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002856"/>
              </w:rPr>
              <w:t>Contingents</w:t>
            </w:r>
          </w:p>
        </w:tc>
        <w:tc>
          <w:tcPr>
            <w:tcW w:w="960" w:type="dxa"/>
            <w:vAlign w:val="bottom"/>
            <w:gridSpan w:val="3"/>
          </w:tcPr>
          <w:p>
            <w:pPr>
              <w:jc w:val="center"/>
              <w:ind w:right="120"/>
              <w:spacing w:after="0" w:line="121" w:lineRule="exact"/>
              <w:rPr>
                <w:sz w:val="20"/>
                <w:szCs w:val="20"/>
                <w:color w:val="auto"/>
              </w:rPr>
            </w:pPr>
            <w:r>
              <w:rPr>
                <w:rFonts w:ascii="Arial" w:cs="Arial" w:eastAsia="Arial" w:hAnsi="Arial"/>
                <w:sz w:val="10"/>
                <w:szCs w:val="10"/>
                <w:b w:val="1"/>
                <w:bCs w:val="1"/>
                <w:color w:val="002856"/>
              </w:rPr>
              <w:t>and Fees</w:t>
            </w:r>
            <w:r>
              <w:rPr>
                <w:rFonts w:ascii="Arial" w:cs="Arial" w:eastAsia="Arial" w:hAnsi="Arial"/>
                <w:sz w:val="14"/>
                <w:szCs w:val="14"/>
                <w:b w:val="1"/>
                <w:bCs w:val="1"/>
                <w:color w:val="002856"/>
                <w:vertAlign w:val="superscript"/>
              </w:rPr>
              <w:t>(1)</w:t>
            </w:r>
          </w:p>
        </w:tc>
        <w:tc>
          <w:tcPr>
            <w:tcW w:w="74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002856"/>
                <w:w w:val="96"/>
              </w:rPr>
              <w:t>Revenues</w:t>
            </w:r>
          </w:p>
        </w:tc>
        <w:tc>
          <w:tcPr>
            <w:tcW w:w="60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002856"/>
                <w:w w:val="93"/>
              </w:rPr>
              <w:t>Business</w:t>
            </w:r>
          </w:p>
        </w:tc>
        <w:tc>
          <w:tcPr>
            <w:tcW w:w="700" w:type="dxa"/>
            <w:vAlign w:val="bottom"/>
            <w:gridSpan w:val="2"/>
          </w:tcPr>
          <w:p>
            <w:pPr>
              <w:jc w:val="right"/>
              <w:ind w:right="120"/>
              <w:spacing w:after="0" w:line="121" w:lineRule="exact"/>
              <w:rPr>
                <w:sz w:val="20"/>
                <w:szCs w:val="20"/>
                <w:color w:val="auto"/>
              </w:rPr>
            </w:pPr>
            <w:r>
              <w:rPr>
                <w:rFonts w:ascii="Arial" w:cs="Arial" w:eastAsia="Arial" w:hAnsi="Arial"/>
                <w:sz w:val="11"/>
                <w:szCs w:val="11"/>
                <w:b w:val="1"/>
                <w:bCs w:val="1"/>
                <w:color w:val="002856"/>
                <w:w w:val="94"/>
              </w:rPr>
              <w:t>Translation</w:t>
            </w:r>
          </w:p>
        </w:tc>
        <w:tc>
          <w:tcPr>
            <w:tcW w:w="900" w:type="dxa"/>
            <w:vAlign w:val="bottom"/>
            <w:gridSpan w:val="3"/>
          </w:tcPr>
          <w:p>
            <w:pPr>
              <w:jc w:val="center"/>
              <w:ind w:right="60"/>
              <w:spacing w:after="0" w:line="121" w:lineRule="exact"/>
              <w:rPr>
                <w:sz w:val="20"/>
                <w:szCs w:val="20"/>
                <w:color w:val="auto"/>
              </w:rPr>
            </w:pPr>
            <w:r>
              <w:rPr>
                <w:rFonts w:ascii="Arial" w:cs="Arial" w:eastAsia="Arial" w:hAnsi="Arial"/>
                <w:sz w:val="10"/>
                <w:szCs w:val="10"/>
                <w:b w:val="1"/>
                <w:bCs w:val="1"/>
                <w:color w:val="002856"/>
              </w:rPr>
              <w:t>Revenue</w:t>
            </w:r>
            <w:r>
              <w:rPr>
                <w:rFonts w:ascii="Arial" w:cs="Arial" w:eastAsia="Arial" w:hAnsi="Arial"/>
                <w:sz w:val="14"/>
                <w:szCs w:val="14"/>
                <w:b w:val="1"/>
                <w:bCs w:val="1"/>
                <w:color w:val="002856"/>
                <w:vertAlign w:val="superscript"/>
              </w:rPr>
              <w:t>(2)</w:t>
            </w:r>
          </w:p>
        </w:tc>
        <w:tc>
          <w:tcPr>
            <w:tcW w:w="620" w:type="dxa"/>
            <w:vAlign w:val="bottom"/>
          </w:tcPr>
          <w:p>
            <w:pPr>
              <w:jc w:val="center"/>
              <w:spacing w:after="0" w:line="121" w:lineRule="exact"/>
              <w:rPr>
                <w:sz w:val="20"/>
                <w:szCs w:val="20"/>
                <w:color w:val="auto"/>
              </w:rPr>
            </w:pPr>
            <w:r>
              <w:rPr>
                <w:rFonts w:ascii="Arial" w:cs="Arial" w:eastAsia="Arial" w:hAnsi="Arial"/>
                <w:sz w:val="11"/>
                <w:szCs w:val="11"/>
                <w:b w:val="1"/>
                <w:bCs w:val="1"/>
                <w:color w:val="002856"/>
              </w:rPr>
              <w:t>Revenue</w:t>
            </w:r>
          </w:p>
        </w:tc>
        <w:tc>
          <w:tcPr>
            <w:tcW w:w="660" w:type="dxa"/>
            <w:vAlign w:val="bottom"/>
          </w:tcPr>
          <w:p>
            <w:pPr>
              <w:jc w:val="center"/>
              <w:ind w:right="24"/>
              <w:spacing w:after="0" w:line="121" w:lineRule="exact"/>
              <w:rPr>
                <w:sz w:val="20"/>
                <w:szCs w:val="20"/>
                <w:color w:val="auto"/>
              </w:rPr>
            </w:pPr>
            <w:r>
              <w:rPr>
                <w:rFonts w:ascii="Arial" w:cs="Arial" w:eastAsia="Arial" w:hAnsi="Arial"/>
                <w:sz w:val="11"/>
                <w:szCs w:val="11"/>
                <w:b w:val="1"/>
                <w:bCs w:val="1"/>
                <w:color w:val="002856"/>
                <w:w w:val="98"/>
              </w:rPr>
              <w:t>Growth</w:t>
            </w:r>
          </w:p>
        </w:tc>
      </w:tr>
      <w:tr>
        <w:trPr>
          <w:trHeight w:val="127"/>
        </w:trPr>
        <w:tc>
          <w:tcPr>
            <w:tcW w:w="2700" w:type="dxa"/>
            <w:vAlign w:val="bottom"/>
            <w:tcBorders>
              <w:bottom w:val="single" w:sz="8" w:color="C6093B"/>
            </w:tcBorders>
          </w:tcPr>
          <w:p>
            <w:pPr>
              <w:ind w:left="80"/>
              <w:spacing w:after="0" w:line="121" w:lineRule="exact"/>
              <w:rPr>
                <w:sz w:val="20"/>
                <w:szCs w:val="20"/>
                <w:color w:val="auto"/>
              </w:rPr>
            </w:pPr>
            <w:r>
              <w:rPr>
                <w:rFonts w:ascii="Arial" w:cs="Arial" w:eastAsia="Arial" w:hAnsi="Arial"/>
                <w:sz w:val="11"/>
                <w:szCs w:val="11"/>
                <w:b w:val="1"/>
                <w:bCs w:val="1"/>
                <w:color w:val="002856"/>
              </w:rPr>
              <w:t>except percentages)</w:t>
            </w:r>
          </w:p>
        </w:tc>
        <w:tc>
          <w:tcPr>
            <w:tcW w:w="440" w:type="dxa"/>
            <w:vAlign w:val="bottom"/>
            <w:tcBorders>
              <w:top w:val="single" w:sz="8" w:color="C6093B"/>
              <w:bottom w:val="single" w:sz="8" w:color="C6093B"/>
            </w:tcBorders>
          </w:tcPr>
          <w:p>
            <w:pPr>
              <w:jc w:val="right"/>
              <w:ind w:right="83"/>
              <w:spacing w:after="0" w:line="121" w:lineRule="exact"/>
              <w:rPr>
                <w:sz w:val="20"/>
                <w:szCs w:val="20"/>
                <w:color w:val="auto"/>
              </w:rPr>
            </w:pPr>
            <w:r>
              <w:rPr>
                <w:rFonts w:ascii="Arial" w:cs="Arial" w:eastAsia="Arial" w:hAnsi="Arial"/>
                <w:sz w:val="11"/>
                <w:szCs w:val="11"/>
                <w:b w:val="1"/>
                <w:bCs w:val="1"/>
                <w:color w:val="002856"/>
              </w:rPr>
              <w:t>2022</w:t>
            </w:r>
          </w:p>
        </w:tc>
        <w:tc>
          <w:tcPr>
            <w:tcW w:w="40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2021</w:t>
            </w:r>
          </w:p>
        </w:tc>
        <w:tc>
          <w:tcPr>
            <w:tcW w:w="60" w:type="dxa"/>
            <w:vAlign w:val="bottom"/>
            <w:tcBorders>
              <w:bottom w:val="single" w:sz="8" w:color="C6093B"/>
            </w:tcBorders>
          </w:tcPr>
          <w:p>
            <w:pPr>
              <w:spacing w:after="0"/>
              <w:rPr>
                <w:sz w:val="11"/>
                <w:szCs w:val="11"/>
                <w:color w:val="auto"/>
              </w:rPr>
            </w:pPr>
          </w:p>
        </w:tc>
        <w:tc>
          <w:tcPr>
            <w:tcW w:w="56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9"/>
              </w:rPr>
              <w:t>Change</w:t>
            </w:r>
          </w:p>
        </w:tc>
        <w:tc>
          <w:tcPr>
            <w:tcW w:w="700" w:type="dxa"/>
            <w:vAlign w:val="bottom"/>
            <w:tcBorders>
              <w:bottom w:val="single" w:sz="8" w:color="C6093B"/>
            </w:tcBorders>
          </w:tcPr>
          <w:p>
            <w:pPr>
              <w:jc w:val="center"/>
              <w:ind w:right="143"/>
              <w:spacing w:after="0" w:line="121" w:lineRule="exact"/>
              <w:rPr>
                <w:sz w:val="20"/>
                <w:szCs w:val="20"/>
                <w:color w:val="auto"/>
              </w:rPr>
            </w:pPr>
            <w:r>
              <w:rPr>
                <w:rFonts w:ascii="Arial" w:cs="Arial" w:eastAsia="Arial" w:hAnsi="Arial"/>
                <w:sz w:val="11"/>
                <w:szCs w:val="11"/>
                <w:b w:val="1"/>
                <w:bCs w:val="1"/>
                <w:color w:val="002856"/>
              </w:rPr>
              <w:t>%</w:t>
            </w:r>
          </w:p>
        </w:tc>
        <w:tc>
          <w:tcPr>
            <w:tcW w:w="420" w:type="dxa"/>
            <w:vAlign w:val="bottom"/>
            <w:tcBorders>
              <w:top w:val="single" w:sz="8" w:color="C6093B"/>
              <w:bottom w:val="single" w:sz="8" w:color="C6093B"/>
            </w:tcBorders>
          </w:tcPr>
          <w:p>
            <w:pPr>
              <w:jc w:val="right"/>
              <w:ind w:right="101"/>
              <w:spacing w:after="0" w:line="121" w:lineRule="exact"/>
              <w:rPr>
                <w:sz w:val="20"/>
                <w:szCs w:val="20"/>
                <w:color w:val="auto"/>
              </w:rPr>
            </w:pPr>
            <w:r>
              <w:rPr>
                <w:rFonts w:ascii="Arial" w:cs="Arial" w:eastAsia="Arial" w:hAnsi="Arial"/>
                <w:sz w:val="11"/>
                <w:szCs w:val="11"/>
                <w:b w:val="1"/>
                <w:bCs w:val="1"/>
                <w:color w:val="002856"/>
                <w:w w:val="97"/>
              </w:rPr>
              <w:t>2022</w:t>
            </w:r>
          </w:p>
        </w:tc>
        <w:tc>
          <w:tcPr>
            <w:tcW w:w="34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2021</w:t>
            </w:r>
          </w:p>
        </w:tc>
        <w:tc>
          <w:tcPr>
            <w:tcW w:w="120" w:type="dxa"/>
            <w:vAlign w:val="bottom"/>
            <w:tcBorders>
              <w:bottom w:val="single" w:sz="8" w:color="C6093B"/>
            </w:tcBorders>
          </w:tcPr>
          <w:p>
            <w:pPr>
              <w:spacing w:after="0"/>
              <w:rPr>
                <w:sz w:val="11"/>
                <w:szCs w:val="11"/>
                <w:color w:val="auto"/>
              </w:rPr>
            </w:pPr>
          </w:p>
        </w:tc>
        <w:tc>
          <w:tcPr>
            <w:tcW w:w="440" w:type="dxa"/>
            <w:vAlign w:val="bottom"/>
            <w:tcBorders>
              <w:top w:val="single" w:sz="8" w:color="C6093B"/>
              <w:bottom w:val="single" w:sz="8" w:color="C6093B"/>
            </w:tcBorders>
          </w:tcPr>
          <w:p>
            <w:pPr>
              <w:jc w:val="right"/>
              <w:ind w:right="84"/>
              <w:spacing w:after="0" w:line="121" w:lineRule="exact"/>
              <w:rPr>
                <w:sz w:val="20"/>
                <w:szCs w:val="20"/>
                <w:color w:val="auto"/>
              </w:rPr>
            </w:pPr>
            <w:r>
              <w:rPr>
                <w:rFonts w:ascii="Arial" w:cs="Arial" w:eastAsia="Arial" w:hAnsi="Arial"/>
                <w:sz w:val="11"/>
                <w:szCs w:val="11"/>
                <w:b w:val="1"/>
                <w:bCs w:val="1"/>
                <w:color w:val="002856"/>
              </w:rPr>
              <w:t>2022</w:t>
            </w:r>
          </w:p>
        </w:tc>
        <w:tc>
          <w:tcPr>
            <w:tcW w:w="40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2021</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2022</w:t>
            </w:r>
          </w:p>
        </w:tc>
        <w:tc>
          <w:tcPr>
            <w:tcW w:w="160" w:type="dxa"/>
            <w:vAlign w:val="bottom"/>
            <w:tcBorders>
              <w:bottom w:val="single" w:sz="8" w:color="C6093B"/>
            </w:tcBorders>
          </w:tcPr>
          <w:p>
            <w:pPr>
              <w:spacing w:after="0"/>
              <w:rPr>
                <w:sz w:val="11"/>
                <w:szCs w:val="11"/>
                <w:color w:val="auto"/>
              </w:rPr>
            </w:pPr>
          </w:p>
        </w:tc>
        <w:tc>
          <w:tcPr>
            <w:tcW w:w="480" w:type="dxa"/>
            <w:vAlign w:val="bottom"/>
            <w:tcBorders>
              <w:top w:val="single" w:sz="8" w:color="C6093B"/>
              <w:bottom w:val="single" w:sz="8" w:color="C6093B"/>
            </w:tcBorders>
          </w:tcPr>
          <w:p>
            <w:pPr>
              <w:jc w:val="right"/>
              <w:ind w:right="62"/>
              <w:spacing w:after="0" w:line="121" w:lineRule="exact"/>
              <w:rPr>
                <w:sz w:val="20"/>
                <w:szCs w:val="20"/>
                <w:color w:val="auto"/>
              </w:rPr>
            </w:pPr>
            <w:r>
              <w:rPr>
                <w:rFonts w:ascii="Arial" w:cs="Arial" w:eastAsia="Arial" w:hAnsi="Arial"/>
                <w:sz w:val="11"/>
                <w:szCs w:val="11"/>
                <w:b w:val="1"/>
                <w:bCs w:val="1"/>
                <w:color w:val="002856"/>
              </w:rPr>
              <w:t>2021</w:t>
            </w:r>
          </w:p>
        </w:tc>
        <w:tc>
          <w:tcPr>
            <w:tcW w:w="120" w:type="dxa"/>
            <w:vAlign w:val="bottom"/>
            <w:tcBorders>
              <w:bottom w:val="single" w:sz="8" w:color="C6093B"/>
            </w:tcBorders>
          </w:tcPr>
          <w:p>
            <w:pPr>
              <w:spacing w:after="0"/>
              <w:rPr>
                <w:sz w:val="11"/>
                <w:szCs w:val="11"/>
                <w:color w:val="auto"/>
              </w:rPr>
            </w:pPr>
          </w:p>
        </w:tc>
        <w:tc>
          <w:tcPr>
            <w:tcW w:w="580" w:type="dxa"/>
            <w:vAlign w:val="bottom"/>
            <w:tcBorders>
              <w:top w:val="single" w:sz="8" w:color="C6093B"/>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7"/>
              </w:rPr>
              <w:t>2021</w:t>
            </w:r>
          </w:p>
        </w:tc>
        <w:tc>
          <w:tcPr>
            <w:tcW w:w="120" w:type="dxa"/>
            <w:vAlign w:val="bottom"/>
            <w:tcBorders>
              <w:bottom w:val="single" w:sz="8" w:color="C6093B"/>
            </w:tcBorders>
          </w:tcPr>
          <w:p>
            <w:pPr>
              <w:spacing w:after="0"/>
              <w:rPr>
                <w:sz w:val="11"/>
                <w:szCs w:val="11"/>
                <w:color w:val="auto"/>
              </w:rPr>
            </w:pPr>
          </w:p>
        </w:tc>
        <w:tc>
          <w:tcPr>
            <w:tcW w:w="440" w:type="dxa"/>
            <w:vAlign w:val="bottom"/>
            <w:tcBorders>
              <w:top w:val="single" w:sz="8" w:color="C6093B"/>
              <w:bottom w:val="single" w:sz="8" w:color="C6093B"/>
            </w:tcBorders>
          </w:tcPr>
          <w:p>
            <w:pPr>
              <w:ind w:left="60"/>
              <w:spacing w:after="0" w:line="121" w:lineRule="exact"/>
              <w:rPr>
                <w:sz w:val="20"/>
                <w:szCs w:val="20"/>
                <w:color w:val="auto"/>
              </w:rPr>
            </w:pPr>
            <w:r>
              <w:rPr>
                <w:rFonts w:ascii="Arial" w:cs="Arial" w:eastAsia="Arial" w:hAnsi="Arial"/>
                <w:sz w:val="11"/>
                <w:szCs w:val="11"/>
                <w:b w:val="1"/>
                <w:bCs w:val="1"/>
                <w:color w:val="002856"/>
              </w:rPr>
              <w:t>2022</w:t>
            </w:r>
          </w:p>
        </w:tc>
        <w:tc>
          <w:tcPr>
            <w:tcW w:w="400" w:type="dxa"/>
            <w:vAlign w:val="bottom"/>
            <w:tcBorders>
              <w:top w:val="single" w:sz="8" w:color="C6093B"/>
              <w:bottom w:val="single" w:sz="8" w:color="C6093B"/>
            </w:tcBorders>
          </w:tcPr>
          <w:p>
            <w:pPr>
              <w:jc w:val="right"/>
              <w:spacing w:after="0" w:line="121" w:lineRule="exact"/>
              <w:rPr>
                <w:sz w:val="20"/>
                <w:szCs w:val="20"/>
                <w:color w:val="auto"/>
              </w:rPr>
            </w:pPr>
            <w:r>
              <w:rPr>
                <w:rFonts w:ascii="Arial" w:cs="Arial" w:eastAsia="Arial" w:hAnsi="Arial"/>
                <w:sz w:val="11"/>
                <w:szCs w:val="11"/>
                <w:b w:val="1"/>
                <w:bCs w:val="1"/>
                <w:color w:val="002856"/>
              </w:rPr>
              <w:t>2021</w:t>
            </w:r>
          </w:p>
        </w:tc>
        <w:tc>
          <w:tcPr>
            <w:tcW w:w="60" w:type="dxa"/>
            <w:vAlign w:val="bottom"/>
            <w:tcBorders>
              <w:bottom w:val="single" w:sz="8" w:color="C6093B"/>
            </w:tcBorders>
          </w:tcPr>
          <w:p>
            <w:pPr>
              <w:spacing w:after="0"/>
              <w:rPr>
                <w:sz w:val="11"/>
                <w:szCs w:val="11"/>
                <w:color w:val="auto"/>
              </w:rPr>
            </w:pPr>
          </w:p>
        </w:tc>
        <w:tc>
          <w:tcPr>
            <w:tcW w:w="620" w:type="dxa"/>
            <w:vAlign w:val="bottom"/>
            <w:tcBorders>
              <w:bottom w:val="single" w:sz="8" w:color="C6093B"/>
            </w:tcBorders>
          </w:tcPr>
          <w:p>
            <w:pPr>
              <w:jc w:val="center"/>
              <w:spacing w:after="0" w:line="121" w:lineRule="exact"/>
              <w:rPr>
                <w:sz w:val="20"/>
                <w:szCs w:val="20"/>
                <w:color w:val="auto"/>
              </w:rPr>
            </w:pPr>
            <w:r>
              <w:rPr>
                <w:rFonts w:ascii="Arial" w:cs="Arial" w:eastAsia="Arial" w:hAnsi="Arial"/>
                <w:sz w:val="11"/>
                <w:szCs w:val="11"/>
                <w:b w:val="1"/>
                <w:bCs w:val="1"/>
                <w:color w:val="002856"/>
                <w:w w:val="98"/>
              </w:rPr>
              <w:t>Growth</w:t>
            </w:r>
          </w:p>
        </w:tc>
        <w:tc>
          <w:tcPr>
            <w:tcW w:w="660" w:type="dxa"/>
            <w:vAlign w:val="bottom"/>
            <w:tcBorders>
              <w:bottom w:val="single" w:sz="8" w:color="C6093B"/>
            </w:tcBorders>
          </w:tcPr>
          <w:p>
            <w:pPr>
              <w:jc w:val="center"/>
              <w:ind w:right="24"/>
              <w:spacing w:after="0" w:line="121" w:lineRule="exact"/>
              <w:rPr>
                <w:sz w:val="20"/>
                <w:szCs w:val="20"/>
                <w:color w:val="auto"/>
              </w:rPr>
            </w:pPr>
            <w:r>
              <w:rPr>
                <w:rFonts w:ascii="Arial" w:cs="Arial" w:eastAsia="Arial" w:hAnsi="Arial"/>
                <w:sz w:val="11"/>
                <w:szCs w:val="11"/>
                <w:b w:val="1"/>
                <w:bCs w:val="1"/>
                <w:color w:val="002856"/>
              </w:rPr>
              <w:t>%</w:t>
            </w:r>
          </w:p>
        </w:tc>
      </w:tr>
      <w:tr>
        <w:trPr>
          <w:trHeight w:val="200"/>
        </w:trPr>
        <w:tc>
          <w:tcPr>
            <w:tcW w:w="2700" w:type="dxa"/>
            <w:vAlign w:val="bottom"/>
          </w:tcPr>
          <w:p>
            <w:pPr>
              <w:ind w:left="80"/>
              <w:spacing w:after="0"/>
              <w:rPr>
                <w:sz w:val="20"/>
                <w:szCs w:val="20"/>
                <w:color w:val="auto"/>
              </w:rPr>
            </w:pPr>
            <w:r>
              <w:rPr>
                <w:rFonts w:ascii="Arial" w:cs="Arial" w:eastAsia="Arial" w:hAnsi="Arial"/>
                <w:sz w:val="12"/>
                <w:szCs w:val="12"/>
                <w:color w:val="auto"/>
              </w:rPr>
              <w:t>National Programs</w:t>
            </w:r>
          </w:p>
        </w:tc>
        <w:tc>
          <w:tcPr>
            <w:tcW w:w="440" w:type="dxa"/>
            <w:vAlign w:val="bottom"/>
          </w:tcPr>
          <w:p>
            <w:pPr>
              <w:jc w:val="right"/>
              <w:ind w:right="23"/>
              <w:spacing w:after="0"/>
              <w:rPr>
                <w:sz w:val="20"/>
                <w:szCs w:val="20"/>
                <w:color w:val="auto"/>
              </w:rPr>
            </w:pPr>
            <w:r>
              <w:rPr>
                <w:rFonts w:ascii="Arial" w:cs="Arial" w:eastAsia="Arial" w:hAnsi="Arial"/>
                <w:sz w:val="12"/>
                <w:szCs w:val="12"/>
                <w:color w:val="auto"/>
              </w:rPr>
              <w:t>858.1</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701.1</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157.0</w:t>
            </w: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22.4%</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27.6</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35.3</w:t>
            </w:r>
          </w:p>
        </w:tc>
        <w:tc>
          <w:tcPr>
            <w:tcW w:w="440" w:type="dxa"/>
            <w:vAlign w:val="bottom"/>
          </w:tcPr>
          <w:p>
            <w:pPr>
              <w:jc w:val="right"/>
              <w:ind w:right="24"/>
              <w:spacing w:after="0"/>
              <w:rPr>
                <w:sz w:val="20"/>
                <w:szCs w:val="20"/>
                <w:color w:val="auto"/>
              </w:rPr>
            </w:pPr>
            <w:r>
              <w:rPr>
                <w:rFonts w:ascii="Arial" w:cs="Arial" w:eastAsia="Arial" w:hAnsi="Arial"/>
                <w:sz w:val="12"/>
                <w:szCs w:val="12"/>
                <w:color w:val="auto"/>
              </w:rPr>
              <w:t>830.5</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665.8</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64.9</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3.3</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0.6</w:t>
            </w:r>
          </w:p>
        </w:tc>
        <w:tc>
          <w:tcPr>
            <w:tcW w:w="440" w:type="dxa"/>
            <w:vAlign w:val="bottom"/>
          </w:tcPr>
          <w:p>
            <w:pPr>
              <w:ind w:left="40"/>
              <w:spacing w:after="0"/>
              <w:rPr>
                <w:sz w:val="20"/>
                <w:szCs w:val="20"/>
                <w:color w:val="auto"/>
              </w:rPr>
            </w:pPr>
            <w:r>
              <w:rPr>
                <w:rFonts w:ascii="Arial" w:cs="Arial" w:eastAsia="Arial" w:hAnsi="Arial"/>
                <w:sz w:val="12"/>
                <w:szCs w:val="12"/>
                <w:color w:val="auto"/>
              </w:rPr>
              <w:t>765.6</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661.9</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103.7</w:t>
            </w:r>
          </w:p>
        </w:tc>
        <w:tc>
          <w:tcPr>
            <w:tcW w:w="660" w:type="dxa"/>
            <w:vAlign w:val="bottom"/>
          </w:tcPr>
          <w:p>
            <w:pPr>
              <w:jc w:val="right"/>
              <w:spacing w:after="0"/>
              <w:rPr>
                <w:sz w:val="20"/>
                <w:szCs w:val="20"/>
                <w:color w:val="auto"/>
              </w:rPr>
            </w:pPr>
            <w:r>
              <w:rPr>
                <w:rFonts w:ascii="Arial" w:cs="Arial" w:eastAsia="Arial" w:hAnsi="Arial"/>
                <w:sz w:val="12"/>
                <w:szCs w:val="12"/>
                <w:color w:val="auto"/>
              </w:rPr>
              <w:t>15.7%</w:t>
            </w:r>
          </w:p>
        </w:tc>
      </w:tr>
      <w:tr>
        <w:trPr>
          <w:trHeight w:val="54"/>
        </w:trPr>
        <w:tc>
          <w:tcPr>
            <w:tcW w:w="270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2700" w:type="dxa"/>
            <w:vAlign w:val="bottom"/>
          </w:tcPr>
          <w:p>
            <w:pPr>
              <w:ind w:left="80"/>
              <w:spacing w:after="0"/>
              <w:rPr>
                <w:sz w:val="20"/>
                <w:szCs w:val="20"/>
                <w:color w:val="auto"/>
              </w:rPr>
            </w:pPr>
            <w:r>
              <w:rPr>
                <w:rFonts w:ascii="Arial" w:cs="Arial" w:eastAsia="Arial" w:hAnsi="Arial"/>
                <w:sz w:val="12"/>
                <w:szCs w:val="12"/>
                <w:color w:val="auto"/>
              </w:rPr>
              <w:t>2022 NP Office-Based Adjustments</w:t>
            </w:r>
          </w:p>
        </w:tc>
        <w:tc>
          <w:tcPr>
            <w:tcW w:w="440" w:type="dxa"/>
            <w:vAlign w:val="bottom"/>
          </w:tcPr>
          <w:p>
            <w:pPr>
              <w:jc w:val="right"/>
              <w:ind w:right="23"/>
              <w:spacing w:after="0"/>
              <w:rPr>
                <w:sz w:val="20"/>
                <w:szCs w:val="20"/>
                <w:color w:val="auto"/>
              </w:rPr>
            </w:pPr>
            <w:r>
              <w:rPr>
                <w:rFonts w:ascii="Arial" w:cs="Arial" w:eastAsia="Arial" w:hAnsi="Arial"/>
                <w:sz w:val="12"/>
                <w:szCs w:val="12"/>
                <w:color w:val="auto"/>
              </w:rPr>
              <w:t>89.9</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117.5</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(27.6)</w:t>
            </w:r>
          </w:p>
        </w:tc>
        <w:tc>
          <w:tcPr>
            <w:tcW w:w="700" w:type="dxa"/>
            <w:vAlign w:val="bottom"/>
          </w:tcPr>
          <w:p>
            <w:pPr>
              <w:jc w:val="right"/>
              <w:ind w:right="63"/>
              <w:spacing w:after="0"/>
              <w:rPr>
                <w:sz w:val="20"/>
                <w:szCs w:val="20"/>
                <w:color w:val="auto"/>
              </w:rPr>
            </w:pPr>
            <w:r>
              <w:rPr>
                <w:rFonts w:ascii="Arial" w:cs="Arial" w:eastAsia="Arial" w:hAnsi="Arial"/>
                <w:sz w:val="12"/>
                <w:szCs w:val="12"/>
                <w:color w:val="auto"/>
              </w:rPr>
              <w:t>(23.5)%</w:t>
            </w:r>
          </w:p>
        </w:tc>
        <w:tc>
          <w:tcPr>
            <w:tcW w:w="420" w:type="dxa"/>
            <w:vAlign w:val="bottom"/>
          </w:tcPr>
          <w:p>
            <w:pPr>
              <w:jc w:val="right"/>
              <w:ind w:right="21"/>
              <w:spacing w:after="0"/>
              <w:rPr>
                <w:sz w:val="20"/>
                <w:szCs w:val="20"/>
                <w:color w:val="auto"/>
              </w:rPr>
            </w:pPr>
            <w:r>
              <w:rPr>
                <w:rFonts w:ascii="Arial" w:cs="Arial" w:eastAsia="Arial" w:hAnsi="Arial"/>
                <w:sz w:val="12"/>
                <w:szCs w:val="12"/>
                <w:color w:val="auto"/>
              </w:rPr>
              <w:t>(0.9)</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440" w:type="dxa"/>
            <w:vAlign w:val="bottom"/>
          </w:tcPr>
          <w:p>
            <w:pPr>
              <w:jc w:val="right"/>
              <w:ind w:right="24"/>
              <w:spacing w:after="0"/>
              <w:rPr>
                <w:sz w:val="20"/>
                <w:szCs w:val="20"/>
                <w:color w:val="auto"/>
              </w:rPr>
            </w:pPr>
            <w:r>
              <w:rPr>
                <w:rFonts w:ascii="Arial" w:cs="Arial" w:eastAsia="Arial" w:hAnsi="Arial"/>
                <w:sz w:val="12"/>
                <w:szCs w:val="12"/>
                <w:color w:val="auto"/>
              </w:rPr>
              <w:t>90.8</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117.5</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(13.1)</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4.4</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440" w:type="dxa"/>
            <w:vAlign w:val="bottom"/>
          </w:tcPr>
          <w:p>
            <w:pPr>
              <w:ind w:left="40"/>
              <w:spacing w:after="0"/>
              <w:rPr>
                <w:sz w:val="20"/>
                <w:szCs w:val="20"/>
                <w:color w:val="auto"/>
              </w:rPr>
            </w:pPr>
            <w:r>
              <w:rPr>
                <w:rFonts w:ascii="Arial" w:cs="Arial" w:eastAsia="Arial" w:hAnsi="Arial"/>
                <w:sz w:val="12"/>
                <w:szCs w:val="12"/>
                <w:color w:val="auto"/>
              </w:rPr>
              <w:t>103.9</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113.1</w:t>
            </w: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(9.2)</w:t>
            </w:r>
          </w:p>
        </w:tc>
        <w:tc>
          <w:tcPr>
            <w:tcW w:w="660" w:type="dxa"/>
            <w:vAlign w:val="bottom"/>
          </w:tcPr>
          <w:p>
            <w:pPr>
              <w:spacing w:after="0"/>
              <w:rPr>
                <w:sz w:val="16"/>
                <w:szCs w:val="16"/>
                <w:color w:val="auto"/>
              </w:rPr>
            </w:pPr>
          </w:p>
        </w:tc>
      </w:tr>
      <w:tr>
        <w:trPr>
          <w:trHeight w:val="54"/>
        </w:trPr>
        <w:tc>
          <w:tcPr>
            <w:tcW w:w="270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56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34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580" w:type="dxa"/>
            <w:vAlign w:val="bottom"/>
            <w:tcBorders>
              <w:bottom w:val="single" w:sz="8" w:color="4C4C4C"/>
            </w:tcBorders>
          </w:tcPr>
          <w:p>
            <w:pPr>
              <w:spacing w:after="0"/>
              <w:rPr>
                <w:sz w:val="4"/>
                <w:szCs w:val="4"/>
                <w:color w:val="auto"/>
              </w:rPr>
            </w:pPr>
          </w:p>
        </w:tc>
        <w:tc>
          <w:tcPr>
            <w:tcW w:w="120" w:type="dxa"/>
            <w:vAlign w:val="bottom"/>
            <w:tcBorders>
              <w:bottom w:val="single" w:sz="8" w:color="4C4C4C"/>
            </w:tcBorders>
          </w:tcPr>
          <w:p>
            <w:pPr>
              <w:spacing w:after="0"/>
              <w:rPr>
                <w:sz w:val="4"/>
                <w:szCs w:val="4"/>
                <w:color w:val="auto"/>
              </w:rPr>
            </w:pPr>
          </w:p>
        </w:tc>
        <w:tc>
          <w:tcPr>
            <w:tcW w:w="44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620" w:type="dxa"/>
            <w:vAlign w:val="bottom"/>
            <w:tcBorders>
              <w:bottom w:val="single" w:sz="8" w:color="4C4C4C"/>
            </w:tcBorders>
          </w:tcPr>
          <w:p>
            <w:pPr>
              <w:spacing w:after="0"/>
              <w:rPr>
                <w:sz w:val="4"/>
                <w:szCs w:val="4"/>
                <w:color w:val="auto"/>
              </w:rPr>
            </w:pPr>
          </w:p>
        </w:tc>
        <w:tc>
          <w:tcPr>
            <w:tcW w:w="660" w:type="dxa"/>
            <w:vAlign w:val="bottom"/>
            <w:tcBorders>
              <w:bottom w:val="single" w:sz="8" w:color="4C4C4C"/>
            </w:tcBorders>
          </w:tcPr>
          <w:p>
            <w:pPr>
              <w:spacing w:after="0"/>
              <w:rPr>
                <w:sz w:val="4"/>
                <w:szCs w:val="4"/>
                <w:color w:val="auto"/>
              </w:rPr>
            </w:pPr>
          </w:p>
        </w:tc>
      </w:tr>
      <w:tr>
        <w:trPr>
          <w:trHeight w:val="194"/>
        </w:trPr>
        <w:tc>
          <w:tcPr>
            <w:tcW w:w="2700" w:type="dxa"/>
            <w:vAlign w:val="bottom"/>
          </w:tcPr>
          <w:p>
            <w:pPr>
              <w:ind w:left="80"/>
              <w:spacing w:after="0"/>
              <w:rPr>
                <w:sz w:val="20"/>
                <w:szCs w:val="20"/>
                <w:color w:val="auto"/>
              </w:rPr>
            </w:pPr>
            <w:r>
              <w:rPr>
                <w:rFonts w:ascii="Arial" w:cs="Arial" w:eastAsia="Arial" w:hAnsi="Arial"/>
                <w:sz w:val="12"/>
                <w:szCs w:val="12"/>
                <w:color w:val="auto"/>
              </w:rPr>
              <w:t>National Programs – Adjusted</w:t>
            </w:r>
          </w:p>
        </w:tc>
        <w:tc>
          <w:tcPr>
            <w:tcW w:w="440" w:type="dxa"/>
            <w:vAlign w:val="bottom"/>
          </w:tcPr>
          <w:p>
            <w:pPr>
              <w:jc w:val="right"/>
              <w:ind w:right="23"/>
              <w:spacing w:after="0"/>
              <w:rPr>
                <w:sz w:val="20"/>
                <w:szCs w:val="20"/>
                <w:color w:val="auto"/>
              </w:rPr>
            </w:pPr>
            <w:r>
              <w:rPr>
                <w:rFonts w:ascii="Arial" w:cs="Arial" w:eastAsia="Arial" w:hAnsi="Arial"/>
                <w:sz w:val="12"/>
                <w:szCs w:val="12"/>
                <w:color w:val="auto"/>
              </w:rPr>
              <w:t>948.0</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818.6</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129.4</w:t>
            </w:r>
          </w:p>
        </w:tc>
        <w:tc>
          <w:tcPr>
            <w:tcW w:w="700" w:type="dxa"/>
            <w:vAlign w:val="bottom"/>
          </w:tcPr>
          <w:p>
            <w:pPr>
              <w:jc w:val="right"/>
              <w:ind w:right="103"/>
              <w:spacing w:after="0"/>
              <w:rPr>
                <w:sz w:val="20"/>
                <w:szCs w:val="20"/>
                <w:color w:val="auto"/>
              </w:rPr>
            </w:pPr>
            <w:r>
              <w:rPr>
                <w:rFonts w:ascii="Arial" w:cs="Arial" w:eastAsia="Arial" w:hAnsi="Arial"/>
                <w:sz w:val="12"/>
                <w:szCs w:val="12"/>
                <w:color w:val="auto"/>
              </w:rPr>
              <w:t>15.8%</w:t>
            </w:r>
          </w:p>
        </w:tc>
        <w:tc>
          <w:tcPr>
            <w:tcW w:w="420" w:type="dxa"/>
            <w:vAlign w:val="bottom"/>
          </w:tcPr>
          <w:p>
            <w:pPr>
              <w:jc w:val="right"/>
              <w:ind w:right="61"/>
              <w:spacing w:after="0"/>
              <w:rPr>
                <w:sz w:val="20"/>
                <w:szCs w:val="20"/>
                <w:color w:val="auto"/>
              </w:rPr>
            </w:pPr>
            <w:r>
              <w:rPr>
                <w:rFonts w:ascii="Arial" w:cs="Arial" w:eastAsia="Arial" w:hAnsi="Arial"/>
                <w:sz w:val="12"/>
                <w:szCs w:val="12"/>
                <w:color w:val="auto"/>
              </w:rPr>
              <w:t>26.7</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35.3</w:t>
            </w:r>
          </w:p>
        </w:tc>
        <w:tc>
          <w:tcPr>
            <w:tcW w:w="440" w:type="dxa"/>
            <w:vAlign w:val="bottom"/>
          </w:tcPr>
          <w:p>
            <w:pPr>
              <w:jc w:val="right"/>
              <w:ind w:right="24"/>
              <w:spacing w:after="0"/>
              <w:rPr>
                <w:sz w:val="20"/>
                <w:szCs w:val="20"/>
                <w:color w:val="auto"/>
              </w:rPr>
            </w:pPr>
            <w:r>
              <w:rPr>
                <w:rFonts w:ascii="Arial" w:cs="Arial" w:eastAsia="Arial" w:hAnsi="Arial"/>
                <w:sz w:val="12"/>
                <w:szCs w:val="12"/>
                <w:color w:val="auto"/>
              </w:rPr>
              <w:t>921.3</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783.3</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51.8</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7.7</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0.6</w:t>
            </w:r>
          </w:p>
        </w:tc>
        <w:tc>
          <w:tcPr>
            <w:tcW w:w="440" w:type="dxa"/>
            <w:vAlign w:val="bottom"/>
          </w:tcPr>
          <w:p>
            <w:pPr>
              <w:ind w:left="40"/>
              <w:spacing w:after="0"/>
              <w:rPr>
                <w:sz w:val="20"/>
                <w:szCs w:val="20"/>
                <w:color w:val="auto"/>
              </w:rPr>
            </w:pPr>
            <w:r>
              <w:rPr>
                <w:rFonts w:ascii="Arial" w:cs="Arial" w:eastAsia="Arial" w:hAnsi="Arial"/>
                <w:sz w:val="12"/>
                <w:szCs w:val="12"/>
                <w:color w:val="auto"/>
              </w:rPr>
              <w:t>869.5</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775.0</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94.5</w:t>
            </w:r>
          </w:p>
        </w:tc>
        <w:tc>
          <w:tcPr>
            <w:tcW w:w="660" w:type="dxa"/>
            <w:vAlign w:val="bottom"/>
          </w:tcPr>
          <w:p>
            <w:pPr>
              <w:jc w:val="right"/>
              <w:spacing w:after="0"/>
              <w:rPr>
                <w:sz w:val="20"/>
                <w:szCs w:val="20"/>
                <w:color w:val="auto"/>
              </w:rPr>
            </w:pPr>
            <w:r>
              <w:rPr>
                <w:rFonts w:ascii="Arial" w:cs="Arial" w:eastAsia="Arial" w:hAnsi="Arial"/>
                <w:sz w:val="12"/>
                <w:szCs w:val="12"/>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69297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220" w:right="40" w:hanging="213"/>
        <w:spacing w:after="0" w:line="201" w:lineRule="auto"/>
        <w:tabs>
          <w:tab w:leader="none" w:pos="220" w:val="left"/>
        </w:tabs>
        <w:numPr>
          <w:ilvl w:val="0"/>
          <w:numId w:val="70"/>
        </w:numPr>
        <w:rPr>
          <w:rFonts w:ascii="Arial" w:cs="Arial" w:eastAsia="Arial" w:hAnsi="Arial"/>
          <w:sz w:val="19"/>
          <w:szCs w:val="19"/>
          <w:color w:val="auto"/>
          <w:vertAlign w:val="superscript"/>
        </w:rPr>
      </w:pPr>
      <w:r>
        <w:rPr>
          <w:rFonts w:ascii="Arial" w:cs="Arial" w:eastAsia="Arial" w:hAnsi="Arial"/>
          <w:sz w:val="12"/>
          <w:szCs w:val="12"/>
          <w:color w:val="auto"/>
        </w:rPr>
        <w:t>Total core commissions and fees, which is a non-GAAP financial measure, is defined as total commissions and fees, less (i) profit-sharing contingent commissions, and less (ii) for all fiscal years ended December 31, 2021 and earlier, GSCs.</w:t>
      </w:r>
    </w:p>
    <w:p>
      <w:pPr>
        <w:spacing w:after="0" w:line="49" w:lineRule="exact"/>
        <w:rPr>
          <w:rFonts w:ascii="Arial" w:cs="Arial" w:eastAsia="Arial" w:hAnsi="Arial"/>
          <w:sz w:val="19"/>
          <w:szCs w:val="19"/>
          <w:color w:val="auto"/>
          <w:vertAlign w:val="superscript"/>
        </w:rPr>
      </w:pPr>
    </w:p>
    <w:p>
      <w:pPr>
        <w:ind w:left="220" w:right="40" w:hanging="213"/>
        <w:spacing w:after="0" w:line="214" w:lineRule="auto"/>
        <w:tabs>
          <w:tab w:leader="none" w:pos="220" w:val="left"/>
        </w:tabs>
        <w:numPr>
          <w:ilvl w:val="0"/>
          <w:numId w:val="70"/>
        </w:numPr>
        <w:rPr>
          <w:rFonts w:ascii="Arial" w:cs="Arial" w:eastAsia="Arial" w:hAnsi="Arial"/>
          <w:sz w:val="19"/>
          <w:szCs w:val="19"/>
          <w:color w:val="auto"/>
          <w:vertAlign w:val="superscript"/>
        </w:rPr>
      </w:pPr>
      <w:r>
        <w:rPr>
          <w:rFonts w:ascii="Arial" w:cs="Arial" w:eastAsia="Arial" w:hAnsi="Arial"/>
          <w:sz w:val="12"/>
          <w:szCs w:val="12"/>
          <w:color w:val="auto"/>
        </w:rPr>
        <w:t>“Organic Revenue,” which is a non-GAAP financial measure, is defined as total core commissions and fees less (i) the first twelve months of commission and fee revenues generated from acquisitions, less (ii) divested business (net commissions and fees generated from offices, and books of business sold by the Company) with the associated revenue removed from the corresponding period of the prior year, less (iii) for the calculation of Organic Revenue in 2021 and 2022, Foreign Currency Translation. Organic Revenue can be expressed as a dollar amount or a percentage rate when describing Organic Revenue growth.</w:t>
      </w:r>
    </w:p>
    <w:p>
      <w:pPr>
        <w:spacing w:after="0" w:line="285" w:lineRule="exact"/>
        <w:rPr>
          <w:sz w:val="20"/>
          <w:szCs w:val="20"/>
          <w:color w:val="auto"/>
        </w:rPr>
      </w:pPr>
    </w:p>
    <w:p>
      <w:pPr>
        <w:ind w:right="180"/>
        <w:spacing w:after="0" w:line="292" w:lineRule="auto"/>
        <w:rPr>
          <w:sz w:val="20"/>
          <w:szCs w:val="20"/>
          <w:color w:val="auto"/>
        </w:rPr>
      </w:pPr>
      <w:r>
        <w:rPr>
          <w:rFonts w:ascii="Arial" w:cs="Arial" w:eastAsia="Arial" w:hAnsi="Arial"/>
          <w:sz w:val="25"/>
          <w:szCs w:val="25"/>
          <w:b w:val="1"/>
          <w:bCs w:val="1"/>
          <w:color w:val="1D4F90"/>
        </w:rPr>
        <w:t>Reconciliation of Income Before Income Taxes to Adjusted EBITDAC and Reconciliation of Income Before Income Taxes Margin to Adjusted EBITDAC Margin</w:t>
      </w:r>
    </w:p>
    <w:p>
      <w:pPr>
        <w:spacing w:after="0" w:line="6"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The reconciliation of income before income taxes, included in the Consolidated Statement of Income, to Adjusted EBITDAC for the years ended December 31, 2023 and 2022, and the reconciliation of Income Before Income Taxes Margin, included in the Consolidated Statement of Income, to Adjusted EBITDAC Margin for the years ended December 31, 2023 and 2022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002856"/>
              </w:rPr>
              <w:t>For the Year Ended</w:t>
            </w:r>
          </w:p>
        </w:tc>
        <w:tc>
          <w:tcPr>
            <w:tcW w:w="0" w:type="dxa"/>
            <w:vAlign w:val="bottom"/>
          </w:tcPr>
          <w:p>
            <w:pPr>
              <w:spacing w:after="0"/>
              <w:rPr>
                <w:sz w:val="1"/>
                <w:szCs w:val="1"/>
                <w:color w:val="auto"/>
              </w:rPr>
            </w:pPr>
          </w:p>
        </w:tc>
      </w:tr>
      <w:tr>
        <w:trPr>
          <w:trHeight w:val="170"/>
        </w:trPr>
        <w:tc>
          <w:tcPr>
            <w:tcW w:w="7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2856"/>
              </w:rPr>
              <w:t>(in millions, unaudited)</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002856"/>
              </w:rPr>
              <w:t>December 31,</w:t>
            </w:r>
          </w:p>
        </w:tc>
        <w:tc>
          <w:tcPr>
            <w:tcW w:w="0" w:type="dxa"/>
            <w:vAlign w:val="bottom"/>
          </w:tcPr>
          <w:p>
            <w:pPr>
              <w:spacing w:after="0"/>
              <w:rPr>
                <w:sz w:val="1"/>
                <w:szCs w:val="1"/>
                <w:color w:val="auto"/>
              </w:rPr>
            </w:pPr>
          </w:p>
        </w:tc>
      </w:tr>
      <w:tr>
        <w:trPr>
          <w:trHeight w:val="161"/>
        </w:trPr>
        <w:tc>
          <w:tcPr>
            <w:tcW w:w="7120" w:type="dxa"/>
            <w:vAlign w:val="bottom"/>
            <w:tcBorders>
              <w:bottom w:val="single" w:sz="8" w:color="C6093B"/>
            </w:tcBorders>
            <w:gridSpan w:val="2"/>
            <w:vMerge w:val="continue"/>
          </w:tcPr>
          <w:p>
            <w:pPr>
              <w:spacing w:after="0"/>
              <w:rPr>
                <w:sz w:val="13"/>
                <w:szCs w:val="13"/>
                <w:color w:val="auto"/>
              </w:rPr>
            </w:pPr>
          </w:p>
        </w:tc>
        <w:tc>
          <w:tcPr>
            <w:tcW w:w="1760" w:type="dxa"/>
            <w:vAlign w:val="bottom"/>
            <w:tcBorders>
              <w:bottom w:val="single" w:sz="8" w:color="C6093B"/>
            </w:tcBorders>
          </w:tcPr>
          <w:p>
            <w:pPr>
              <w:spacing w:after="0"/>
              <w:rPr>
                <w:sz w:val="13"/>
                <w:szCs w:val="13"/>
                <w:color w:val="auto"/>
              </w:rPr>
            </w:pPr>
          </w:p>
        </w:tc>
        <w:tc>
          <w:tcPr>
            <w:tcW w:w="180" w:type="dxa"/>
            <w:vAlign w:val="bottom"/>
            <w:tcBorders>
              <w:top w:val="single" w:sz="8" w:color="C6093B"/>
              <w:bottom w:val="single" w:sz="8" w:color="C6093B"/>
            </w:tcBorders>
          </w:tcPr>
          <w:p>
            <w:pPr>
              <w:jc w:val="right"/>
              <w:spacing w:after="0" w:line="154" w:lineRule="exact"/>
              <w:rPr>
                <w:sz w:val="20"/>
                <w:szCs w:val="20"/>
                <w:color w:val="auto"/>
              </w:rPr>
            </w:pPr>
            <w:r>
              <w:rPr>
                <w:rFonts w:ascii="Arial" w:cs="Arial" w:eastAsia="Arial" w:hAnsi="Arial"/>
                <w:sz w:val="14"/>
                <w:szCs w:val="14"/>
                <w:b w:val="1"/>
                <w:bCs w:val="1"/>
                <w:color w:val="002856"/>
                <w:w w:val="71"/>
              </w:rPr>
              <w:t> </w:t>
            </w:r>
          </w:p>
        </w:tc>
        <w:tc>
          <w:tcPr>
            <w:tcW w:w="820" w:type="dxa"/>
            <w:vAlign w:val="bottom"/>
            <w:tcBorders>
              <w:top w:val="single" w:sz="8" w:color="C6093B"/>
              <w:bottom w:val="single" w:sz="8" w:color="C6093B"/>
            </w:tcBorders>
          </w:tcPr>
          <w:p>
            <w:pPr>
              <w:jc w:val="right"/>
              <w:ind w:right="341"/>
              <w:spacing w:after="0" w:line="154" w:lineRule="exact"/>
              <w:rPr>
                <w:sz w:val="20"/>
                <w:szCs w:val="20"/>
                <w:color w:val="auto"/>
              </w:rPr>
            </w:pPr>
            <w:r>
              <w:rPr>
                <w:rFonts w:ascii="Arial" w:cs="Arial" w:eastAsia="Arial" w:hAnsi="Arial"/>
                <w:sz w:val="14"/>
                <w:szCs w:val="14"/>
                <w:b w:val="1"/>
                <w:bCs w:val="1"/>
                <w:color w:val="002856"/>
                <w:w w:val="84"/>
              </w:rPr>
              <w:t>2023 </w:t>
            </w:r>
          </w:p>
        </w:tc>
        <w:tc>
          <w:tcPr>
            <w:tcW w:w="240" w:type="dxa"/>
            <w:vAlign w:val="bottom"/>
            <w:tcBorders>
              <w:top w:val="single" w:sz="8" w:color="C6093B"/>
              <w:bottom w:val="single" w:sz="8" w:color="C6093B"/>
            </w:tcBorders>
          </w:tcPr>
          <w:p>
            <w:pPr>
              <w:jc w:val="right"/>
              <w:spacing w:after="0" w:line="154" w:lineRule="exact"/>
              <w:rPr>
                <w:sz w:val="20"/>
                <w:szCs w:val="20"/>
                <w:color w:val="auto"/>
              </w:rPr>
            </w:pPr>
            <w:r>
              <w:rPr>
                <w:rFonts w:ascii="Arial" w:cs="Arial" w:eastAsia="Arial" w:hAnsi="Arial"/>
                <w:sz w:val="14"/>
                <w:szCs w:val="14"/>
                <w:b w:val="1"/>
                <w:bCs w:val="1"/>
                <w:color w:val="002856"/>
              </w:rPr>
              <w:t> </w:t>
            </w:r>
          </w:p>
        </w:tc>
        <w:tc>
          <w:tcPr>
            <w:tcW w:w="600" w:type="dxa"/>
            <w:vAlign w:val="bottom"/>
            <w:tcBorders>
              <w:top w:val="single" w:sz="8" w:color="C6093B"/>
              <w:bottom w:val="single" w:sz="8" w:color="C6093B"/>
            </w:tcBorders>
          </w:tcPr>
          <w:p>
            <w:pPr>
              <w:jc w:val="right"/>
              <w:ind w:right="100"/>
              <w:spacing w:after="0" w:line="154" w:lineRule="exact"/>
              <w:rPr>
                <w:sz w:val="20"/>
                <w:szCs w:val="20"/>
                <w:color w:val="auto"/>
              </w:rPr>
            </w:pPr>
            <w:r>
              <w:rPr>
                <w:rFonts w:ascii="Arial" w:cs="Arial" w:eastAsia="Arial" w:hAnsi="Arial"/>
                <w:sz w:val="14"/>
                <w:szCs w:val="14"/>
                <w:b w:val="1"/>
                <w:bCs w:val="1"/>
                <w:color w:val="002856"/>
                <w:w w:val="88"/>
              </w:rPr>
              <w:t>2022 </w:t>
            </w:r>
          </w:p>
        </w:tc>
        <w:tc>
          <w:tcPr>
            <w:tcW w:w="200" w:type="dxa"/>
            <w:vAlign w:val="bottom"/>
            <w:tcBorders>
              <w:bottom w:val="single" w:sz="8" w:color="C6093B"/>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120" w:type="dxa"/>
            <w:vAlign w:val="bottom"/>
            <w:tcBorders>
              <w:bottom w:val="single" w:sz="8" w:color="4C4C4C"/>
            </w:tcBorders>
            <w:gridSpan w:val="2"/>
          </w:tcPr>
          <w:p>
            <w:pPr>
              <w:ind w:left="80"/>
              <w:spacing w:after="0"/>
              <w:rPr>
                <w:sz w:val="20"/>
                <w:szCs w:val="20"/>
                <w:color w:val="auto"/>
              </w:rPr>
            </w:pPr>
            <w:r>
              <w:rPr>
                <w:rFonts w:ascii="Arial" w:cs="Arial" w:eastAsia="Arial" w:hAnsi="Arial"/>
                <w:sz w:val="16"/>
                <w:szCs w:val="16"/>
                <w:color w:val="auto"/>
              </w:rPr>
              <w:t>Income Before Income Taxes</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1,146.1</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876.1</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40"/>
              <w:spacing w:after="0"/>
              <w:rPr>
                <w:sz w:val="20"/>
                <w:szCs w:val="20"/>
                <w:color w:val="auto"/>
              </w:rPr>
            </w:pPr>
            <w:r>
              <w:rPr>
                <w:rFonts w:ascii="Arial" w:cs="Arial" w:eastAsia="Arial" w:hAnsi="Arial"/>
                <w:sz w:val="16"/>
                <w:szCs w:val="16"/>
                <w:color w:val="auto"/>
              </w:rPr>
              <w:t>Amortization</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166.0</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Depreciation</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40.0</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Interest</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190.0</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rPr>
                <w:sz w:val="20"/>
                <w:szCs w:val="20"/>
                <w:color w:val="auto"/>
              </w:rPr>
            </w:pPr>
            <w:r>
              <w:rPr>
                <w:rFonts w:ascii="Arial" w:cs="Arial" w:eastAsia="Arial" w:hAnsi="Arial"/>
                <w:sz w:val="16"/>
                <w:szCs w:val="16"/>
                <w:color w:val="auto"/>
              </w:rPr>
              <w:t>   Change in estimated acquisition earn-out payables</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21.8</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line="234" w:lineRule="exact"/>
              <w:rPr>
                <w:sz w:val="20"/>
                <w:szCs w:val="20"/>
                <w:color w:val="auto"/>
              </w:rPr>
            </w:pPr>
            <w:r>
              <w:rPr>
                <w:rFonts w:ascii="Arial" w:cs="Arial" w:eastAsia="Arial" w:hAnsi="Arial"/>
                <w:sz w:val="16"/>
                <w:szCs w:val="16"/>
                <w:color w:val="auto"/>
              </w:rPr>
              <w:t>EBITDAC</w:t>
            </w:r>
            <w:r>
              <w:rPr>
                <w:rFonts w:ascii="Arial" w:cs="Arial" w:eastAsia="Arial" w:hAnsi="Arial"/>
                <w:sz w:val="24"/>
                <w:szCs w:val="24"/>
                <w:color w:val="auto"/>
                <w:vertAlign w:val="superscript"/>
              </w:rPr>
              <w:t>(1)</w:t>
            </w:r>
          </w:p>
        </w:tc>
        <w:tc>
          <w:tcPr>
            <w:tcW w:w="1940" w:type="dxa"/>
            <w:vAlign w:val="bottom"/>
            <w:tcBorders>
              <w:bottom w:val="single" w:sz="8" w:color="4C4C4C"/>
            </w:tcBorders>
            <w:gridSpan w:val="2"/>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1,563.9</w:t>
            </w:r>
          </w:p>
        </w:tc>
        <w:tc>
          <w:tcPr>
            <w:tcW w:w="2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auto"/>
                <w:w w:val="78"/>
              </w:rPr>
              <w:t>  </w:t>
            </w: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1,164.2</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line="234" w:lineRule="exact"/>
              <w:rPr>
                <w:sz w:val="20"/>
                <w:szCs w:val="20"/>
                <w:color w:val="auto"/>
              </w:rPr>
            </w:pPr>
            <w:r>
              <w:rPr>
                <w:rFonts w:ascii="Arial" w:cs="Arial" w:eastAsia="Arial" w:hAnsi="Arial"/>
                <w:sz w:val="16"/>
                <w:szCs w:val="16"/>
                <w:color w:val="auto"/>
              </w:rPr>
              <w:t>Income Before Income Taxes Margin</w:t>
            </w:r>
            <w:r>
              <w:rPr>
                <w:rFonts w:ascii="Arial" w:cs="Arial" w:eastAsia="Arial" w:hAnsi="Arial"/>
                <w:sz w:val="24"/>
                <w:szCs w:val="24"/>
                <w:color w:val="auto"/>
                <w:vertAlign w:val="superscript"/>
              </w:rPr>
              <w:t>(2)</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
              <w:spacing w:after="0"/>
              <w:rPr>
                <w:sz w:val="20"/>
                <w:szCs w:val="20"/>
                <w:color w:val="auto"/>
              </w:rPr>
            </w:pPr>
            <w:r>
              <w:rPr>
                <w:rFonts w:ascii="Arial" w:cs="Arial" w:eastAsia="Arial" w:hAnsi="Arial"/>
                <w:sz w:val="16"/>
                <w:szCs w:val="16"/>
                <w:color w:val="auto"/>
              </w:rPr>
              <w:t>26.9%</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line="234" w:lineRule="exact"/>
              <w:rPr>
                <w:sz w:val="20"/>
                <w:szCs w:val="20"/>
                <w:color w:val="auto"/>
              </w:rPr>
            </w:pPr>
            <w:r>
              <w:rPr>
                <w:rFonts w:ascii="Arial" w:cs="Arial" w:eastAsia="Arial" w:hAnsi="Arial"/>
                <w:sz w:val="16"/>
                <w:szCs w:val="16"/>
                <w:color w:val="auto"/>
              </w:rPr>
              <w:t>EBITDAC Margin</w:t>
            </w:r>
            <w:r>
              <w:rPr>
                <w:rFonts w:ascii="Arial" w:cs="Arial" w:eastAsia="Arial" w:hAnsi="Arial"/>
                <w:sz w:val="24"/>
                <w:szCs w:val="24"/>
                <w:color w:val="auto"/>
                <w:vertAlign w:val="superscript"/>
              </w:rPr>
              <w:t>(3)</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
              <w:spacing w:after="0"/>
              <w:rPr>
                <w:sz w:val="20"/>
                <w:szCs w:val="20"/>
                <w:color w:val="auto"/>
              </w:rPr>
            </w:pPr>
            <w:r>
              <w:rPr>
                <w:rFonts w:ascii="Arial" w:cs="Arial" w:eastAsia="Arial" w:hAnsi="Arial"/>
                <w:sz w:val="16"/>
                <w:szCs w:val="16"/>
                <w:color w:val="auto"/>
              </w:rPr>
              <w:t>36.7%</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Loss/(Gain) on disposal</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01"/>
              <w:spacing w:after="0"/>
              <w:rPr>
                <w:sz w:val="20"/>
                <w:szCs w:val="20"/>
                <w:color w:val="auto"/>
              </w:rPr>
            </w:pPr>
            <w:r>
              <w:rPr>
                <w:rFonts w:ascii="Arial" w:cs="Arial" w:eastAsia="Arial" w:hAnsi="Arial"/>
                <w:sz w:val="16"/>
                <w:szCs w:val="16"/>
                <w:color w:val="auto"/>
              </w:rPr>
              <w:t>(143.3)</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rPr>
                <w:sz w:val="20"/>
                <w:szCs w:val="20"/>
                <w:color w:val="auto"/>
              </w:rPr>
            </w:pPr>
            <w:r>
              <w:rPr>
                <w:rFonts w:ascii="Arial" w:cs="Arial" w:eastAsia="Arial" w:hAnsi="Arial"/>
                <w:sz w:val="16"/>
                <w:szCs w:val="16"/>
                <w:color w:val="auto"/>
              </w:rPr>
              <w:t>   Non-cash stock-based compensation expense impact in excess of budget</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40"/>
              <w:spacing w:after="0"/>
              <w:rPr>
                <w:sz w:val="20"/>
                <w:szCs w:val="20"/>
                <w:color w:val="auto"/>
              </w:rPr>
            </w:pPr>
            <w:r>
              <w:rPr>
                <w:rFonts w:ascii="Arial" w:cs="Arial" w:eastAsia="Arial" w:hAnsi="Arial"/>
                <w:sz w:val="16"/>
                <w:szCs w:val="16"/>
                <w:color w:val="auto"/>
              </w:rPr>
              <w:t>Acquisition/Integration Costs</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Foreign Currency Translation</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180" w:type="dxa"/>
            <w:vAlign w:val="bottom"/>
            <w:tcBorders>
              <w:bottom w:val="single" w:sz="8" w:color="4C4C4C"/>
            </w:tcBorders>
          </w:tcPr>
          <w:p>
            <w:pPr>
              <w:ind w:left="80"/>
              <w:spacing w:after="0"/>
              <w:rPr>
                <w:sz w:val="20"/>
                <w:szCs w:val="20"/>
                <w:color w:val="auto"/>
              </w:rPr>
            </w:pPr>
            <w:r>
              <w:rPr>
                <w:rFonts w:ascii="Arial" w:cs="Arial" w:eastAsia="Arial" w:hAnsi="Arial"/>
                <w:sz w:val="11"/>
                <w:szCs w:val="11"/>
                <w:color w:val="auto"/>
                <w:w w:val="72"/>
              </w:rPr>
              <w:t> </w:t>
            </w:r>
          </w:p>
        </w:tc>
        <w:tc>
          <w:tcPr>
            <w:tcW w:w="694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auto"/>
              </w:rPr>
              <w:t>1Q23 Nonrecurring Cost</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11.0</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120" w:type="dxa"/>
            <w:vAlign w:val="bottom"/>
            <w:tcBorders>
              <w:bottom w:val="single" w:sz="8" w:color="4C4C4C"/>
            </w:tcBorders>
            <w:gridSpan w:val="2"/>
          </w:tcPr>
          <w:p>
            <w:pPr>
              <w:ind w:left="80"/>
              <w:spacing w:after="0" w:line="234" w:lineRule="exact"/>
              <w:rPr>
                <w:sz w:val="20"/>
                <w:szCs w:val="20"/>
                <w:color w:val="auto"/>
              </w:rPr>
            </w:pPr>
            <w:r>
              <w:rPr>
                <w:rFonts w:ascii="Arial" w:cs="Arial" w:eastAsia="Arial" w:hAnsi="Arial"/>
                <w:sz w:val="16"/>
                <w:szCs w:val="16"/>
                <w:color w:val="auto"/>
              </w:rPr>
              <w:t>Adjusted EBITDAC</w:t>
            </w:r>
            <w:r>
              <w:rPr>
                <w:rFonts w:ascii="Arial" w:cs="Arial" w:eastAsia="Arial" w:hAnsi="Arial"/>
                <w:sz w:val="24"/>
                <w:szCs w:val="24"/>
                <w:color w:val="auto"/>
                <w:vertAlign w:val="superscript"/>
              </w:rPr>
              <w:t>(4)</w:t>
            </w:r>
          </w:p>
        </w:tc>
        <w:tc>
          <w:tcPr>
            <w:tcW w:w="1760" w:type="dxa"/>
            <w:vAlign w:val="bottom"/>
            <w:tcBorders>
              <w:bottom w:val="single" w:sz="8" w:color="4C4C4C"/>
            </w:tcBorders>
          </w:tcPr>
          <w:p>
            <w:pPr>
              <w:spacing w:after="0"/>
              <w:rPr>
                <w:sz w:val="20"/>
                <w:szCs w:val="20"/>
                <w:color w:val="auto"/>
              </w:rPr>
            </w:pPr>
          </w:p>
        </w:tc>
        <w:tc>
          <w:tcPr>
            <w:tcW w:w="180" w:type="dxa"/>
            <w:vAlign w:val="bottom"/>
            <w:tcBorders>
              <w:bottom w:val="single" w:sz="8" w:color="4C4C4C"/>
            </w:tcBorders>
          </w:tcPr>
          <w:p>
            <w:pPr>
              <w:spacing w:after="0"/>
              <w:rPr>
                <w:sz w:val="20"/>
                <w:szCs w:val="20"/>
                <w:color w:val="auto"/>
              </w:rPr>
            </w:pPr>
          </w:p>
        </w:tc>
        <w:tc>
          <w:tcPr>
            <w:tcW w:w="820" w:type="dxa"/>
            <w:vAlign w:val="bottom"/>
            <w:tcBorders>
              <w:bottom w:val="single" w:sz="8" w:color="4C4C4C"/>
            </w:tcBorders>
          </w:tcPr>
          <w:p>
            <w:pPr>
              <w:jc w:val="right"/>
              <w:ind w:right="141"/>
              <w:spacing w:after="0"/>
              <w:rPr>
                <w:sz w:val="20"/>
                <w:szCs w:val="20"/>
                <w:color w:val="auto"/>
              </w:rPr>
            </w:pPr>
            <w:r>
              <w:rPr>
                <w:rFonts w:ascii="Arial" w:cs="Arial" w:eastAsia="Arial" w:hAnsi="Arial"/>
                <w:sz w:val="16"/>
                <w:szCs w:val="16"/>
                <w:color w:val="auto"/>
              </w:rPr>
              <w:t>1,454.4</w:t>
            </w:r>
          </w:p>
        </w:tc>
        <w:tc>
          <w:tcPr>
            <w:tcW w:w="240" w:type="dxa"/>
            <w:vAlign w:val="bottom"/>
            <w:tcBorders>
              <w:bottom w:val="single" w:sz="8" w:color="4C4C4C"/>
            </w:tcBorders>
          </w:tcPr>
          <w:p>
            <w:pPr>
              <w:spacing w:after="0"/>
              <w:rPr>
                <w:sz w:val="20"/>
                <w:szCs w:val="20"/>
                <w:color w:val="auto"/>
              </w:rPr>
            </w:pPr>
          </w:p>
        </w:tc>
        <w:tc>
          <w:tcPr>
            <w:tcW w:w="800" w:type="dxa"/>
            <w:vAlign w:val="bottom"/>
            <w:tcBorders>
              <w:bottom w:val="single" w:sz="8" w:color="4C4C4C"/>
            </w:tcBorders>
            <w:gridSpan w:val="2"/>
          </w:tcPr>
          <w:p>
            <w:pPr>
              <w:jc w:val="right"/>
              <w:ind w:right="200"/>
              <w:spacing w:after="0"/>
              <w:rPr>
                <w:sz w:val="20"/>
                <w:szCs w:val="20"/>
                <w:color w:val="auto"/>
              </w:rPr>
            </w:pPr>
            <w:r>
              <w:rPr>
                <w:rFonts w:ascii="Arial" w:cs="Arial" w:eastAsia="Arial" w:hAnsi="Arial"/>
                <w:sz w:val="16"/>
                <w:szCs w:val="16"/>
                <w:color w:val="auto"/>
              </w:rPr>
              <w:t>1,174.8</w:t>
            </w:r>
          </w:p>
        </w:tc>
        <w:tc>
          <w:tcPr>
            <w:tcW w:w="0" w:type="dxa"/>
            <w:vAlign w:val="bottom"/>
          </w:tcPr>
          <w:p>
            <w:pPr>
              <w:spacing w:after="0"/>
              <w:rPr>
                <w:sz w:val="1"/>
                <w:szCs w:val="1"/>
                <w:color w:val="auto"/>
              </w:rPr>
            </w:pPr>
          </w:p>
        </w:tc>
      </w:tr>
      <w:tr>
        <w:trPr>
          <w:trHeight w:val="241"/>
        </w:trPr>
        <w:tc>
          <w:tcPr>
            <w:tcW w:w="7120" w:type="dxa"/>
            <w:vAlign w:val="bottom"/>
            <w:tcBorders>
              <w:bottom w:val="single" w:sz="8" w:color="C6093B"/>
            </w:tcBorders>
            <w:gridSpan w:val="2"/>
          </w:tcPr>
          <w:p>
            <w:pPr>
              <w:ind w:left="80"/>
              <w:spacing w:after="0" w:line="234" w:lineRule="exact"/>
              <w:rPr>
                <w:sz w:val="20"/>
                <w:szCs w:val="20"/>
                <w:color w:val="auto"/>
              </w:rPr>
            </w:pPr>
            <w:r>
              <w:rPr>
                <w:rFonts w:ascii="Arial" w:cs="Arial" w:eastAsia="Arial" w:hAnsi="Arial"/>
                <w:sz w:val="16"/>
                <w:szCs w:val="16"/>
                <w:color w:val="auto"/>
              </w:rPr>
              <w:t>Adjusted EBITDAC Margin</w:t>
            </w:r>
            <w:r>
              <w:rPr>
                <w:rFonts w:ascii="Arial" w:cs="Arial" w:eastAsia="Arial" w:hAnsi="Arial"/>
                <w:sz w:val="24"/>
                <w:szCs w:val="24"/>
                <w:color w:val="auto"/>
                <w:vertAlign w:val="superscript"/>
              </w:rPr>
              <w:t>(4)</w:t>
            </w:r>
          </w:p>
        </w:tc>
        <w:tc>
          <w:tcPr>
            <w:tcW w:w="1760" w:type="dxa"/>
            <w:vAlign w:val="bottom"/>
            <w:tcBorders>
              <w:bottom w:val="single" w:sz="8" w:color="C6093B"/>
            </w:tcBorders>
          </w:tcPr>
          <w:p>
            <w:pPr>
              <w:spacing w:after="0"/>
              <w:rPr>
                <w:sz w:val="20"/>
                <w:szCs w:val="20"/>
                <w:color w:val="auto"/>
              </w:rPr>
            </w:pPr>
          </w:p>
        </w:tc>
        <w:tc>
          <w:tcPr>
            <w:tcW w:w="180" w:type="dxa"/>
            <w:vAlign w:val="bottom"/>
            <w:tcBorders>
              <w:bottom w:val="single" w:sz="8" w:color="C6093B"/>
            </w:tcBorders>
          </w:tcPr>
          <w:p>
            <w:pPr>
              <w:spacing w:after="0"/>
              <w:rPr>
                <w:sz w:val="20"/>
                <w:szCs w:val="20"/>
                <w:color w:val="auto"/>
              </w:rPr>
            </w:pPr>
          </w:p>
        </w:tc>
        <w:tc>
          <w:tcPr>
            <w:tcW w:w="820" w:type="dxa"/>
            <w:vAlign w:val="bottom"/>
            <w:tcBorders>
              <w:bottom w:val="single" w:sz="8" w:color="C6093B"/>
            </w:tcBorders>
          </w:tcPr>
          <w:p>
            <w:pPr>
              <w:jc w:val="right"/>
              <w:ind w:right="1"/>
              <w:spacing w:after="0"/>
              <w:rPr>
                <w:sz w:val="20"/>
                <w:szCs w:val="20"/>
                <w:color w:val="auto"/>
              </w:rPr>
            </w:pPr>
            <w:r>
              <w:rPr>
                <w:rFonts w:ascii="Arial" w:cs="Arial" w:eastAsia="Arial" w:hAnsi="Arial"/>
                <w:sz w:val="16"/>
                <w:szCs w:val="16"/>
                <w:color w:val="auto"/>
              </w:rPr>
              <w:t>34.2%</w:t>
            </w:r>
          </w:p>
        </w:tc>
        <w:tc>
          <w:tcPr>
            <w:tcW w:w="240" w:type="dxa"/>
            <w:vAlign w:val="bottom"/>
            <w:tcBorders>
              <w:bottom w:val="single" w:sz="8" w:color="C6093B"/>
            </w:tcBorders>
          </w:tcPr>
          <w:p>
            <w:pPr>
              <w:spacing w:after="0"/>
              <w:rPr>
                <w:sz w:val="20"/>
                <w:szCs w:val="20"/>
                <w:color w:val="auto"/>
              </w:rPr>
            </w:pPr>
          </w:p>
        </w:tc>
        <w:tc>
          <w:tcPr>
            <w:tcW w:w="800" w:type="dxa"/>
            <w:vAlign w:val="bottom"/>
            <w:tcBorders>
              <w:bottom w:val="single" w:sz="8" w:color="C6093B"/>
            </w:tcBorders>
            <w:gridSpan w:val="2"/>
          </w:tcPr>
          <w:p>
            <w:pPr>
              <w:jc w:val="right"/>
              <w:ind w:right="6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20" w:hanging="213"/>
        <w:spacing w:after="0"/>
        <w:tabs>
          <w:tab w:leader="none" w:pos="220" w:val="left"/>
        </w:tabs>
        <w:numPr>
          <w:ilvl w:val="0"/>
          <w:numId w:val="71"/>
        </w:numPr>
        <w:rPr>
          <w:rFonts w:ascii="Arial" w:cs="Arial" w:eastAsia="Arial" w:hAnsi="Arial"/>
          <w:sz w:val="19"/>
          <w:szCs w:val="19"/>
          <w:color w:val="auto"/>
          <w:vertAlign w:val="superscript"/>
        </w:rPr>
      </w:pPr>
      <w:r>
        <w:rPr>
          <w:rFonts w:ascii="Arial" w:cs="Arial" w:eastAsia="Arial" w:hAnsi="Arial"/>
          <w:sz w:val="12"/>
          <w:szCs w:val="12"/>
          <w:color w:val="auto"/>
        </w:rPr>
        <w:t>“EBITDAC,” which is a non-GAAP financial measure, is defined as income before interest, income taxes, depreciation, amortization and the change in estimated acquisition earn-out payables.</w:t>
      </w:r>
    </w:p>
    <w:p>
      <w:pPr>
        <w:spacing w:after="0" w:line="61" w:lineRule="exact"/>
        <w:rPr>
          <w:rFonts w:ascii="Arial" w:cs="Arial" w:eastAsia="Arial" w:hAnsi="Arial"/>
          <w:sz w:val="19"/>
          <w:szCs w:val="19"/>
          <w:color w:val="auto"/>
          <w:vertAlign w:val="superscript"/>
        </w:rPr>
      </w:pPr>
    </w:p>
    <w:p>
      <w:pPr>
        <w:ind w:left="220" w:hanging="213"/>
        <w:spacing w:after="0" w:line="187" w:lineRule="auto"/>
        <w:tabs>
          <w:tab w:leader="none" w:pos="220" w:val="left"/>
        </w:tabs>
        <w:numPr>
          <w:ilvl w:val="0"/>
          <w:numId w:val="71"/>
        </w:numPr>
        <w:rPr>
          <w:rFonts w:ascii="Arial" w:cs="Arial" w:eastAsia="Arial" w:hAnsi="Arial"/>
          <w:sz w:val="17"/>
          <w:szCs w:val="17"/>
          <w:color w:val="auto"/>
          <w:vertAlign w:val="superscript"/>
        </w:rPr>
      </w:pPr>
      <w:r>
        <w:rPr>
          <w:rFonts w:ascii="Arial" w:cs="Arial" w:eastAsia="Arial" w:hAnsi="Arial"/>
          <w:sz w:val="11"/>
          <w:szCs w:val="11"/>
          <w:color w:val="auto"/>
        </w:rPr>
        <w:t>Income Before Income Taxes Margin is calculated as the Company’s income before income taxes, as reported, divided by total revenues, as reported.</w:t>
      </w:r>
    </w:p>
    <w:p>
      <w:pPr>
        <w:spacing w:after="0" w:line="61" w:lineRule="exact"/>
        <w:rPr>
          <w:rFonts w:ascii="Arial" w:cs="Arial" w:eastAsia="Arial" w:hAnsi="Arial"/>
          <w:sz w:val="17"/>
          <w:szCs w:val="17"/>
          <w:color w:val="auto"/>
          <w:vertAlign w:val="superscript"/>
        </w:rPr>
      </w:pPr>
    </w:p>
    <w:p>
      <w:pPr>
        <w:ind w:left="220" w:hanging="213"/>
        <w:spacing w:after="0" w:line="187" w:lineRule="auto"/>
        <w:tabs>
          <w:tab w:leader="none" w:pos="220" w:val="left"/>
        </w:tabs>
        <w:numPr>
          <w:ilvl w:val="0"/>
          <w:numId w:val="71"/>
        </w:numPr>
        <w:rPr>
          <w:rFonts w:ascii="Arial" w:cs="Arial" w:eastAsia="Arial" w:hAnsi="Arial"/>
          <w:sz w:val="17"/>
          <w:szCs w:val="17"/>
          <w:color w:val="auto"/>
          <w:vertAlign w:val="superscript"/>
        </w:rPr>
      </w:pPr>
      <w:r>
        <w:rPr>
          <w:rFonts w:ascii="Arial" w:cs="Arial" w:eastAsia="Arial" w:hAnsi="Arial"/>
          <w:sz w:val="11"/>
          <w:szCs w:val="11"/>
          <w:color w:val="auto"/>
        </w:rPr>
        <w:t>“EBITDAC Margin,” which is a non-GAAP financial measure, is defined as EBITDAC divided by total revenues.</w:t>
      </w:r>
    </w:p>
    <w:p>
      <w:pPr>
        <w:spacing w:after="0" w:line="61" w:lineRule="exact"/>
        <w:rPr>
          <w:rFonts w:ascii="Arial" w:cs="Arial" w:eastAsia="Arial" w:hAnsi="Arial"/>
          <w:sz w:val="17"/>
          <w:szCs w:val="17"/>
          <w:color w:val="auto"/>
          <w:vertAlign w:val="superscript"/>
        </w:rPr>
      </w:pPr>
    </w:p>
    <w:p>
      <w:pPr>
        <w:ind w:left="220" w:right="160" w:hanging="213"/>
        <w:spacing w:after="0" w:line="210" w:lineRule="auto"/>
        <w:tabs>
          <w:tab w:leader="none" w:pos="220" w:val="left"/>
        </w:tabs>
        <w:numPr>
          <w:ilvl w:val="0"/>
          <w:numId w:val="71"/>
        </w:numPr>
        <w:rPr>
          <w:rFonts w:ascii="Arial" w:cs="Arial" w:eastAsia="Arial" w:hAnsi="Arial"/>
          <w:sz w:val="19"/>
          <w:szCs w:val="19"/>
          <w:color w:val="auto"/>
          <w:vertAlign w:val="superscript"/>
        </w:rPr>
      </w:pPr>
      <w:r>
        <w:rPr>
          <w:rFonts w:ascii="Arial" w:cs="Arial" w:eastAsia="Arial" w:hAnsi="Arial"/>
          <w:sz w:val="12"/>
          <w:szCs w:val="12"/>
          <w:color w:val="auto"/>
        </w:rPr>
        <w:t>“Adjusted EBITDAC” and “Adjusted EBITDAC Margin,” which are both non-GAAP financial measures, are defined as EBITDAC and EBITDAC Margin, respectively, in each case adjusted to exclude (i) for 2022 and 2023, the positive impact of the net gain on disposal resulting from sales of books of business, (ii) for 2022 and 2023, the negative impact of the Company’s non-cash stock-based compensation expense in excess of what was reflected in the Company’s Board-approved annual budget, (iii) for 2022 and 2023, the negative impact of the Acquisition/Integration Costs, (iv) for 2022 and 2023, Foreign Currency Translation, and (v) for 2023, the negative impact of the 1Q23 Nonrecurring Cost.</w:t>
      </w:r>
    </w:p>
    <w:p>
      <w:pPr>
        <w:spacing w:after="0" w:line="125" w:lineRule="exact"/>
        <w:rPr>
          <w:sz w:val="20"/>
          <w:szCs w:val="20"/>
          <w:color w:val="auto"/>
        </w:rPr>
      </w:pPr>
    </w:p>
    <w:p>
      <w:pPr>
        <w:ind w:left="8960"/>
        <w:spacing w:after="0"/>
        <w:rPr>
          <w:sz w:val="20"/>
          <w:szCs w:val="20"/>
          <w:color w:val="auto"/>
        </w:rPr>
      </w:pPr>
      <w:r>
        <w:rPr>
          <w:rFonts w:ascii="Arial" w:cs="Arial" w:eastAsia="Arial" w:hAnsi="Arial"/>
          <w:sz w:val="13"/>
          <w:szCs w:val="13"/>
          <w:color w:val="4C4C4C"/>
        </w:rPr>
        <w:t xml:space="preserve">BROWN &amp; BROWN, INC.  |  </w:t>
      </w:r>
      <w:r>
        <w:rPr>
          <w:rFonts w:ascii="Arial" w:cs="Arial" w:eastAsia="Arial" w:hAnsi="Arial"/>
          <w:sz w:val="13"/>
          <w:szCs w:val="13"/>
          <w:b w:val="1"/>
          <w:bCs w:val="1"/>
          <w:color w:val="002856"/>
        </w:rPr>
        <w:t>71</w:t>
      </w:r>
    </w:p>
    <w:p>
      <w:pPr>
        <w:sectPr>
          <w:pgSz w:w="11900" w:h="16838" w:orient="portrait"/>
          <w:cols w:equalWidth="0" w:num="1">
            <w:col w:w="10920"/>
          </w:cols>
          <w:pgMar w:left="480" w:top="304" w:right="49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2856"/>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ANNEX A INFORMATION REGARDING NON-GAAP FINANCIAL MEASURES</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1D4F90"/>
        </w:rPr>
        <w:t>Reconciliation of Diluted Net Income Per Share to Adjusted EPS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diluted earnings per share, included in the Consolidated Statement of Income, to Adjusted EPS for the 12-month periods ended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2021 and 2020, is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for diluted net income per share and Adjusted EPS,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Weighted</w:t>
            </w:r>
          </w:p>
        </w:tc>
        <w:tc>
          <w:tcPr>
            <w:tcW w:w="9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Change in</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2856"/>
              </w:rPr>
              <w:t>Adjusted</w:t>
            </w:r>
          </w:p>
        </w:tc>
        <w:tc>
          <w:tcPr>
            <w:tcW w:w="740" w:type="dxa"/>
            <w:vAlign w:val="bottom"/>
          </w:tcPr>
          <w:p>
            <w:pPr>
              <w:spacing w:after="0"/>
              <w:rPr>
                <w:sz w:val="14"/>
                <w:szCs w:val="14"/>
                <w:color w:val="auto"/>
              </w:rPr>
            </w:pPr>
          </w:p>
        </w:tc>
      </w:tr>
      <w:tr>
        <w:trPr>
          <w:trHeight w:val="160"/>
        </w:trPr>
        <w:tc>
          <w:tcPr>
            <w:tcW w:w="1800" w:type="dxa"/>
            <w:vAlign w:val="bottom"/>
          </w:tcPr>
          <w:p>
            <w:pPr>
              <w:spacing w:after="0"/>
              <w:rPr>
                <w:sz w:val="13"/>
                <w:szCs w:val="13"/>
                <w:color w:val="auto"/>
              </w:rPr>
            </w:pPr>
          </w:p>
        </w:tc>
        <w:tc>
          <w:tcPr>
            <w:tcW w:w="1540" w:type="dxa"/>
            <w:vAlign w:val="bottom"/>
          </w:tcPr>
          <w:p>
            <w:pPr>
              <w:jc w:val="center"/>
              <w:ind w:left="609"/>
              <w:spacing w:after="0"/>
              <w:rPr>
                <w:sz w:val="20"/>
                <w:szCs w:val="20"/>
                <w:color w:val="auto"/>
              </w:rPr>
            </w:pPr>
            <w:r>
              <w:rPr>
                <w:rFonts w:ascii="Arial" w:cs="Arial" w:eastAsia="Arial" w:hAnsi="Arial"/>
                <w:sz w:val="14"/>
                <w:szCs w:val="14"/>
                <w:b w:val="1"/>
                <w:bCs w:val="1"/>
                <w:color w:val="002856"/>
              </w:rPr>
              <w:t>Diluted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Average</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002856"/>
              </w:rPr>
              <w:t>Net Income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rPr>
              <w:t>Estimated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rPr>
              <w:t>After-Tax</w:t>
            </w:r>
          </w:p>
        </w:tc>
        <w:tc>
          <w:tcPr>
            <w:tcW w:w="10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2856"/>
              </w:rPr>
              <w:t>Net Income</w:t>
            </w:r>
          </w:p>
        </w:tc>
        <w:tc>
          <w:tcPr>
            <w:tcW w:w="740" w:type="dxa"/>
            <w:vAlign w:val="bottom"/>
          </w:tcPr>
          <w:p>
            <w:pPr>
              <w:spacing w:after="0"/>
              <w:rPr>
                <w:sz w:val="13"/>
                <w:szCs w:val="13"/>
                <w:color w:val="auto"/>
              </w:rPr>
            </w:pPr>
          </w:p>
        </w:tc>
      </w:tr>
      <w:tr>
        <w:trPr>
          <w:trHeight w:val="160"/>
        </w:trPr>
        <w:tc>
          <w:tcPr>
            <w:tcW w:w="1800" w:type="dxa"/>
            <w:vAlign w:val="bottom"/>
          </w:tcPr>
          <w:p>
            <w:pPr>
              <w:spacing w:after="0"/>
              <w:rPr>
                <w:sz w:val="13"/>
                <w:szCs w:val="13"/>
                <w:color w:val="auto"/>
              </w:rPr>
            </w:pPr>
          </w:p>
        </w:tc>
        <w:tc>
          <w:tcPr>
            <w:tcW w:w="1540" w:type="dxa"/>
            <w:vAlign w:val="bottom"/>
          </w:tcPr>
          <w:p>
            <w:pPr>
              <w:jc w:val="center"/>
              <w:ind w:left="609"/>
              <w:spacing w:after="0"/>
              <w:rPr>
                <w:sz w:val="20"/>
                <w:szCs w:val="20"/>
                <w:color w:val="auto"/>
              </w:rPr>
            </w:pPr>
            <w:r>
              <w:rPr>
                <w:rFonts w:ascii="Arial" w:cs="Arial" w:eastAsia="Arial" w:hAnsi="Arial"/>
                <w:sz w:val="14"/>
                <w:szCs w:val="14"/>
                <w:b w:val="1"/>
                <w:bCs w:val="1"/>
                <w:color w:val="002856"/>
                <w:w w:val="97"/>
              </w:rPr>
              <w:t>Net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856"/>
              </w:rPr>
              <w:t>Number of Shares</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002856"/>
              </w:rPr>
              <w:t>Attributable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2856"/>
                <w:w w:val="99"/>
              </w:rPr>
              <w:t>Acquisition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856"/>
                <w:w w:val="99"/>
              </w:rPr>
              <w:t>Effect of</w:t>
            </w:r>
          </w:p>
        </w:tc>
        <w:tc>
          <w:tcPr>
            <w:tcW w:w="1040" w:type="dxa"/>
            <w:vAlign w:val="bottom"/>
          </w:tcPr>
          <w:p>
            <w:pPr>
              <w:jc w:val="right"/>
              <w:ind w:right="149"/>
              <w:spacing w:after="0"/>
              <w:rPr>
                <w:sz w:val="20"/>
                <w:szCs w:val="20"/>
                <w:color w:val="auto"/>
              </w:rPr>
            </w:pPr>
            <w:r>
              <w:rPr>
                <w:rFonts w:ascii="Arial" w:cs="Arial" w:eastAsia="Arial" w:hAnsi="Arial"/>
                <w:sz w:val="14"/>
                <w:szCs w:val="14"/>
                <w:b w:val="1"/>
                <w:bCs w:val="1"/>
                <w:color w:val="002856"/>
              </w:rPr>
              <w:t>After-Tax</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002856"/>
              </w:rPr>
              <w:t>Attributable</w:t>
            </w:r>
          </w:p>
        </w:tc>
        <w:tc>
          <w:tcPr>
            <w:tcW w:w="740" w:type="dxa"/>
            <w:vAlign w:val="bottom"/>
          </w:tcPr>
          <w:p>
            <w:pPr>
              <w:spacing w:after="0"/>
              <w:rPr>
                <w:sz w:val="13"/>
                <w:szCs w:val="13"/>
                <w:color w:val="auto"/>
              </w:rPr>
            </w:pPr>
          </w:p>
        </w:tc>
      </w:tr>
      <w:tr>
        <w:trPr>
          <w:trHeight w:val="157"/>
        </w:trPr>
        <w:tc>
          <w:tcPr>
            <w:tcW w:w="1800" w:type="dxa"/>
            <w:vAlign w:val="bottom"/>
          </w:tcPr>
          <w:p>
            <w:pPr>
              <w:spacing w:after="0"/>
              <w:rPr>
                <w:sz w:val="13"/>
                <w:szCs w:val="13"/>
                <w:color w:val="auto"/>
              </w:rPr>
            </w:pPr>
          </w:p>
        </w:tc>
        <w:tc>
          <w:tcPr>
            <w:tcW w:w="1540" w:type="dxa"/>
            <w:vAlign w:val="bottom"/>
          </w:tcPr>
          <w:p>
            <w:pPr>
              <w:jc w:val="center"/>
              <w:ind w:left="609"/>
              <w:spacing w:after="0" w:line="157" w:lineRule="exact"/>
              <w:rPr>
                <w:sz w:val="20"/>
                <w:szCs w:val="20"/>
                <w:color w:val="auto"/>
              </w:rPr>
            </w:pPr>
            <w:r>
              <w:rPr>
                <w:rFonts w:ascii="Arial" w:cs="Arial" w:eastAsia="Arial" w:hAnsi="Arial"/>
                <w:sz w:val="14"/>
                <w:szCs w:val="14"/>
                <w:b w:val="1"/>
                <w:bCs w:val="1"/>
                <w:color w:val="002856"/>
              </w:rPr>
              <w:t>Income</w:t>
            </w:r>
          </w:p>
        </w:tc>
        <w:tc>
          <w:tcPr>
            <w:tcW w:w="140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Outstanding-</w:t>
            </w:r>
          </w:p>
        </w:tc>
        <w:tc>
          <w:tcPr>
            <w:tcW w:w="980" w:type="dxa"/>
            <w:vAlign w:val="bottom"/>
          </w:tcPr>
          <w:p>
            <w:pPr>
              <w:jc w:val="right"/>
              <w:ind w:right="29"/>
              <w:spacing w:after="0" w:line="157" w:lineRule="exact"/>
              <w:rPr>
                <w:sz w:val="20"/>
                <w:szCs w:val="20"/>
                <w:color w:val="auto"/>
              </w:rPr>
            </w:pPr>
            <w:r>
              <w:rPr>
                <w:rFonts w:ascii="Arial" w:cs="Arial" w:eastAsia="Arial" w:hAnsi="Arial"/>
                <w:sz w:val="14"/>
                <w:szCs w:val="14"/>
                <w:b w:val="1"/>
                <w:bCs w:val="1"/>
                <w:color w:val="002856"/>
              </w:rPr>
              <w:t>to Common</w:t>
            </w:r>
          </w:p>
        </w:tc>
        <w:tc>
          <w:tcPr>
            <w:tcW w:w="142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Earnout Payables</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002856"/>
              </w:rPr>
              <w:t>Adjustment</w:t>
            </w:r>
          </w:p>
        </w:tc>
        <w:tc>
          <w:tcPr>
            <w:tcW w:w="1040" w:type="dxa"/>
            <w:vAlign w:val="bottom"/>
          </w:tcPr>
          <w:p>
            <w:pPr>
              <w:jc w:val="right"/>
              <w:ind w:right="9"/>
              <w:spacing w:after="0" w:line="157" w:lineRule="exact"/>
              <w:rPr>
                <w:sz w:val="20"/>
                <w:szCs w:val="20"/>
                <w:color w:val="auto"/>
              </w:rPr>
            </w:pPr>
            <w:r>
              <w:rPr>
                <w:rFonts w:ascii="Arial" w:cs="Arial" w:eastAsia="Arial" w:hAnsi="Arial"/>
                <w:sz w:val="14"/>
                <w:szCs w:val="14"/>
                <w:b w:val="1"/>
                <w:bCs w:val="1"/>
                <w:color w:val="002856"/>
              </w:rPr>
              <w:t>Adjustments</w:t>
            </w:r>
          </w:p>
        </w:tc>
        <w:tc>
          <w:tcPr>
            <w:tcW w:w="980" w:type="dxa"/>
            <w:vAlign w:val="bottom"/>
          </w:tcPr>
          <w:p>
            <w:pPr>
              <w:jc w:val="right"/>
              <w:ind w:right="29"/>
              <w:spacing w:after="0" w:line="157" w:lineRule="exact"/>
              <w:rPr>
                <w:sz w:val="20"/>
                <w:szCs w:val="20"/>
                <w:color w:val="auto"/>
              </w:rPr>
            </w:pPr>
            <w:r>
              <w:rPr>
                <w:rFonts w:ascii="Arial" w:cs="Arial" w:eastAsia="Arial" w:hAnsi="Arial"/>
                <w:sz w:val="14"/>
                <w:szCs w:val="14"/>
                <w:b w:val="1"/>
                <w:bCs w:val="1"/>
                <w:color w:val="002856"/>
              </w:rPr>
              <w:t>to Common</w:t>
            </w:r>
          </w:p>
        </w:tc>
        <w:tc>
          <w:tcPr>
            <w:tcW w:w="740" w:type="dxa"/>
            <w:vAlign w:val="bottom"/>
          </w:tcPr>
          <w:p>
            <w:pPr>
              <w:jc w:val="right"/>
              <w:spacing w:after="0" w:line="157" w:lineRule="exact"/>
              <w:rPr>
                <w:sz w:val="20"/>
                <w:szCs w:val="20"/>
                <w:color w:val="auto"/>
              </w:rPr>
            </w:pPr>
            <w:r>
              <w:rPr>
                <w:rFonts w:ascii="Arial" w:cs="Arial" w:eastAsia="Arial" w:hAnsi="Arial"/>
                <w:sz w:val="14"/>
                <w:szCs w:val="14"/>
                <w:b w:val="1"/>
                <w:bCs w:val="1"/>
                <w:color w:val="002856"/>
              </w:rPr>
              <w:t>Adjusted</w:t>
            </w:r>
          </w:p>
        </w:tc>
      </w:tr>
      <w:tr>
        <w:trPr>
          <w:trHeight w:val="180"/>
        </w:trPr>
        <w:tc>
          <w:tcPr>
            <w:tcW w:w="1800" w:type="dxa"/>
            <w:vAlign w:val="bottom"/>
            <w:tcBorders>
              <w:bottom w:val="single" w:sz="8" w:color="C6093B"/>
            </w:tcBorders>
          </w:tcPr>
          <w:p>
            <w:pPr>
              <w:ind w:left="80"/>
              <w:spacing w:after="0"/>
              <w:rPr>
                <w:sz w:val="20"/>
                <w:szCs w:val="20"/>
                <w:color w:val="auto"/>
              </w:rPr>
            </w:pPr>
            <w:r>
              <w:rPr>
                <w:rFonts w:ascii="Arial" w:cs="Arial" w:eastAsia="Arial" w:hAnsi="Arial"/>
                <w:sz w:val="14"/>
                <w:szCs w:val="14"/>
                <w:b w:val="1"/>
                <w:bCs w:val="1"/>
                <w:color w:val="002856"/>
              </w:rPr>
              <w:t>Calendar Year</w:t>
            </w:r>
          </w:p>
        </w:tc>
        <w:tc>
          <w:tcPr>
            <w:tcW w:w="1540" w:type="dxa"/>
            <w:vAlign w:val="bottom"/>
            <w:tcBorders>
              <w:bottom w:val="single" w:sz="8" w:color="C6093B"/>
            </w:tcBorders>
          </w:tcPr>
          <w:p>
            <w:pPr>
              <w:jc w:val="right"/>
              <w:ind w:right="29"/>
              <w:spacing w:after="0"/>
              <w:rPr>
                <w:sz w:val="20"/>
                <w:szCs w:val="20"/>
                <w:color w:val="auto"/>
              </w:rPr>
            </w:pPr>
            <w:r>
              <w:rPr>
                <w:rFonts w:ascii="Arial" w:cs="Arial" w:eastAsia="Arial" w:hAnsi="Arial"/>
                <w:sz w:val="14"/>
                <w:szCs w:val="14"/>
                <w:b w:val="1"/>
                <w:bCs w:val="1"/>
                <w:color w:val="002856"/>
              </w:rPr>
              <w:t>Per Share</w:t>
            </w:r>
          </w:p>
        </w:tc>
        <w:tc>
          <w:tcPr>
            <w:tcW w:w="140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Diluted</w:t>
            </w:r>
          </w:p>
        </w:tc>
        <w:tc>
          <w:tcPr>
            <w:tcW w:w="980" w:type="dxa"/>
            <w:vAlign w:val="bottom"/>
            <w:tcBorders>
              <w:bottom w:val="single" w:sz="8" w:color="C6093B"/>
            </w:tcBorders>
          </w:tcPr>
          <w:p>
            <w:pPr>
              <w:jc w:val="right"/>
              <w:ind w:right="89"/>
              <w:spacing w:after="0"/>
              <w:rPr>
                <w:sz w:val="20"/>
                <w:szCs w:val="20"/>
                <w:color w:val="auto"/>
              </w:rPr>
            </w:pPr>
            <w:r>
              <w:rPr>
                <w:rFonts w:ascii="Arial" w:cs="Arial" w:eastAsia="Arial" w:hAnsi="Arial"/>
                <w:sz w:val="14"/>
                <w:szCs w:val="14"/>
                <w:b w:val="1"/>
                <w:bCs w:val="1"/>
                <w:color w:val="002856"/>
              </w:rPr>
              <w:t>Shares ($)</w:t>
            </w:r>
          </w:p>
        </w:tc>
        <w:tc>
          <w:tcPr>
            <w:tcW w:w="142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rPr>
              <w:t>(Pre-Tax) ($)</w:t>
            </w:r>
          </w:p>
        </w:tc>
        <w:tc>
          <w:tcPr>
            <w:tcW w:w="1020" w:type="dxa"/>
            <w:vAlign w:val="bottom"/>
            <w:tcBorders>
              <w:bottom w:val="single" w:sz="8" w:color="C6093B"/>
            </w:tcBorders>
          </w:tcPr>
          <w:p>
            <w:pPr>
              <w:jc w:val="center"/>
              <w:spacing w:after="0" w:line="174" w:lineRule="exact"/>
              <w:rPr>
                <w:sz w:val="20"/>
                <w:szCs w:val="20"/>
                <w:color w:val="auto"/>
              </w:rPr>
            </w:pPr>
            <w:r>
              <w:rPr>
                <w:rFonts w:ascii="Arial" w:cs="Arial" w:eastAsia="Arial" w:hAnsi="Arial"/>
                <w:sz w:val="14"/>
                <w:szCs w:val="14"/>
                <w:b w:val="1"/>
                <w:bCs w:val="1"/>
                <w:color w:val="002856"/>
                <w:w w:val="89"/>
              </w:rPr>
              <w:t>($)</w:t>
            </w:r>
            <w:r>
              <w:rPr>
                <w:rFonts w:ascii="Arial" w:cs="Arial" w:eastAsia="Arial" w:hAnsi="Arial"/>
                <w:sz w:val="20"/>
                <w:szCs w:val="20"/>
                <w:b w:val="1"/>
                <w:bCs w:val="1"/>
                <w:color w:val="002856"/>
                <w:w w:val="89"/>
                <w:vertAlign w:val="superscript"/>
              </w:rPr>
              <w:t>(1)</w:t>
            </w:r>
          </w:p>
        </w:tc>
        <w:tc>
          <w:tcPr>
            <w:tcW w:w="1040" w:type="dxa"/>
            <w:vAlign w:val="bottom"/>
            <w:tcBorders>
              <w:bottom w:val="single" w:sz="8" w:color="C6093B"/>
            </w:tcBorders>
          </w:tcPr>
          <w:p>
            <w:pPr>
              <w:jc w:val="right"/>
              <w:ind w:right="289"/>
              <w:spacing w:after="0" w:line="174" w:lineRule="exact"/>
              <w:rPr>
                <w:sz w:val="20"/>
                <w:szCs w:val="20"/>
                <w:color w:val="auto"/>
              </w:rPr>
            </w:pPr>
            <w:r>
              <w:rPr>
                <w:rFonts w:ascii="Arial" w:cs="Arial" w:eastAsia="Arial" w:hAnsi="Arial"/>
                <w:sz w:val="14"/>
                <w:szCs w:val="14"/>
                <w:b w:val="1"/>
                <w:bCs w:val="1"/>
                <w:color w:val="002856"/>
              </w:rPr>
              <w:t>($)</w:t>
            </w:r>
            <w:r>
              <w:rPr>
                <w:rFonts w:ascii="Arial" w:cs="Arial" w:eastAsia="Arial" w:hAnsi="Arial"/>
                <w:sz w:val="20"/>
                <w:szCs w:val="20"/>
                <w:b w:val="1"/>
                <w:bCs w:val="1"/>
                <w:color w:val="002856"/>
                <w:vertAlign w:val="superscript"/>
              </w:rPr>
              <w:t>(2)</w:t>
            </w:r>
          </w:p>
        </w:tc>
        <w:tc>
          <w:tcPr>
            <w:tcW w:w="980" w:type="dxa"/>
            <w:vAlign w:val="bottom"/>
            <w:tcBorders>
              <w:bottom w:val="single" w:sz="8" w:color="C6093B"/>
            </w:tcBorders>
          </w:tcPr>
          <w:p>
            <w:pPr>
              <w:jc w:val="center"/>
              <w:spacing w:after="0"/>
              <w:rPr>
                <w:sz w:val="20"/>
                <w:szCs w:val="20"/>
                <w:color w:val="auto"/>
              </w:rPr>
            </w:pPr>
            <w:r>
              <w:rPr>
                <w:rFonts w:ascii="Arial" w:cs="Arial" w:eastAsia="Arial" w:hAnsi="Arial"/>
                <w:sz w:val="14"/>
                <w:szCs w:val="14"/>
                <w:b w:val="1"/>
                <w:bCs w:val="1"/>
                <w:color w:val="002856"/>
                <w:w w:val="98"/>
              </w:rPr>
              <w:t>Shares</w:t>
            </w:r>
          </w:p>
        </w:tc>
        <w:tc>
          <w:tcPr>
            <w:tcW w:w="740" w:type="dxa"/>
            <w:vAlign w:val="bottom"/>
            <w:tcBorders>
              <w:bottom w:val="single" w:sz="8" w:color="C6093B"/>
            </w:tcBorders>
          </w:tcPr>
          <w:p>
            <w:pPr>
              <w:jc w:val="right"/>
              <w:ind w:right="69"/>
              <w:spacing w:after="0" w:line="174" w:lineRule="exact"/>
              <w:rPr>
                <w:sz w:val="20"/>
                <w:szCs w:val="20"/>
                <w:color w:val="auto"/>
              </w:rPr>
            </w:pPr>
            <w:r>
              <w:rPr>
                <w:rFonts w:ascii="Arial" w:cs="Arial" w:eastAsia="Arial" w:hAnsi="Arial"/>
                <w:sz w:val="14"/>
                <w:szCs w:val="14"/>
                <w:b w:val="1"/>
                <w:bCs w:val="1"/>
                <w:color w:val="002856"/>
              </w:rPr>
              <w:t>EPS</w:t>
            </w:r>
            <w:r>
              <w:rPr>
                <w:rFonts w:ascii="Arial" w:cs="Arial" w:eastAsia="Arial" w:hAnsi="Arial"/>
                <w:sz w:val="20"/>
                <w:szCs w:val="20"/>
                <w:b w:val="1"/>
                <w:bCs w:val="1"/>
                <w:color w:val="002856"/>
                <w:vertAlign w:val="superscript"/>
              </w:rPr>
              <w:t>(3)</w:t>
            </w:r>
          </w:p>
        </w:tc>
      </w:tr>
      <w:tr>
        <w:trPr>
          <w:trHeight w:val="233"/>
        </w:trPr>
        <w:tc>
          <w:tcPr>
            <w:tcW w:w="1800" w:type="dxa"/>
            <w:vAlign w:val="bottom"/>
          </w:tcPr>
          <w:p>
            <w:pPr>
              <w:ind w:left="80"/>
              <w:spacing w:after="0"/>
              <w:rPr>
                <w:sz w:val="20"/>
                <w:szCs w:val="20"/>
                <w:color w:val="auto"/>
              </w:rPr>
            </w:pPr>
            <w:r>
              <w:rPr>
                <w:rFonts w:ascii="Arial" w:cs="Arial" w:eastAsia="Arial" w:hAnsi="Arial"/>
                <w:sz w:val="14"/>
                <w:szCs w:val="14"/>
                <w:color w:val="auto"/>
              </w:rPr>
              <w:t>2020</w:t>
            </w: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1.69</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275,867</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465,286</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(4,458)</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(3,432)</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5,043</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466,897</w:t>
            </w:r>
          </w:p>
        </w:tc>
        <w:tc>
          <w:tcPr>
            <w:tcW w:w="74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48"/>
        </w:trPr>
        <w:tc>
          <w:tcPr>
            <w:tcW w:w="1800" w:type="dxa"/>
            <w:vAlign w:val="bottom"/>
            <w:tcBorders>
              <w:bottom w:val="single" w:sz="8" w:color="4C4C4C"/>
            </w:tcBorders>
          </w:tcPr>
          <w:p>
            <w:pPr>
              <w:spacing w:after="0"/>
              <w:rPr>
                <w:sz w:val="4"/>
                <w:szCs w:val="4"/>
                <w:color w:val="auto"/>
              </w:rPr>
            </w:pPr>
          </w:p>
        </w:tc>
        <w:tc>
          <w:tcPr>
            <w:tcW w:w="1540" w:type="dxa"/>
            <w:vAlign w:val="bottom"/>
            <w:tcBorders>
              <w:bottom w:val="single" w:sz="8" w:color="4C4C4C"/>
            </w:tcBorders>
          </w:tcPr>
          <w:p>
            <w:pPr>
              <w:spacing w:after="0"/>
              <w:rPr>
                <w:sz w:val="4"/>
                <w:szCs w:val="4"/>
                <w:color w:val="auto"/>
              </w:rPr>
            </w:pPr>
          </w:p>
        </w:tc>
        <w:tc>
          <w:tcPr>
            <w:tcW w:w="140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1420" w:type="dxa"/>
            <w:vAlign w:val="bottom"/>
            <w:tcBorders>
              <w:bottom w:val="single" w:sz="8" w:color="4C4C4C"/>
            </w:tcBorders>
          </w:tcPr>
          <w:p>
            <w:pPr>
              <w:spacing w:after="0"/>
              <w:rPr>
                <w:sz w:val="4"/>
                <w:szCs w:val="4"/>
                <w:color w:val="auto"/>
              </w:rPr>
            </w:pPr>
          </w:p>
        </w:tc>
        <w:tc>
          <w:tcPr>
            <w:tcW w:w="102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r>
      <w:tr>
        <w:trPr>
          <w:trHeight w:val="227"/>
        </w:trPr>
        <w:tc>
          <w:tcPr>
            <w:tcW w:w="1800" w:type="dxa"/>
            <w:vAlign w:val="bottom"/>
          </w:tcPr>
          <w:p>
            <w:pPr>
              <w:ind w:left="80"/>
              <w:spacing w:after="0"/>
              <w:rPr>
                <w:sz w:val="20"/>
                <w:szCs w:val="20"/>
                <w:color w:val="auto"/>
              </w:rPr>
            </w:pPr>
            <w:r>
              <w:rPr>
                <w:rFonts w:ascii="Arial" w:cs="Arial" w:eastAsia="Arial" w:hAnsi="Arial"/>
                <w:sz w:val="14"/>
                <w:szCs w:val="14"/>
                <w:color w:val="auto"/>
              </w:rPr>
              <w:t>2021</w:t>
            </w: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2.07</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277,414</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574,162</w:t>
            </w:r>
          </w:p>
        </w:tc>
        <w:tc>
          <w:tcPr>
            <w:tcW w:w="1420" w:type="dxa"/>
            <w:vAlign w:val="bottom"/>
          </w:tcPr>
          <w:p>
            <w:pPr>
              <w:jc w:val="right"/>
              <w:ind w:right="69"/>
              <w:spacing w:after="0"/>
              <w:rPr>
                <w:sz w:val="20"/>
                <w:szCs w:val="20"/>
                <w:color w:val="auto"/>
              </w:rPr>
            </w:pPr>
            <w:r>
              <w:rPr>
                <w:rFonts w:ascii="Arial" w:cs="Arial" w:eastAsia="Arial" w:hAnsi="Arial"/>
                <w:sz w:val="14"/>
                <w:szCs w:val="14"/>
                <w:color w:val="auto"/>
              </w:rPr>
              <w:t>40,445</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31,128</w:t>
            </w:r>
          </w:p>
        </w:tc>
        <w:tc>
          <w:tcPr>
            <w:tcW w:w="104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605,290</w:t>
            </w:r>
          </w:p>
        </w:tc>
        <w:tc>
          <w:tcPr>
            <w:tcW w:w="74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48"/>
        </w:trPr>
        <w:tc>
          <w:tcPr>
            <w:tcW w:w="1800" w:type="dxa"/>
            <w:vAlign w:val="bottom"/>
            <w:tcBorders>
              <w:bottom w:val="single" w:sz="8" w:color="4C4C4C"/>
            </w:tcBorders>
          </w:tcPr>
          <w:p>
            <w:pPr>
              <w:spacing w:after="0"/>
              <w:rPr>
                <w:sz w:val="4"/>
                <w:szCs w:val="4"/>
                <w:color w:val="auto"/>
              </w:rPr>
            </w:pPr>
          </w:p>
        </w:tc>
        <w:tc>
          <w:tcPr>
            <w:tcW w:w="1540" w:type="dxa"/>
            <w:vAlign w:val="bottom"/>
            <w:tcBorders>
              <w:bottom w:val="single" w:sz="8" w:color="4C4C4C"/>
            </w:tcBorders>
          </w:tcPr>
          <w:p>
            <w:pPr>
              <w:spacing w:after="0"/>
              <w:rPr>
                <w:sz w:val="4"/>
                <w:szCs w:val="4"/>
                <w:color w:val="auto"/>
              </w:rPr>
            </w:pPr>
          </w:p>
        </w:tc>
        <w:tc>
          <w:tcPr>
            <w:tcW w:w="140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1420" w:type="dxa"/>
            <w:vAlign w:val="bottom"/>
            <w:tcBorders>
              <w:bottom w:val="single" w:sz="8" w:color="4C4C4C"/>
            </w:tcBorders>
          </w:tcPr>
          <w:p>
            <w:pPr>
              <w:spacing w:after="0"/>
              <w:rPr>
                <w:sz w:val="4"/>
                <w:szCs w:val="4"/>
                <w:color w:val="auto"/>
              </w:rPr>
            </w:pPr>
          </w:p>
        </w:tc>
        <w:tc>
          <w:tcPr>
            <w:tcW w:w="102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r>
      <w:tr>
        <w:trPr>
          <w:trHeight w:val="227"/>
        </w:trPr>
        <w:tc>
          <w:tcPr>
            <w:tcW w:w="1800" w:type="dxa"/>
            <w:vAlign w:val="bottom"/>
          </w:tcPr>
          <w:p>
            <w:pPr>
              <w:ind w:left="80"/>
              <w:spacing w:after="0"/>
              <w:rPr>
                <w:sz w:val="20"/>
                <w:szCs w:val="20"/>
                <w:color w:val="auto"/>
              </w:rPr>
            </w:pPr>
            <w:r>
              <w:rPr>
                <w:rFonts w:ascii="Arial" w:cs="Arial" w:eastAsia="Arial" w:hAnsi="Arial"/>
                <w:sz w:val="14"/>
                <w:szCs w:val="14"/>
                <w:color w:val="auto"/>
              </w:rPr>
              <w:t>2022</w:t>
            </w: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2.37</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278,658</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660,419</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(38,900)</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(29,829)</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7,922</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638,512</w:t>
            </w:r>
          </w:p>
        </w:tc>
        <w:tc>
          <w:tcPr>
            <w:tcW w:w="74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48"/>
        </w:trPr>
        <w:tc>
          <w:tcPr>
            <w:tcW w:w="1800" w:type="dxa"/>
            <w:vAlign w:val="bottom"/>
            <w:tcBorders>
              <w:bottom w:val="single" w:sz="8" w:color="4C4C4C"/>
            </w:tcBorders>
          </w:tcPr>
          <w:p>
            <w:pPr>
              <w:spacing w:after="0"/>
              <w:rPr>
                <w:sz w:val="4"/>
                <w:szCs w:val="4"/>
                <w:color w:val="auto"/>
              </w:rPr>
            </w:pPr>
          </w:p>
        </w:tc>
        <w:tc>
          <w:tcPr>
            <w:tcW w:w="1540" w:type="dxa"/>
            <w:vAlign w:val="bottom"/>
            <w:tcBorders>
              <w:bottom w:val="single" w:sz="8" w:color="4C4C4C"/>
            </w:tcBorders>
          </w:tcPr>
          <w:p>
            <w:pPr>
              <w:spacing w:after="0"/>
              <w:rPr>
                <w:sz w:val="4"/>
                <w:szCs w:val="4"/>
                <w:color w:val="auto"/>
              </w:rPr>
            </w:pPr>
          </w:p>
        </w:tc>
        <w:tc>
          <w:tcPr>
            <w:tcW w:w="140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1420" w:type="dxa"/>
            <w:vAlign w:val="bottom"/>
            <w:tcBorders>
              <w:bottom w:val="single" w:sz="8" w:color="4C4C4C"/>
            </w:tcBorders>
          </w:tcPr>
          <w:p>
            <w:pPr>
              <w:spacing w:after="0"/>
              <w:rPr>
                <w:sz w:val="4"/>
                <w:szCs w:val="4"/>
                <w:color w:val="auto"/>
              </w:rPr>
            </w:pPr>
          </w:p>
        </w:tc>
        <w:tc>
          <w:tcPr>
            <w:tcW w:w="1020" w:type="dxa"/>
            <w:vAlign w:val="bottom"/>
            <w:tcBorders>
              <w:bottom w:val="single" w:sz="8" w:color="4C4C4C"/>
            </w:tcBorders>
          </w:tcPr>
          <w:p>
            <w:pPr>
              <w:spacing w:after="0"/>
              <w:rPr>
                <w:sz w:val="4"/>
                <w:szCs w:val="4"/>
                <w:color w:val="auto"/>
              </w:rPr>
            </w:pPr>
          </w:p>
        </w:tc>
        <w:tc>
          <w:tcPr>
            <w:tcW w:w="1040" w:type="dxa"/>
            <w:vAlign w:val="bottom"/>
            <w:tcBorders>
              <w:bottom w:val="single" w:sz="8" w:color="4C4C4C"/>
            </w:tcBorders>
          </w:tcPr>
          <w:p>
            <w:pPr>
              <w:spacing w:after="0"/>
              <w:rPr>
                <w:sz w:val="4"/>
                <w:szCs w:val="4"/>
                <w:color w:val="auto"/>
              </w:rPr>
            </w:pPr>
          </w:p>
        </w:tc>
        <w:tc>
          <w:tcPr>
            <w:tcW w:w="98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r>
      <w:tr>
        <w:trPr>
          <w:trHeight w:val="233"/>
        </w:trPr>
        <w:tc>
          <w:tcPr>
            <w:tcW w:w="1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1D4F90"/>
              </w:rPr>
              <w:t>$     6.16</w:t>
            </w:r>
          </w:p>
        </w:tc>
      </w:tr>
      <w:tr>
        <w:trPr>
          <w:trHeight w:val="48"/>
        </w:trPr>
        <w:tc>
          <w:tcPr>
            <w:tcW w:w="1800" w:type="dxa"/>
            <w:vAlign w:val="bottom"/>
            <w:tcBorders>
              <w:bottom w:val="single" w:sz="8" w:color="C6093B"/>
            </w:tcBorders>
          </w:tcPr>
          <w:p>
            <w:pPr>
              <w:spacing w:after="0"/>
              <w:rPr>
                <w:sz w:val="4"/>
                <w:szCs w:val="4"/>
                <w:color w:val="auto"/>
              </w:rPr>
            </w:pPr>
          </w:p>
        </w:tc>
        <w:tc>
          <w:tcPr>
            <w:tcW w:w="1540" w:type="dxa"/>
            <w:vAlign w:val="bottom"/>
            <w:tcBorders>
              <w:bottom w:val="single" w:sz="8" w:color="C6093B"/>
            </w:tcBorders>
          </w:tcPr>
          <w:p>
            <w:pPr>
              <w:spacing w:after="0"/>
              <w:rPr>
                <w:sz w:val="4"/>
                <w:szCs w:val="4"/>
                <w:color w:val="auto"/>
              </w:rPr>
            </w:pPr>
          </w:p>
        </w:tc>
        <w:tc>
          <w:tcPr>
            <w:tcW w:w="1400" w:type="dxa"/>
            <w:vAlign w:val="bottom"/>
            <w:tcBorders>
              <w:bottom w:val="single" w:sz="8" w:color="C6093B"/>
            </w:tcBorders>
          </w:tcPr>
          <w:p>
            <w:pPr>
              <w:spacing w:after="0"/>
              <w:rPr>
                <w:sz w:val="4"/>
                <w:szCs w:val="4"/>
                <w:color w:val="auto"/>
              </w:rPr>
            </w:pPr>
          </w:p>
        </w:tc>
        <w:tc>
          <w:tcPr>
            <w:tcW w:w="980" w:type="dxa"/>
            <w:vAlign w:val="bottom"/>
            <w:tcBorders>
              <w:bottom w:val="single" w:sz="8" w:color="C6093B"/>
            </w:tcBorders>
          </w:tcPr>
          <w:p>
            <w:pPr>
              <w:spacing w:after="0"/>
              <w:rPr>
                <w:sz w:val="4"/>
                <w:szCs w:val="4"/>
                <w:color w:val="auto"/>
              </w:rPr>
            </w:pPr>
          </w:p>
        </w:tc>
        <w:tc>
          <w:tcPr>
            <w:tcW w:w="1420" w:type="dxa"/>
            <w:vAlign w:val="bottom"/>
            <w:tcBorders>
              <w:bottom w:val="single" w:sz="8" w:color="C6093B"/>
            </w:tcBorders>
          </w:tcPr>
          <w:p>
            <w:pPr>
              <w:spacing w:after="0"/>
              <w:rPr>
                <w:sz w:val="4"/>
                <w:szCs w:val="4"/>
                <w:color w:val="auto"/>
              </w:rPr>
            </w:pPr>
          </w:p>
        </w:tc>
        <w:tc>
          <w:tcPr>
            <w:tcW w:w="1020" w:type="dxa"/>
            <w:vAlign w:val="bottom"/>
            <w:tcBorders>
              <w:bottom w:val="single" w:sz="8" w:color="C6093B"/>
            </w:tcBorders>
          </w:tcPr>
          <w:p>
            <w:pPr>
              <w:spacing w:after="0"/>
              <w:rPr>
                <w:sz w:val="4"/>
                <w:szCs w:val="4"/>
                <w:color w:val="auto"/>
              </w:rPr>
            </w:pPr>
          </w:p>
        </w:tc>
        <w:tc>
          <w:tcPr>
            <w:tcW w:w="1040" w:type="dxa"/>
            <w:vAlign w:val="bottom"/>
            <w:tcBorders>
              <w:bottom w:val="single" w:sz="8" w:color="C6093B"/>
            </w:tcBorders>
          </w:tcPr>
          <w:p>
            <w:pPr>
              <w:spacing w:after="0"/>
              <w:rPr>
                <w:sz w:val="4"/>
                <w:szCs w:val="4"/>
                <w:color w:val="auto"/>
              </w:rPr>
            </w:pPr>
          </w:p>
        </w:tc>
        <w:tc>
          <w:tcPr>
            <w:tcW w:w="980" w:type="dxa"/>
            <w:vAlign w:val="bottom"/>
            <w:tcBorders>
              <w:bottom w:val="single" w:sz="8" w:color="C6093B"/>
            </w:tcBorders>
          </w:tcPr>
          <w:p>
            <w:pPr>
              <w:spacing w:after="0"/>
              <w:rPr>
                <w:sz w:val="4"/>
                <w:szCs w:val="4"/>
                <w:color w:val="auto"/>
              </w:rPr>
            </w:pPr>
          </w:p>
        </w:tc>
        <w:tc>
          <w:tcPr>
            <w:tcW w:w="740" w:type="dxa"/>
            <w:vAlign w:val="bottom"/>
            <w:tcBorders>
              <w:bottom w:val="single" w:sz="8" w:color="C6093B"/>
            </w:tcBorders>
          </w:tcPr>
          <w:p>
            <w:pPr>
              <w:spacing w:after="0"/>
              <w:rPr>
                <w:sz w:val="4"/>
                <w:szCs w:val="4"/>
                <w:color w:val="auto"/>
              </w:rPr>
            </w:pPr>
          </w:p>
        </w:tc>
      </w:tr>
    </w:tbl>
    <w:p>
      <w:pPr>
        <w:spacing w:after="0" w:line="9" w:lineRule="exact"/>
        <w:rPr>
          <w:sz w:val="20"/>
          <w:szCs w:val="20"/>
          <w:color w:val="auto"/>
        </w:rPr>
      </w:pPr>
    </w:p>
    <w:p>
      <w:pPr>
        <w:ind w:left="220" w:hanging="213"/>
        <w:spacing w:after="0"/>
        <w:tabs>
          <w:tab w:leader="none" w:pos="22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After-tax effect of adjustments calculated using the Company’s effective tax rate for the respective year.</w:t>
      </w:r>
    </w:p>
    <w:p>
      <w:pPr>
        <w:spacing w:after="0" w:line="61" w:lineRule="exact"/>
        <w:rPr>
          <w:rFonts w:ascii="Arial" w:cs="Arial" w:eastAsia="Arial" w:hAnsi="Arial"/>
          <w:sz w:val="19"/>
          <w:szCs w:val="19"/>
          <w:color w:val="auto"/>
          <w:vertAlign w:val="superscript"/>
        </w:rPr>
      </w:pPr>
    </w:p>
    <w:p>
      <w:pPr>
        <w:ind w:left="220" w:right="120" w:hanging="213"/>
        <w:spacing w:after="0" w:line="192" w:lineRule="auto"/>
        <w:tabs>
          <w:tab w:leader="none" w:pos="22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The after-tax adjustments are: (i) for 2020, an adjustment to exclude the negative impact of the 2020 Legal Matter and (ii) for 2022, adjustments to exclude the positive impact of the 2022 Legal Matter and to exclude the negative impact of Acquisition/Integration Costs.</w:t>
      </w:r>
    </w:p>
    <w:p>
      <w:pPr>
        <w:spacing w:after="0" w:line="1" w:lineRule="exact"/>
        <w:rPr>
          <w:rFonts w:ascii="Arial" w:cs="Arial" w:eastAsia="Arial" w:hAnsi="Arial"/>
          <w:sz w:val="19"/>
          <w:szCs w:val="19"/>
          <w:color w:val="auto"/>
          <w:vertAlign w:val="superscript"/>
        </w:rPr>
      </w:pPr>
    </w:p>
    <w:p>
      <w:pPr>
        <w:ind w:left="220" w:hanging="213"/>
        <w:spacing w:after="0" w:line="235" w:lineRule="auto"/>
        <w:tabs>
          <w:tab w:leader="none" w:pos="22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A non-GAAP financial measure.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2856"/>
        </w:rPr>
        <w:t>72</w:t>
      </w:r>
      <w:r>
        <w:rPr>
          <w:rFonts w:ascii="Arial" w:cs="Arial" w:eastAsia="Arial" w:hAnsi="Arial"/>
          <w:sz w:val="14"/>
          <w:szCs w:val="14"/>
          <w:color w:val="4C4C4C"/>
        </w:rPr>
        <w:t xml:space="preserve">  |  BROWN &amp; BROWN, INC.</w:t>
      </w:r>
    </w:p>
    <w:p>
      <w:pPr>
        <w:sectPr>
          <w:pgSz w:w="11900" w:h="16838" w:orient="portrait"/>
          <w:cols w:equalWidth="0" w:num="1">
            <w:col w:w="10920"/>
          </w:cols>
          <w:pgMar w:left="480" w:top="304" w:right="499" w:bottom="1440"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8263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8263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8263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8263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
      <w:numFmt w:val="bullet"/>
      <w:start w:val="1"/>
    </w:lvl>
  </w:abstractNum>
  <w:abstractNum w:abstractNumId="6">
    <w:nsid w:val="51EAD36B"/>
    <w:multiLevelType w:val="hybridMultilevel"/>
    <w:lvl w:ilvl="0">
      <w:lvlJc w:val="left"/>
      <w:lvlText w:val="2"/>
      <w:numFmt w:val="bullet"/>
      <w:start w:val="1"/>
    </w:lvl>
  </w:abstractNum>
  <w:abstractNum w:abstractNumId="7">
    <w:nsid w:val="2D517796"/>
    <w:multiLevelType w:val="hybridMultilevel"/>
    <w:lvl w:ilvl="0">
      <w:lvlJc w:val="left"/>
      <w:lvlText w:val=" "/>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33"/>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 "/>
      <w:numFmt w:val="bullet"/>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 "/>
      <w:numFmt w:val="bullet"/>
      <w:start w:val="1"/>
    </w:lvl>
  </w:abstractNum>
  <w:abstractNum w:abstractNumId="18">
    <w:nsid w:val="7A6D8D3C"/>
    <w:multiLevelType w:val="hybridMultilevel"/>
    <w:lvl w:ilvl="0">
      <w:lvlJc w:val="left"/>
      <w:lvlText w:val="%1"/>
      <w:numFmt w:val="decimal"/>
      <w:start w:val="33"/>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lvl w:ilvl="1">
      <w:lvlJc w:val="left"/>
      <w:lvlText w:val="%2."/>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endash "/>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lowerRoman"/>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
      <w:numFmt w:val="bullet"/>
      <w:start w:val="1"/>
    </w:lvl>
  </w:abstractNum>
  <w:abstractNum w:abstractNumId="40">
    <w:nsid w:val="39386575"/>
    <w:multiLevelType w:val="hybridMultilevel"/>
    <w:lvl w:ilvl="0">
      <w:lvlJc w:val="left"/>
      <w:lvlText w:val="(%1)"/>
      <w:numFmt w:val="decimal"/>
      <w:start w:val="1"/>
    </w:lvl>
    <w:lvl w:ilvl="1">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9"/>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2"/>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4"/>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2"/>
    </w:lvl>
  </w:abstractNum>
  <w:abstractNum w:abstractNumId="54">
    <w:nsid w:val="579BE4F1"/>
    <w:multiLevelType w:val="hybridMultilevel"/>
    <w:lvl w:ilvl="0">
      <w:lvlJc w:val="left"/>
      <w:lvlText w:val="(%1)"/>
      <w:numFmt w:val="decimal"/>
      <w:start w:val="3"/>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3"/>
    </w:lvl>
  </w:abstractNum>
  <w:abstractNum w:abstractNumId="59">
    <w:nsid w:val="1DBABF00"/>
    <w:multiLevelType w:val="hybridMultilevel"/>
    <w:lvl w:ilvl="0">
      <w:lvlJc w:val="left"/>
      <w:lvlText w:val=" "/>
      <w:numFmt w:val="bullet"/>
      <w:start w:val="1"/>
    </w:lvl>
  </w:abstractNum>
  <w:abstractNum w:abstractNumId="60">
    <w:nsid w:val="4AD084E9"/>
    <w:multiLevelType w:val="hybridMultilevel"/>
    <w:lvl w:ilvl="0">
      <w:lvlJc w:val="left"/>
      <w:lvlText w:val="(%1)"/>
      <w:numFmt w:val="decimal"/>
      <w:start w:val="4"/>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2024-03-25T16:24:28Z</dcterms:created>
  <dcterms:modified xsi:type="dcterms:W3CDTF">2024-03-25T16:24:28Z</dcterms:modified>
</cp:coreProperties>
</file>