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964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96404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BROWN J POWELL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N. BEACH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5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BROWN &amp; BROWN,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BRO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12/13/2024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1"/>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DAYTONA</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FL</w:t>
            </w:r>
          </w:p>
        </w:tc>
        <w:tc>
          <w:tcPr>
            <w:tcW w:w="84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32114</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4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60" w:type="dxa"/>
            <w:vAlign w:val="bottom"/>
            <w:gridSpan w:val="8"/>
            <w:vMerge w:val="restart"/>
          </w:tcPr>
          <w:p>
            <w:pPr>
              <w:ind w:left="2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BEACH</w:t>
            </w:r>
          </w:p>
        </w:tc>
        <w:tc>
          <w:tcPr>
            <w:tcW w:w="54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6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060" w:type="dxa"/>
            <w:vAlign w:val="bottom"/>
            <w:gridSpan w:val="8"/>
            <w:vMerge w:val="restart"/>
          </w:tcPr>
          <w:p>
            <w:pPr>
              <w:ind w:left="2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6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54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1200" w:type="dxa"/>
            <w:vAlign w:val="bottom"/>
            <w:gridSpan w:val="2"/>
            <w:vMerge w:val="restart"/>
          </w:tcPr>
          <w:p>
            <w:pPr>
              <w:ind w:left="24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9"/>
                <w:szCs w:val="9"/>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14"/>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$.10 par value</w:t>
            </w: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12/13/2024</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G</w:t>
            </w:r>
          </w:p>
        </w:tc>
        <w:tc>
          <w:tcPr>
            <w:tcW w:w="76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344</w:t>
            </w:r>
          </w:p>
        </w:tc>
        <w:tc>
          <w:tcPr>
            <w:tcW w:w="4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2,755,499</w:t>
            </w:r>
            <w:r>
              <w:rPr>
                <w:rFonts w:ascii="Times New Roman" w:cs="Times New Roman" w:eastAsia="Times New Roman" w:hAnsi="Times New Roman"/>
                <w:sz w:val="22"/>
                <w:szCs w:val="22"/>
                <w:color w:val="008000"/>
                <w:w w:val="96"/>
                <w:vertAlign w:val="superscript"/>
              </w:rPr>
              <w:t>(1)</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$.10 par value</w:t>
            </w: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12/13/2024</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G</w:t>
            </w:r>
          </w:p>
        </w:tc>
        <w:tc>
          <w:tcPr>
            <w:tcW w:w="76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9,370</w:t>
            </w:r>
          </w:p>
        </w:tc>
        <w:tc>
          <w:tcPr>
            <w:tcW w:w="4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2,746,129</w:t>
            </w:r>
            <w:r>
              <w:rPr>
                <w:rFonts w:ascii="Times New Roman" w:cs="Times New Roman" w:eastAsia="Times New Roman" w:hAnsi="Times New Roman"/>
                <w:sz w:val="22"/>
                <w:szCs w:val="22"/>
                <w:color w:val="008000"/>
                <w:w w:val="96"/>
                <w:vertAlign w:val="superscript"/>
              </w:rPr>
              <w:t>(1)</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$.10 par value (2019</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255,322</w:t>
            </w:r>
            <w:r>
              <w:rPr>
                <w:rFonts w:ascii="Times New Roman" w:cs="Times New Roman" w:eastAsia="Times New Roman" w:hAnsi="Times New Roman"/>
                <w:sz w:val="22"/>
                <w:szCs w:val="22"/>
                <w:color w:val="008000"/>
                <w:w w:val="96"/>
                <w:vertAlign w:val="superscript"/>
              </w:rPr>
              <w:t>(2)</w:t>
            </w:r>
          </w:p>
        </w:tc>
        <w:tc>
          <w:tcPr>
            <w:tcW w:w="300" w:type="dxa"/>
            <w:vAlign w:val="bottom"/>
          </w:tcPr>
          <w:p>
            <w:pPr>
              <w:spacing w:after="0"/>
              <w:rPr>
                <w:sz w:val="21"/>
                <w:szCs w:val="21"/>
                <w:color w:val="auto"/>
              </w:rPr>
            </w:pPr>
          </w:p>
        </w:tc>
        <w:tc>
          <w:tcPr>
            <w:tcW w:w="560" w:type="dxa"/>
            <w:vAlign w:val="bottom"/>
            <w:vMerge w:val="restart"/>
          </w:tcPr>
          <w:p>
            <w:pPr>
              <w:jc w:val="center"/>
              <w:ind w:right="286"/>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SIP)</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740" w:type="dxa"/>
            <w:vAlign w:val="bottom"/>
            <w:tcBorders>
              <w:bottom w:val="single" w:sz="8" w:color="2C2C2C"/>
            </w:tcBorders>
            <w:gridSpan w:val="6"/>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$.10 par value (2010</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299,264</w:t>
            </w:r>
            <w:r>
              <w:rPr>
                <w:rFonts w:ascii="Times New Roman" w:cs="Times New Roman" w:eastAsia="Times New Roman" w:hAnsi="Times New Roman"/>
                <w:sz w:val="22"/>
                <w:szCs w:val="22"/>
                <w:color w:val="008000"/>
                <w:w w:val="96"/>
                <w:vertAlign w:val="superscript"/>
              </w:rPr>
              <w:t>(3)</w:t>
            </w:r>
          </w:p>
        </w:tc>
        <w:tc>
          <w:tcPr>
            <w:tcW w:w="300" w:type="dxa"/>
            <w:vAlign w:val="bottom"/>
          </w:tcPr>
          <w:p>
            <w:pPr>
              <w:spacing w:after="0"/>
              <w:rPr>
                <w:sz w:val="21"/>
                <w:szCs w:val="21"/>
                <w:color w:val="auto"/>
              </w:rPr>
            </w:pPr>
          </w:p>
        </w:tc>
        <w:tc>
          <w:tcPr>
            <w:tcW w:w="560" w:type="dxa"/>
            <w:vAlign w:val="bottom"/>
            <w:vMerge w:val="restart"/>
          </w:tcPr>
          <w:p>
            <w:pPr>
              <w:jc w:val="center"/>
              <w:ind w:right="286"/>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SIP)</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740" w:type="dxa"/>
            <w:vAlign w:val="bottom"/>
            <w:tcBorders>
              <w:bottom w:val="single" w:sz="8" w:color="2C2C2C"/>
            </w:tcBorders>
            <w:gridSpan w:val="6"/>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74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$.10 par value (PSP)</w:t>
            </w:r>
          </w:p>
        </w:tc>
        <w:tc>
          <w:tcPr>
            <w:tcW w:w="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32,000</w:t>
            </w:r>
            <w:r>
              <w:rPr>
                <w:rFonts w:ascii="Times New Roman" w:cs="Times New Roman" w:eastAsia="Times New Roman" w:hAnsi="Times New Roman"/>
                <w:sz w:val="22"/>
                <w:szCs w:val="22"/>
                <w:color w:val="008000"/>
                <w:w w:val="97"/>
                <w:vertAlign w:val="superscript"/>
              </w:rPr>
              <w:t>(4)</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Charitable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$.10 par value</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2,054,950</w:t>
            </w:r>
            <w:r>
              <w:rPr>
                <w:rFonts w:ascii="Times New Roman" w:cs="Times New Roman" w:eastAsia="Times New Roman" w:hAnsi="Times New Roman"/>
                <w:sz w:val="22"/>
                <w:szCs w:val="22"/>
                <w:color w:val="008000"/>
                <w:w w:val="96"/>
                <w:vertAlign w:val="superscript"/>
              </w:rPr>
              <w:t>(5)</w:t>
            </w:r>
          </w:p>
        </w:tc>
        <w:tc>
          <w:tcPr>
            <w:tcW w:w="300" w:type="dxa"/>
            <w:vAlign w:val="bottom"/>
          </w:tcPr>
          <w:p>
            <w:pPr>
              <w:spacing w:after="0"/>
              <w:rPr>
                <w:sz w:val="18"/>
                <w:szCs w:val="18"/>
                <w:color w:val="auto"/>
              </w:rPr>
            </w:pPr>
          </w:p>
        </w:tc>
        <w:tc>
          <w:tcPr>
            <w:tcW w:w="560" w:type="dxa"/>
            <w:vAlign w:val="bottom"/>
            <w:vMerge w:val="restart"/>
          </w:tcPr>
          <w:p>
            <w:pPr>
              <w:jc w:val="center"/>
              <w:ind w:right="286"/>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Lead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Annuity</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Borders>
              <w:bottom w:val="single" w:sz="8" w:color="2C2C2C"/>
            </w:tcBorders>
            <w:gridSpan w:val="5"/>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$.10 par value</w:t>
            </w: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42,128</w:t>
            </w:r>
            <w:r>
              <w:rPr>
                <w:rFonts w:ascii="Times New Roman" w:cs="Times New Roman" w:eastAsia="Times New Roman" w:hAnsi="Times New Roman"/>
                <w:sz w:val="22"/>
                <w:szCs w:val="22"/>
                <w:color w:val="008000"/>
                <w:w w:val="97"/>
                <w:vertAlign w:val="superscript"/>
              </w:rPr>
              <w:t>(6)</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6"/>
                <w:szCs w:val="16"/>
                <w:color w:val="0000FF"/>
                <w:w w:val="74"/>
              </w:rPr>
              <w:t>I</w:t>
            </w:r>
          </w:p>
        </w:tc>
        <w:tc>
          <w:tcPr>
            <w:tcW w:w="8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401k</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$.10 par value</w:t>
            </w: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32,241</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Children</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0" w:type="dxa"/>
            <w:vAlign w:val="bottom"/>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 total of 357 of these shares were acquired through the Company's Employee Stock Purchase Plan in July 2024. Number of shares may vary due to dividend reinvesment.</w:t>
      </w:r>
    </w:p>
    <w:p>
      <w:pPr>
        <w:spacing w:after="0" w:line="5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were granted pursuant to the Company's 2019 Stock Incentive Plan ("2019 SIP"). The Reporting Person has voting rights and dividend entitlement with respect to these shares, but full ownership will not vest until the satisfaction of service-based conditions.</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were granted pursuant to the Company's 2010 Stock Incentive Plan ("2010 SIP") The Reporting Person has voting rights and dividend entitlement with respect to these shares, but full ownership will not vest until the satisfaction of service-based conditions.</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were granted pursuant to the Company's Performance Stock Plan ("PSP"). Based on the satisfaction of conditions established pursuant to the PSP, the Reporting Person has voting rights and dividend entitlement with respect to these shares based on the satisfaction of certain performance-based criteria, but full ownership will not vest until the satisfaction of additional conditions.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the James Hyatt Brown Nongrantor Charitable Lead Annuity Trust, of which the Reporting Person is a trustee and a remainder beneficiary.</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Based upon the information supplied by the plan record keeper as of December 31, 2023. Number of shares varies periodically based on contributions to the plan.</w:t>
      </w:r>
    </w:p>
    <w:p>
      <w:pPr>
        <w:spacing w:after="0" w:line="5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disclaims beneficial ownership of securities owned by children who share the Reporting person's household. This report shall not be deemed an admission that the Reporting Person is the beneficial owner of such securities for the purpose of Section 16 or for any other purpose.</w:t>
      </w:r>
    </w:p>
    <w:p>
      <w:pPr>
        <w:sectPr>
          <w:pgSz w:w="11900" w:h="16838" w:orient="portrait"/>
          <w:cols w:equalWidth="0" w:num="1">
            <w:col w:w="11080"/>
          </w:cols>
          <w:pgMar w:left="460" w:top="219" w:right="359" w:bottom="0" w:gutter="0" w:footer="0" w:header="0"/>
          <w:type w:val="continuous"/>
        </w:sectPr>
      </w:pPr>
    </w:p>
    <w:p>
      <w:pPr>
        <w:spacing w:after="0" w:line="33"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/s/ J. Powell Brown</w:t>
      </w:r>
      <w:r>
        <w:rPr>
          <w:sz w:val="20"/>
          <w:szCs w:val="20"/>
          <w:color w:val="auto"/>
        </w:rPr>
        <w:tab/>
      </w:r>
      <w:r>
        <w:rPr>
          <w:rFonts w:ascii="Times New Roman" w:cs="Times New Roman" w:eastAsia="Times New Roman" w:hAnsi="Times New Roman"/>
          <w:sz w:val="17"/>
          <w:szCs w:val="17"/>
          <w:color w:val="0000FF"/>
        </w:rPr>
        <w:t>12/16/2024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861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6169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08478" TargetMode="External"/><Relationship Id="rId14" Type="http://schemas.openxmlformats.org/officeDocument/2006/relationships/hyperlink" Target="http://www.sec.gov/cgi-bin/browse-edgar?action=getcompany&amp;CIK=00000792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2024-12-16T16:05:01Z</dcterms:created>
  <dcterms:modified xsi:type="dcterms:W3CDTF">2024-12-16T16:05:01Z</dcterms:modified>
</cp:coreProperties>
</file>