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182245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760" w:hanging="756"/>
        <w:spacing w:after="0"/>
        <w:tabs>
          <w:tab w:leader="none" w:pos="76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4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4" w:lineRule="exact"/>
        <w:rPr>
          <w:sz w:val="24"/>
          <w:szCs w:val="24"/>
          <w:color w:val="auto"/>
        </w:rPr>
      </w:pPr>
    </w:p>
    <w:p>
      <w:pPr>
        <w:ind w:left="40"/>
        <w:spacing w:after="0"/>
        <w:rPr>
          <w:sz w:val="24"/>
          <w:szCs w:val="24"/>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180"/>
        <w:spacing w:after="0"/>
        <w:tabs>
          <w:tab w:leader="none" w:pos="6480" w:val="left"/>
          <w:tab w:leader="none" w:pos="7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3523615</wp:posOffset>
            </wp:positionH>
            <wp:positionV relativeFrom="paragraph">
              <wp:posOffset>-5080</wp:posOffset>
            </wp:positionV>
            <wp:extent cx="1294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5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001-13619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354330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ind w:left="540" w:hanging="527"/>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9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BROWN &amp; BROWN, INC.</w:t>
      </w:r>
    </w:p>
    <w:p>
      <w:pPr>
        <w:spacing w:after="0" w:line="1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EMPLOYEE SAVINGS PLAN</w:t>
      </w:r>
    </w:p>
    <w:p>
      <w:pPr>
        <w:spacing w:after="0" w:line="218" w:lineRule="exact"/>
        <w:rPr>
          <w:sz w:val="24"/>
          <w:szCs w:val="24"/>
          <w:color w:val="auto"/>
        </w:rPr>
      </w:pPr>
    </w:p>
    <w:p>
      <w:pPr>
        <w:ind w:left="540" w:hanging="52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9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BROWN &amp; BROWN, INC.</w:t>
      </w:r>
    </w:p>
    <w:p>
      <w:pPr>
        <w:spacing w:after="0" w:line="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300 NORTH BEACH STREET</w:t>
      </w:r>
    </w:p>
    <w:p>
      <w:pPr>
        <w:spacing w:after="0" w:line="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DAYTONA BEACH, FLORIDA 32114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1270635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245745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540" w:top="1440" w:right="4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BROWN &amp; BROWN, INC. EMPLOYEE SAVINGS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 AND SUPPLEMENTAL SCHEDULE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20" w:type="dxa"/>
            <w:vAlign w:val="bottom"/>
          </w:tcPr>
          <w:p>
            <w:pPr>
              <w:spacing w:after="0"/>
              <w:rPr>
                <w:sz w:val="15"/>
                <w:szCs w:val="15"/>
                <w:color w:val="auto"/>
              </w:rPr>
            </w:pPr>
          </w:p>
        </w:tc>
        <w:tc>
          <w:tcPr>
            <w:tcW w:w="2920" w:type="dxa"/>
            <w:vAlign w:val="bottom"/>
            <w:gridSpan w:val="4"/>
          </w:tcPr>
          <w:p>
            <w:pPr>
              <w:ind w:left="236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621"/>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60" w:type="dxa"/>
            <w:vAlign w:val="bottom"/>
          </w:tcPr>
          <w:p>
            <w:pPr>
              <w:spacing w:after="0"/>
              <w:rPr>
                <w:sz w:val="24"/>
                <w:szCs w:val="24"/>
                <w:color w:val="auto"/>
              </w:rPr>
            </w:pPr>
          </w:p>
        </w:tc>
      </w:tr>
      <w:tr>
        <w:trPr>
          <w:trHeight w:val="588"/>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499"/>
        </w:trPr>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6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6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60" w:type="dxa"/>
            <w:vAlign w:val="bottom"/>
          </w:tcPr>
          <w:p>
            <w:pPr>
              <w:spacing w:after="0"/>
              <w:rPr>
                <w:sz w:val="24"/>
                <w:szCs w:val="24"/>
                <w:color w:val="auto"/>
              </w:rPr>
            </w:pPr>
          </w:p>
        </w:tc>
      </w:tr>
      <w:tr>
        <w:trPr>
          <w:trHeight w:val="588"/>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 SCHEDULE:</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526"/>
        </w:trPr>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5500, Schedule H, Line 4i - Schedule of Assets (Held at End of Year)</w:t>
            </w:r>
          </w:p>
        </w:tc>
        <w:tc>
          <w:tcPr>
            <w:tcW w:w="2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60" w:type="dxa"/>
            <w:vAlign w:val="bottom"/>
          </w:tcPr>
          <w:p>
            <w:pPr>
              <w:spacing w:after="0"/>
              <w:rPr>
                <w:sz w:val="24"/>
                <w:szCs w:val="24"/>
                <w:color w:val="auto"/>
              </w:rPr>
            </w:pPr>
          </w:p>
        </w:tc>
      </w:tr>
      <w:tr>
        <w:trPr>
          <w:trHeight w:val="547"/>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SIGNATURE</w:t>
            </w:r>
          </w:p>
        </w:tc>
        <w:tc>
          <w:tcPr>
            <w:tcW w:w="2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60" w:type="dxa"/>
            <w:vAlign w:val="bottom"/>
          </w:tcPr>
          <w:p>
            <w:pPr>
              <w:spacing w:after="0"/>
              <w:rPr>
                <w:sz w:val="24"/>
                <w:szCs w:val="24"/>
                <w:color w:val="auto"/>
              </w:rPr>
            </w:pPr>
          </w:p>
        </w:tc>
      </w:tr>
      <w:tr>
        <w:trPr>
          <w:trHeight w:val="547"/>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INDEX</w:t>
            </w: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60" w:type="dxa"/>
            <w:vAlign w:val="bottom"/>
          </w:tcPr>
          <w:p>
            <w:pPr>
              <w:spacing w:after="0"/>
              <w:rPr>
                <w:sz w:val="24"/>
                <w:szCs w:val="24"/>
                <w:color w:val="auto"/>
              </w:rPr>
            </w:pPr>
          </w:p>
        </w:tc>
      </w:tr>
      <w:tr>
        <w:trPr>
          <w:trHeight w:val="1661"/>
        </w:trPr>
        <w:tc>
          <w:tcPr>
            <w:tcW w:w="83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3"/>
          <w:szCs w:val="23"/>
          <w:b w:val="1"/>
          <w:bCs w:val="1"/>
          <w:color w:val="auto"/>
        </w:rPr>
        <w:t>Report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Investment Committee, and Participants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Brown &amp; Brown, Inc. Employee Savings Plan</w:t>
      </w:r>
    </w:p>
    <w:p>
      <w:pPr>
        <w:spacing w:after="0"/>
        <w:rPr>
          <w:sz w:val="20"/>
          <w:szCs w:val="20"/>
          <w:color w:val="auto"/>
        </w:rPr>
      </w:pPr>
      <w:r>
        <w:rPr>
          <w:rFonts w:ascii="Times New Roman" w:cs="Times New Roman" w:eastAsia="Times New Roman" w:hAnsi="Times New Roman"/>
          <w:sz w:val="20"/>
          <w:szCs w:val="20"/>
          <w:color w:val="auto"/>
        </w:rPr>
        <w:t>Daytona Beach, Florida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have audited the accompanying statements of net assets available for benefits of the Brown &amp; Brown, Inc. Employee Savings Plan (the Plan) as of December 31, 2025 and 2024, the related statement of changes in net assets available for benefits for the year ended December 31, 2025,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presentation of the financial statements. We believe that our audits provide a reasonable basis for our opinion.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Supplemental Information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supplemental information included in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 Baker Tilly US, LLP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Peachtree Corners, Georgia</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June 25, 2026</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We have served as the Plan’s auditor since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left="3340"/>
        <w:spacing w:after="0"/>
        <w:rPr>
          <w:sz w:val="20"/>
          <w:szCs w:val="20"/>
          <w:color w:val="auto"/>
        </w:rPr>
      </w:pPr>
      <w:r>
        <w:rPr>
          <w:rFonts w:ascii="Times New Roman" w:cs="Times New Roman" w:eastAsia="Times New Roman" w:hAnsi="Times New Roman"/>
          <w:sz w:val="18"/>
          <w:szCs w:val="18"/>
          <w:b w:val="1"/>
          <w:bCs w:val="1"/>
          <w:color w:val="auto"/>
        </w:rPr>
        <w:t>BROWN &amp; BROWN, INC. EMPLOYEE SAVINGS PLAN</w:t>
      </w:r>
    </w:p>
    <w:p>
      <w:pPr>
        <w:spacing w:after="0" w:line="10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1140" w:type="dxa"/>
            <w:vAlign w:val="bottom"/>
            <w:gridSpan w:val="2"/>
            <w:shd w:val="clear" w:color="auto" w:fill="D3F1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D3F1FC"/>
          </w:tcPr>
          <w:p>
            <w:pPr>
              <w:spacing w:after="0"/>
              <w:rPr>
                <w:sz w:val="18"/>
                <w:szCs w:val="18"/>
                <w:color w:val="auto"/>
              </w:rPr>
            </w:pPr>
          </w:p>
        </w:tc>
        <w:tc>
          <w:tcPr>
            <w:tcW w:w="100" w:type="dxa"/>
            <w:vAlign w:val="bottom"/>
            <w:shd w:val="clear" w:color="auto" w:fill="D3F1FC"/>
          </w:tcPr>
          <w:p>
            <w:pPr>
              <w:spacing w:after="0"/>
              <w:rPr>
                <w:sz w:val="18"/>
                <w:szCs w:val="18"/>
                <w:color w:val="auto"/>
              </w:rPr>
            </w:pPr>
          </w:p>
        </w:tc>
        <w:tc>
          <w:tcPr>
            <w:tcW w:w="6160" w:type="dxa"/>
            <w:vAlign w:val="bottom"/>
            <w:shd w:val="clear" w:color="auto" w:fill="D3F1FC"/>
          </w:tcPr>
          <w:p>
            <w:pPr>
              <w:spacing w:after="0"/>
              <w:rPr>
                <w:sz w:val="18"/>
                <w:szCs w:val="18"/>
                <w:color w:val="auto"/>
              </w:rPr>
            </w:pPr>
          </w:p>
        </w:tc>
        <w:tc>
          <w:tcPr>
            <w:tcW w:w="360" w:type="dxa"/>
            <w:vAlign w:val="bottom"/>
            <w:shd w:val="clear" w:color="auto" w:fill="D3F1FC"/>
          </w:tcPr>
          <w:p>
            <w:pPr>
              <w:spacing w:after="0"/>
              <w:rPr>
                <w:sz w:val="18"/>
                <w:szCs w:val="18"/>
                <w:color w:val="auto"/>
              </w:rPr>
            </w:pPr>
          </w:p>
        </w:tc>
        <w:tc>
          <w:tcPr>
            <w:tcW w:w="1320" w:type="dxa"/>
            <w:vAlign w:val="bottom"/>
            <w:shd w:val="clear" w:color="auto" w:fill="D3F1FC"/>
          </w:tcPr>
          <w:p>
            <w:pPr>
              <w:spacing w:after="0"/>
              <w:rPr>
                <w:sz w:val="18"/>
                <w:szCs w:val="18"/>
                <w:color w:val="auto"/>
              </w:rPr>
            </w:pPr>
          </w:p>
        </w:tc>
        <w:tc>
          <w:tcPr>
            <w:tcW w:w="100" w:type="dxa"/>
            <w:vAlign w:val="bottom"/>
            <w:shd w:val="clear" w:color="auto" w:fill="D3F1FC"/>
          </w:tcPr>
          <w:p>
            <w:pPr>
              <w:spacing w:after="0"/>
              <w:rPr>
                <w:sz w:val="18"/>
                <w:szCs w:val="18"/>
                <w:color w:val="auto"/>
              </w:rPr>
            </w:pPr>
          </w:p>
        </w:tc>
        <w:tc>
          <w:tcPr>
            <w:tcW w:w="560" w:type="dxa"/>
            <w:vAlign w:val="bottom"/>
            <w:gridSpan w:val="2"/>
            <w:shd w:val="clear" w:color="auto" w:fill="D3F1FC"/>
          </w:tcPr>
          <w:p>
            <w:pPr>
              <w:spacing w:after="0"/>
              <w:rPr>
                <w:sz w:val="18"/>
                <w:szCs w:val="18"/>
                <w:color w:val="auto"/>
              </w:rPr>
            </w:pPr>
          </w:p>
        </w:tc>
        <w:tc>
          <w:tcPr>
            <w:tcW w:w="1320" w:type="dxa"/>
            <w:vAlign w:val="bottom"/>
            <w:shd w:val="clear" w:color="auto" w:fill="D3F1FC"/>
          </w:tcPr>
          <w:p>
            <w:pPr>
              <w:spacing w:after="0"/>
              <w:rPr>
                <w:sz w:val="18"/>
                <w:szCs w:val="18"/>
                <w:color w:val="auto"/>
              </w:rPr>
            </w:pPr>
          </w:p>
        </w:tc>
        <w:tc>
          <w:tcPr>
            <w:tcW w:w="120" w:type="dxa"/>
            <w:vAlign w:val="bottom"/>
            <w:shd w:val="clear" w:color="auto" w:fill="D3F1FC"/>
          </w:tcPr>
          <w:p>
            <w:pPr>
              <w:spacing w:after="0"/>
              <w:rPr>
                <w:sz w:val="18"/>
                <w:szCs w:val="18"/>
                <w:color w:val="auto"/>
              </w:rPr>
            </w:pPr>
          </w:p>
        </w:tc>
      </w:tr>
      <w:tr>
        <w:trPr>
          <w:trHeight w:val="216"/>
        </w:trPr>
        <w:tc>
          <w:tcPr>
            <w:tcW w:w="7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 AT FAIR VALUE: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D3F1FC"/>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Registered</w:t>
            </w: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companies (mutual funds)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1,559,313,976</w:t>
            </w:r>
          </w:p>
        </w:tc>
        <w:tc>
          <w:tcPr>
            <w:tcW w:w="6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1,494,081,142</w:t>
            </w: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w:t>
            </w: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collective trusts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232,719,296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65,445,814</w:t>
            </w:r>
          </w:p>
        </w:tc>
        <w:tc>
          <w:tcPr>
            <w:tcW w:w="12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Employer</w:t>
            </w:r>
          </w:p>
        </w:tc>
        <w:tc>
          <w:tcPr>
            <w:tcW w:w="6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fund</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78,214,110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100,294,159</w:t>
            </w: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Personal</w:t>
            </w:r>
          </w:p>
        </w:tc>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choice retirement account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95,341,233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75,602,879</w:t>
            </w:r>
          </w:p>
        </w:tc>
        <w:tc>
          <w:tcPr>
            <w:tcW w:w="120" w:type="dxa"/>
            <w:vAlign w:val="bottom"/>
          </w:tcPr>
          <w:p>
            <w:pPr>
              <w:spacing w:after="0"/>
              <w:rPr>
                <w:sz w:val="18"/>
                <w:szCs w:val="18"/>
                <w:color w:val="auto"/>
              </w:rPr>
            </w:pPr>
          </w:p>
        </w:tc>
      </w:tr>
      <w:tr>
        <w:trPr>
          <w:trHeight w:val="209"/>
        </w:trPr>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Total</w:t>
            </w:r>
          </w:p>
        </w:tc>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1,965,588,615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1,735,423,994</w:t>
            </w:r>
          </w:p>
        </w:tc>
        <w:tc>
          <w:tcPr>
            <w:tcW w:w="120" w:type="dxa"/>
            <w:vAlign w:val="bottom"/>
            <w:shd w:val="clear" w:color="auto" w:fill="CCEEFF"/>
          </w:tcPr>
          <w:p>
            <w:pPr>
              <w:spacing w:after="0"/>
              <w:rPr>
                <w:sz w:val="18"/>
                <w:szCs w:val="18"/>
                <w:color w:val="auto"/>
              </w:rPr>
            </w:pPr>
          </w:p>
        </w:tc>
      </w:tr>
      <w:tr>
        <w:trPr>
          <w:trHeight w:val="216"/>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RECEIVABLES:</w:t>
            </w:r>
          </w:p>
        </w:tc>
        <w:tc>
          <w:tcPr>
            <w:tcW w:w="6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20,539,844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19,187,571</w:t>
            </w:r>
          </w:p>
        </w:tc>
        <w:tc>
          <w:tcPr>
            <w:tcW w:w="120" w:type="dxa"/>
            <w:vAlign w:val="bottom"/>
            <w:shd w:val="clear" w:color="auto" w:fill="CCEEFF"/>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9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w w:val="99"/>
              </w:rPr>
              <w:t>Total</w:t>
            </w: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20,539,844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19,187,571</w:t>
            </w:r>
          </w:p>
        </w:tc>
        <w:tc>
          <w:tcPr>
            <w:tcW w:w="120" w:type="dxa"/>
            <w:vAlign w:val="bottom"/>
          </w:tcPr>
          <w:p>
            <w:pPr>
              <w:spacing w:after="0"/>
              <w:rPr>
                <w:sz w:val="18"/>
                <w:szCs w:val="18"/>
                <w:color w:val="auto"/>
              </w:rPr>
            </w:pPr>
          </w:p>
        </w:tc>
      </w:tr>
      <w:tr>
        <w:trPr>
          <w:trHeight w:val="229"/>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7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AVAILABLE FOR BENEFITS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1,986,128,459</w:t>
            </w: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1,754,611,565</w:t>
            </w:r>
          </w:p>
        </w:tc>
        <w:tc>
          <w:tcPr>
            <w:tcW w:w="120" w:type="dxa"/>
            <w:vAlign w:val="bottom"/>
            <w:shd w:val="clear" w:color="auto" w:fill="CCEEFF"/>
          </w:tcPr>
          <w:p>
            <w:pPr>
              <w:spacing w:after="0"/>
              <w:rPr>
                <w:sz w:val="19"/>
                <w:szCs w:val="19"/>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-329565</wp:posOffset>
            </wp:positionV>
            <wp:extent cx="9398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-329565</wp:posOffset>
            </wp:positionV>
            <wp:extent cx="10287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3340"/>
        <w:spacing w:after="0"/>
        <w:rPr>
          <w:sz w:val="20"/>
          <w:szCs w:val="20"/>
          <w:color w:val="auto"/>
        </w:rPr>
      </w:pPr>
      <w:r>
        <w:rPr>
          <w:rFonts w:ascii="Times New Roman" w:cs="Times New Roman" w:eastAsia="Times New Roman" w:hAnsi="Times New Roman"/>
          <w:sz w:val="18"/>
          <w:szCs w:val="18"/>
          <w:b w:val="1"/>
          <w:bCs w:val="1"/>
          <w:color w:val="auto"/>
        </w:rPr>
        <w:t>BROWN &amp; BROWN, INC. EMPLOYEE SAVINGS PLAN</w:t>
      </w:r>
    </w:p>
    <w:p>
      <w:pPr>
        <w:spacing w:after="0" w:line="10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D3F1FC"/>
          </w:tcPr>
          <w:p>
            <w:pPr>
              <w:spacing w:after="0"/>
              <w:rPr>
                <w:sz w:val="20"/>
                <w:szCs w:val="20"/>
                <w:color w:val="auto"/>
              </w:rPr>
            </w:pPr>
            <w:r>
              <w:rPr>
                <w:rFonts w:ascii="Times New Roman" w:cs="Times New Roman" w:eastAsia="Times New Roman" w:hAnsi="Times New Roman"/>
                <w:sz w:val="18"/>
                <w:szCs w:val="18"/>
                <w:color w:val="auto"/>
              </w:rPr>
              <w:t>ADDITIONS TO NET ASSETS:</w:t>
            </w:r>
          </w:p>
        </w:tc>
        <w:tc>
          <w:tcPr>
            <w:tcW w:w="480" w:type="dxa"/>
            <w:vAlign w:val="bottom"/>
            <w:shd w:val="clear" w:color="auto" w:fill="D3F1FC"/>
          </w:tcPr>
          <w:p>
            <w:pPr>
              <w:spacing w:after="0"/>
              <w:rPr>
                <w:sz w:val="18"/>
                <w:szCs w:val="18"/>
                <w:color w:val="auto"/>
              </w:rPr>
            </w:pPr>
          </w:p>
        </w:tc>
        <w:tc>
          <w:tcPr>
            <w:tcW w:w="1440" w:type="dxa"/>
            <w:vAlign w:val="bottom"/>
            <w:shd w:val="clear" w:color="auto" w:fill="D3F1FC"/>
          </w:tcPr>
          <w:p>
            <w:pPr>
              <w:spacing w:after="0"/>
              <w:rPr>
                <w:sz w:val="18"/>
                <w:szCs w:val="18"/>
                <w:color w:val="auto"/>
              </w:rPr>
            </w:pPr>
          </w:p>
        </w:tc>
        <w:tc>
          <w:tcPr>
            <w:tcW w:w="100" w:type="dxa"/>
            <w:vAlign w:val="bottom"/>
            <w:shd w:val="clear" w:color="auto" w:fill="D3F1FC"/>
          </w:tcPr>
          <w:p>
            <w:pPr>
              <w:spacing w:after="0"/>
              <w:rPr>
                <w:sz w:val="18"/>
                <w:szCs w:val="18"/>
                <w:color w:val="auto"/>
              </w:rPr>
            </w:pPr>
          </w:p>
        </w:tc>
      </w:tr>
      <w:tr>
        <w:trPr>
          <w:trHeight w:val="216"/>
        </w:trPr>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Dividend income</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73,596,194</w:t>
            </w:r>
          </w:p>
        </w:tc>
      </w:tr>
      <w:tr>
        <w:trPr>
          <w:trHeight w:val="216"/>
        </w:trPr>
        <w:tc>
          <w:tcPr>
            <w:tcW w:w="9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3,021,716</w:t>
            </w:r>
          </w:p>
        </w:tc>
      </w:tr>
      <w:tr>
        <w:trPr>
          <w:trHeight w:val="216"/>
        </w:trPr>
        <w:tc>
          <w:tcPr>
            <w:tcW w:w="9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166,811</w:t>
            </w:r>
          </w:p>
        </w:tc>
      </w:tr>
      <w:tr>
        <w:trPr>
          <w:trHeight w:val="216"/>
        </w:trPr>
        <w:tc>
          <w:tcPr>
            <w:tcW w:w="9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155,066,382</w:t>
            </w:r>
          </w:p>
        </w:tc>
        <w:tc>
          <w:tcPr>
            <w:tcW w:w="100" w:type="dxa"/>
            <w:vAlign w:val="bottom"/>
          </w:tcPr>
          <w:p>
            <w:pPr>
              <w:spacing w:after="0"/>
              <w:rPr>
                <w:sz w:val="18"/>
                <w:szCs w:val="18"/>
                <w:color w:val="auto"/>
              </w:rPr>
            </w:pPr>
          </w:p>
        </w:tc>
      </w:tr>
      <w:tr>
        <w:trPr>
          <w:trHeight w:val="210"/>
        </w:trPr>
        <w:tc>
          <w:tcPr>
            <w:tcW w:w="9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Net investment income</w:t>
            </w:r>
          </w:p>
        </w:tc>
        <w:tc>
          <w:tcPr>
            <w:tcW w:w="4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231,851,103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4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1,521,209</w:t>
            </w:r>
          </w:p>
        </w:tc>
      </w:tr>
      <w:tr>
        <w:trPr>
          <w:trHeight w:val="209"/>
        </w:trPr>
        <w:tc>
          <w:tcPr>
            <w:tcW w:w="9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Contributions:</w:t>
            </w:r>
          </w:p>
        </w:tc>
        <w:tc>
          <w:tcPr>
            <w:tcW w:w="4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Participants</w:t>
            </w:r>
          </w:p>
        </w:tc>
        <w:tc>
          <w:tcPr>
            <w:tcW w:w="4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94,643,716</w:t>
            </w:r>
          </w:p>
        </w:tc>
      </w:tr>
      <w:tr>
        <w:trPr>
          <w:trHeight w:val="216"/>
        </w:trPr>
        <w:tc>
          <w:tcPr>
            <w:tcW w:w="9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Employer</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45,992,614</w:t>
            </w:r>
          </w:p>
        </w:tc>
      </w:tr>
      <w:tr>
        <w:trPr>
          <w:trHeight w:val="216"/>
        </w:trPr>
        <w:tc>
          <w:tcPr>
            <w:tcW w:w="9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Rollovers from other qualified plans</w:t>
            </w: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22,048,379</w:t>
            </w:r>
          </w:p>
        </w:tc>
        <w:tc>
          <w:tcPr>
            <w:tcW w:w="100" w:type="dxa"/>
            <w:vAlign w:val="bottom"/>
          </w:tcPr>
          <w:p>
            <w:pPr>
              <w:spacing w:after="0"/>
              <w:rPr>
                <w:sz w:val="18"/>
                <w:szCs w:val="18"/>
                <w:color w:val="auto"/>
              </w:rPr>
            </w:pPr>
          </w:p>
        </w:tc>
      </w:tr>
      <w:tr>
        <w:trPr>
          <w:trHeight w:val="209"/>
        </w:trPr>
        <w:tc>
          <w:tcPr>
            <w:tcW w:w="9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Total contributions</w:t>
            </w:r>
          </w:p>
        </w:tc>
        <w:tc>
          <w:tcPr>
            <w:tcW w:w="4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162,684,709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 additions</w:t>
            </w:r>
          </w:p>
        </w:tc>
        <w:tc>
          <w:tcPr>
            <w:tcW w:w="4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396,057,021</w:t>
            </w:r>
          </w:p>
        </w:tc>
      </w:tr>
      <w:tr>
        <w:trPr>
          <w:trHeight w:val="20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4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4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(163,587,080)</w:t>
            </w:r>
          </w:p>
        </w:tc>
      </w:tr>
      <w:tr>
        <w:trPr>
          <w:trHeight w:val="216"/>
        </w:trPr>
        <w:tc>
          <w:tcPr>
            <w:tcW w:w="92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Administrative expenses</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(953,047)</w:t>
            </w:r>
          </w:p>
        </w:tc>
      </w:tr>
      <w:tr>
        <w:trPr>
          <w:trHeight w:val="20"/>
        </w:trPr>
        <w:tc>
          <w:tcPr>
            <w:tcW w:w="9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9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Total deductions</w:t>
            </w:r>
          </w:p>
        </w:tc>
        <w:tc>
          <w:tcPr>
            <w:tcW w:w="4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(164,540,127)</w:t>
            </w:r>
          </w:p>
        </w:tc>
      </w:tr>
      <w:tr>
        <w:trPr>
          <w:trHeight w:val="20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ASSETS AVAILABLE FOR BENEFITS</w:t>
            </w:r>
          </w:p>
        </w:tc>
        <w:tc>
          <w:tcPr>
            <w:tcW w:w="4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231,516,894</w:t>
            </w: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BENEFITS—Beginning of year</w:t>
            </w:r>
          </w:p>
        </w:tc>
        <w:tc>
          <w:tcPr>
            <w:tcW w:w="4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1,754,611,565</w:t>
            </w:r>
          </w:p>
        </w:tc>
      </w:tr>
      <w:tr>
        <w:trPr>
          <w:trHeight w:val="256"/>
        </w:trPr>
        <w:tc>
          <w:tcPr>
            <w:tcW w:w="9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—End of year</w:t>
            </w: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1,986,128,459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BROWN &amp; BROWN, INC. EMPLOYEE SAVINGS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brief description of the Brown &amp; Brown, Inc. Employee Savings Plan (the “Plan”) is provided for general information purposes only.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should refer to the Plan document for a more complete description of the Plan’s provisions.</w:t>
      </w:r>
    </w:p>
    <w:p>
      <w:pPr>
        <w:spacing w:after="0" w:line="95" w:lineRule="exact"/>
        <w:rPr>
          <w:sz w:val="20"/>
          <w:szCs w:val="20"/>
          <w:color w:val="auto"/>
        </w:rPr>
      </w:pPr>
    </w:p>
    <w:p>
      <w:pPr>
        <w:ind w:left="5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 The Plan is a defined contribution plan. Substantially all employees who are at least 18 years of age and who are expected to complete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of service (minimum of 1,000 hours) are eligible to participate in the Plan effective the first full payroll period after one month of service.</w:t>
      </w:r>
    </w:p>
    <w:p>
      <w:pPr>
        <w:spacing w:after="0" w:line="51"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Effective January 1, 2025, employees who have completed at least two consecutive years of service with 500 or more hours of service in each year (with the first such year beginning in 2023) are eligible to participate in the Plan.</w:t>
      </w:r>
    </w:p>
    <w:p>
      <w:pPr>
        <w:spacing w:after="0" w:line="54"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Plan is intended to assist Brown &amp; Brown, Inc. and its subsidiaries (the “Employer”) in its efforts to attract and retain employees by enabling eligible employees who are United States citizens with the opportunity to invest a portion of their annual compensation in the Plan, augmented by employer contributions, to supplement the employees’ retirement income. The Plan is subject to the provisions of the Employee Retirement Income Security Act of 1974, as amended (“ERISA”).</w:t>
      </w:r>
    </w:p>
    <w:p>
      <w:pPr>
        <w:spacing w:after="0" w:line="68" w:lineRule="exact"/>
        <w:rPr>
          <w:sz w:val="20"/>
          <w:szCs w:val="20"/>
          <w:color w:val="auto"/>
        </w:rPr>
      </w:pPr>
    </w:p>
    <w:p>
      <w:pPr>
        <w:ind w:left="5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 The Plan is administered by the Investment Committee as the designated Plan Administrator (the “Administrator”), which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appointed by the Board of Directors (the “Board”) of the Employer. Information about the Plan document, such as provisions for allocations to participants’ accounts, vesting, benefits, and withdrawals, is contained in the Summary Plan Description. Copies of this document are available on the employee benefits website accessible to employees of the Employer or from the Administrator. Schwab Retirement Plan Services, Inc. (“Schwab”) serves as the recordkeeper of the Plan.</w:t>
      </w:r>
    </w:p>
    <w:p>
      <w:pPr>
        <w:spacing w:after="0" w:line="71" w:lineRule="exact"/>
        <w:rPr>
          <w:sz w:val="20"/>
          <w:szCs w:val="20"/>
          <w:color w:val="auto"/>
        </w:rPr>
      </w:pPr>
    </w:p>
    <w:p>
      <w:pPr>
        <w:ind w:left="5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Contributions </w:t>
      </w:r>
      <w:r>
        <w:rPr>
          <w:rFonts w:ascii="Times New Roman" w:cs="Times New Roman" w:eastAsia="Times New Roman" w:hAnsi="Times New Roman"/>
          <w:sz w:val="18"/>
          <w:szCs w:val="18"/>
          <w:color w:val="auto"/>
        </w:rPr>
        <w:t>- The Plan permits participants to contribute up to 70% of their eligible compensation to the Plan, subject to statutory limitations.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 makes a fully vested safe harbor matching contribution for each participant equal to the sum of (1) 100% of the participant’s elective deferrals up to 3% of compensation for the allocation period, plus (2) 50% of the participant’s elective deferrals that exceed 3% of compensation for the allocation period, but do not exceed 5% of compensation for the allocation period. Effective January 1, 2025, participants aged 60 to 63 were allowed increased deferral catch-up elections at 1.5 times the allowable catch-up contribution limit. Additionally, eligible plan participants were allowed to make after-tax contributions of up to $10,000 annually, in addition to other permissible contribution types.</w:t>
      </w:r>
    </w:p>
    <w:p>
      <w:pPr>
        <w:spacing w:after="0" w:line="78" w:lineRule="exact"/>
        <w:rPr>
          <w:sz w:val="20"/>
          <w:szCs w:val="20"/>
          <w:color w:val="auto"/>
        </w:rPr>
      </w:pPr>
    </w:p>
    <w:p>
      <w:pPr>
        <w:ind w:left="520" w:right="540"/>
        <w:spacing w:after="0" w:line="282" w:lineRule="auto"/>
        <w:rPr>
          <w:sz w:val="20"/>
          <w:szCs w:val="20"/>
          <w:color w:val="auto"/>
        </w:rPr>
      </w:pPr>
      <w:r>
        <w:rPr>
          <w:rFonts w:ascii="Times New Roman" w:cs="Times New Roman" w:eastAsia="Times New Roman" w:hAnsi="Times New Roman"/>
          <w:sz w:val="18"/>
          <w:szCs w:val="18"/>
          <w:color w:val="auto"/>
        </w:rPr>
        <w:t>The Plan permits the Board to authorize discretionary additional matching contributions and/or discretionary profit-sharing contributions. No additional matching contributions and/or profit-sharing contributions were made for the 2025 Plan year.</w:t>
      </w:r>
    </w:p>
    <w:p>
      <w:pPr>
        <w:spacing w:after="0" w:line="50" w:lineRule="exact"/>
        <w:rPr>
          <w:sz w:val="20"/>
          <w:szCs w:val="20"/>
          <w:color w:val="auto"/>
        </w:rPr>
      </w:pPr>
    </w:p>
    <w:p>
      <w:pPr>
        <w:ind w:left="5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w:t>
      </w:r>
      <w:r>
        <w:rPr>
          <w:rFonts w:ascii="Times New Roman" w:cs="Times New Roman" w:eastAsia="Times New Roman" w:hAnsi="Times New Roman"/>
          <w:sz w:val="18"/>
          <w:szCs w:val="18"/>
          <w:color w:val="auto"/>
        </w:rPr>
        <w:t>- Participants are immediately vested in their voluntary contributions and actual earnings thereon. Participants are immediately vested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 safe harbor matching contributions made pursuant to the formula described above. Vesting in any discretionary Employer matching contributions and discretionary profit-sharing contributions are based on years of service, as defined by the Plan, and are subject to the following vesting schedule:</w:t>
      </w:r>
    </w:p>
    <w:p>
      <w:pPr>
        <w:spacing w:after="0" w:line="187" w:lineRule="exact"/>
        <w:rPr>
          <w:sz w:val="20"/>
          <w:szCs w:val="20"/>
          <w:color w:val="auto"/>
        </w:rPr>
      </w:pPr>
    </w:p>
    <w:tbl>
      <w:tblPr>
        <w:tblLayout w:type="fixed"/>
        <w:tblInd w:w="1640" w:type="dxa"/>
        <w:tblCellMar>
          <w:top w:w="0" w:type="dxa"/>
          <w:left w:w="0" w:type="dxa"/>
          <w:bottom w:w="0" w:type="dxa"/>
          <w:right w:w="0" w:type="dxa"/>
        </w:tblCellMar>
      </w:tblPr>
      <w:tr>
        <w:trPr>
          <w:trHeight w:val="173"/>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 of Service</w:t>
            </w:r>
          </w:p>
        </w:tc>
        <w:tc>
          <w:tcPr>
            <w:tcW w:w="4940" w:type="dxa"/>
            <w:vAlign w:val="bottom"/>
          </w:tcPr>
          <w:p>
            <w:pPr>
              <w:spacing w:after="0"/>
              <w:rPr>
                <w:sz w:val="15"/>
                <w:szCs w:val="15"/>
                <w:color w:val="auto"/>
              </w:rPr>
            </w:pPr>
          </w:p>
        </w:tc>
        <w:tc>
          <w:tcPr>
            <w:tcW w:w="1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Vested Percentage</w:t>
            </w:r>
          </w:p>
        </w:tc>
      </w:tr>
      <w:tr>
        <w:trPr>
          <w:trHeight w:val="209"/>
        </w:trPr>
        <w:tc>
          <w:tcPr>
            <w:tcW w:w="1240" w:type="dxa"/>
            <w:vAlign w:val="bottom"/>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6720" w:type="dxa"/>
            <w:vAlign w:val="bottom"/>
            <w:gridSpan w:val="2"/>
            <w:shd w:val="clear" w:color="auto" w:fill="D3F1FC"/>
          </w:tcPr>
          <w:p>
            <w:pPr>
              <w:jc w:val="center"/>
              <w:ind w:left="4870"/>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720" w:type="dxa"/>
            <w:vAlign w:val="bottom"/>
            <w:gridSpan w:val="2"/>
          </w:tcPr>
          <w:p>
            <w:pPr>
              <w:jc w:val="center"/>
              <w:ind w:left="48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940" w:type="dxa"/>
            <w:vAlign w:val="bottom"/>
            <w:shd w:val="clear" w:color="auto" w:fill="D3F1FC"/>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9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720" w:type="dxa"/>
            <w:vAlign w:val="bottom"/>
            <w:gridSpan w:val="2"/>
            <w:shd w:val="clear" w:color="auto" w:fill="CCEEFF"/>
          </w:tcPr>
          <w:p>
            <w:pPr>
              <w:jc w:val="center"/>
              <w:ind w:left="4850"/>
              <w:spacing w:after="0"/>
              <w:rPr>
                <w:sz w:val="20"/>
                <w:szCs w:val="20"/>
                <w:color w:val="auto"/>
              </w:rPr>
            </w:pPr>
            <w:r>
              <w:rPr>
                <w:rFonts w:ascii="Times New Roman" w:cs="Times New Roman" w:eastAsia="Times New Roman" w:hAnsi="Times New Roman"/>
                <w:sz w:val="18"/>
                <w:szCs w:val="18"/>
                <w:color w:val="auto"/>
                <w:w w:val="99"/>
              </w:rPr>
              <w:t>80</w:t>
            </w: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or more</w:t>
            </w:r>
          </w:p>
        </w:tc>
        <w:tc>
          <w:tcPr>
            <w:tcW w:w="6720" w:type="dxa"/>
            <w:vAlign w:val="bottom"/>
            <w:gridSpan w:val="2"/>
          </w:tcPr>
          <w:p>
            <w:pPr>
              <w:jc w:val="center"/>
              <w:ind w:left="487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71" w:lineRule="exact"/>
        <w:rPr>
          <w:sz w:val="20"/>
          <w:szCs w:val="20"/>
          <w:color w:val="auto"/>
        </w:rPr>
      </w:pPr>
    </w:p>
    <w:p>
      <w:pPr>
        <w:ind w:left="520" w:right="600"/>
        <w:spacing w:after="0" w:line="261" w:lineRule="auto"/>
        <w:rPr>
          <w:sz w:val="20"/>
          <w:szCs w:val="20"/>
          <w:color w:val="auto"/>
        </w:rPr>
      </w:pPr>
      <w:r>
        <w:rPr>
          <w:rFonts w:ascii="Times New Roman" w:cs="Times New Roman" w:eastAsia="Times New Roman" w:hAnsi="Times New Roman"/>
          <w:sz w:val="18"/>
          <w:szCs w:val="18"/>
          <w:color w:val="auto"/>
        </w:rPr>
        <w:t>In accordance with Internal Revenue Service regulations, the Plan provides that the forfeited balances of terminated participants’ non-vested accounts may be used to pay administrative expenses incurred by the Plan or reduce Employer</w:t>
      </w: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512" w:right="260"/>
        <w:spacing w:after="0" w:line="282" w:lineRule="auto"/>
        <w:rPr>
          <w:sz w:val="20"/>
          <w:szCs w:val="20"/>
          <w:color w:val="auto"/>
        </w:rPr>
      </w:pPr>
      <w:r>
        <w:rPr>
          <w:rFonts w:ascii="Times New Roman" w:cs="Times New Roman" w:eastAsia="Times New Roman" w:hAnsi="Times New Roman"/>
          <w:sz w:val="18"/>
          <w:szCs w:val="18"/>
          <w:color w:val="auto"/>
        </w:rPr>
        <w:t>contributions. As of December 31, 2025 and 2024, forfeitures totaled approximately $13,680 and $18,375, respectively. For the 2025 Plan year, forfeitures of $8,879 were used to offset Employer contributions.</w:t>
      </w:r>
    </w:p>
    <w:p>
      <w:pPr>
        <w:spacing w:after="0" w:line="50" w:lineRule="exact"/>
        <w:rPr>
          <w:sz w:val="20"/>
          <w:szCs w:val="20"/>
          <w:color w:val="auto"/>
        </w:rPr>
      </w:pPr>
    </w:p>
    <w:p>
      <w:pPr>
        <w:ind w:left="512"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Payments </w:t>
      </w:r>
      <w:r>
        <w:rPr>
          <w:rFonts w:ascii="Times New Roman" w:cs="Times New Roman" w:eastAsia="Times New Roman" w:hAnsi="Times New Roman"/>
          <w:sz w:val="18"/>
          <w:szCs w:val="18"/>
          <w:color w:val="auto"/>
        </w:rPr>
        <w:t>- Benefits under the Plan are payable upon normal (after age 65) or early (after age 59-1/2 and five years of service, as defined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 retirement, death, disability, severe financial hardship, or termination of service and are based on the vested balance in the participant’s account. Distributions of vested account balances will be made in the form of a single lump-sum payment or in some other optional form of payment, as defined in the Plan. Prior to January 15, 2025, if the participant’s vested account was between $250 and $5,000 at the time of termination of employment or disability, and the participant did not elect a distribution as a lump sum payment or direct rollover to an eligible retirement plan, the Administrator will make the distribution to an Individual Retirement Account administered by Charles Schwab Trust Bank. Effective January 15, 2025, the threshold increased from $5,000 to $7,000. If the participant’s vested balance is $250 or less upon termination of employment or disability, the balance will be distributed as a single lump sum cash distribution. Effective January 1, 2025, participants can elect an In-Plan Roth Rollover of eligible vested amounts.</w:t>
      </w:r>
    </w:p>
    <w:p>
      <w:pPr>
        <w:spacing w:after="0" w:line="80" w:lineRule="exact"/>
        <w:rPr>
          <w:sz w:val="20"/>
          <w:szCs w:val="20"/>
          <w:color w:val="auto"/>
        </w:rPr>
      </w:pPr>
    </w:p>
    <w:p>
      <w:pPr>
        <w:ind w:left="512"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Income/(Loss) and Expenses </w:t>
      </w:r>
      <w:r>
        <w:rPr>
          <w:rFonts w:ascii="Times New Roman" w:cs="Times New Roman" w:eastAsia="Times New Roman" w:hAnsi="Times New Roman"/>
          <w:sz w:val="18"/>
          <w:szCs w:val="18"/>
          <w:color w:val="auto"/>
        </w:rPr>
        <w:t>- Each participant’s account shall be allocated the investment income/loss and expenses of each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value of each participant’s account invested in each fund, in proportion to the total value of all accounts in each fund, taking into consideration any contributions to or distributions from the participant’s account in each fund. General expenses of the Plan that are not paid by the Employer and are not attributable to any particular fund shall be allocated among participants’ accounts in proportion to the value of each account, taking into consideration each participant’s contributions and distributions.</w:t>
      </w:r>
    </w:p>
    <w:p>
      <w:pPr>
        <w:spacing w:after="0" w:line="75" w:lineRule="exact"/>
        <w:rPr>
          <w:sz w:val="20"/>
          <w:szCs w:val="20"/>
          <w:color w:val="auto"/>
        </w:rPr>
      </w:pPr>
    </w:p>
    <w:p>
      <w:pPr>
        <w:ind w:left="512"/>
        <w:spacing w:after="0" w:line="256" w:lineRule="auto"/>
        <w:rPr>
          <w:sz w:val="20"/>
          <w:szCs w:val="20"/>
          <w:color w:val="auto"/>
        </w:rPr>
      </w:pPr>
      <w:r>
        <w:rPr>
          <w:rFonts w:ascii="Times New Roman" w:cs="Times New Roman" w:eastAsia="Times New Roman" w:hAnsi="Times New Roman"/>
          <w:sz w:val="18"/>
          <w:szCs w:val="18"/>
          <w:color w:val="auto"/>
        </w:rPr>
        <w:t>The agreement between Charles Schwab Trust Bank (the “Trustee”) and the Plan includes a revenue-sharing arrangement, whereby the Trustee shares revenue generated by the Plan in excess of the Trustee’s fee. These deposits are included in the “Other Income” amount in the Statement of Changes to Net Assets Available for Benefits. These funds are used to pay other Plan expenses, with any remaining amounts being allocated to participants. During 2025, revenue plus adjustments of $122,743 was deposited into the Plan related to this revenue-sharing arrangement. As of December 31, 2025 and 2024, $24,600 and $31,997, respectively, were available to be allocated to participants or to pay Plan expenses. For the Plan year ended December 31, 2025, Plan expenses of $98,143 were paid by these funds and $31,997 was allocated to participants.</w:t>
      </w:r>
    </w:p>
    <w:p>
      <w:pPr>
        <w:spacing w:after="0" w:line="79" w:lineRule="exact"/>
        <w:rPr>
          <w:sz w:val="20"/>
          <w:szCs w:val="20"/>
          <w:color w:val="auto"/>
        </w:rPr>
      </w:pPr>
    </w:p>
    <w:p>
      <w:pPr>
        <w:ind w:left="512"/>
        <w:spacing w:after="0" w:line="256" w:lineRule="auto"/>
        <w:rPr>
          <w:sz w:val="20"/>
          <w:szCs w:val="20"/>
          <w:color w:val="auto"/>
        </w:rPr>
      </w:pPr>
      <w:r>
        <w:rPr>
          <w:rFonts w:ascii="Times New Roman" w:cs="Times New Roman" w:eastAsia="Times New Roman" w:hAnsi="Times New Roman"/>
          <w:sz w:val="18"/>
          <w:szCs w:val="18"/>
          <w:color w:val="auto"/>
        </w:rPr>
        <w:t>Notes Receivable from Participants - A participant may borrow from his or her own account a minimum of $1,000, up to a maximum equal to the lesser of: (a) $50,000 or (b) 50% of the participant’s vested account balance. Participants may not have more than two loans outstanding at any time, with a limited exception for grandfathered outstanding loans transferred to the Plan as a result of mergers of plans maintained by acquired companies. Loans, which are repayable each pay period for periods ranging generally up to five years (and up to 15 years for the purchase of a principal residence), are collateralized by a security interest in the borrower’s vested account balance. The loans bear interest at the prime rate plus 1%, determined at the time the loan is approved. As of December 31, 2025, interest rates applicable to such loans ranged from 4.25% to 9.5%.</w:t>
      </w:r>
    </w:p>
    <w:p>
      <w:pPr>
        <w:spacing w:after="0" w:line="224" w:lineRule="exact"/>
        <w:rPr>
          <w:sz w:val="20"/>
          <w:szCs w:val="20"/>
          <w:color w:val="auto"/>
        </w:rPr>
      </w:pPr>
    </w:p>
    <w:p>
      <w:pPr>
        <w:ind w:left="352" w:hanging="352"/>
        <w:spacing w:after="0"/>
        <w:tabs>
          <w:tab w:leader="none" w:pos="3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12"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the financial statements in accordance with accounting principles generally accepted in the United States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(U.S. GAAP) requires management to make estimates and assumptions that affect the reported amounts of net assets available for benefits and changes therein. Actual results could differ from those estimates.</w:t>
      </w:r>
    </w:p>
    <w:p>
      <w:pPr>
        <w:spacing w:after="0" w:line="6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r>
        <w:rPr>
          <w:rFonts w:ascii="Times New Roman" w:cs="Times New Roman" w:eastAsia="Times New Roman" w:hAnsi="Times New Roman"/>
          <w:sz w:val="18"/>
          <w:szCs w:val="18"/>
          <w:color w:val="auto"/>
        </w:rPr>
        <w:t>- The accompanying financial statements of the Plan are presented on the accrual basis of accounting in accordance with U.S.</w:t>
      </w:r>
    </w:p>
    <w:p>
      <w:pPr>
        <w:spacing w:after="0" w:line="3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GAAP.</w:t>
      </w:r>
    </w:p>
    <w:p>
      <w:pPr>
        <w:spacing w:after="0" w:line="95" w:lineRule="exact"/>
        <w:rPr>
          <w:sz w:val="20"/>
          <w:szCs w:val="20"/>
          <w:color w:val="auto"/>
        </w:rPr>
      </w:pPr>
    </w:p>
    <w:p>
      <w:pPr>
        <w:ind w:left="512"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Contributions </w:t>
      </w:r>
      <w:r>
        <w:rPr>
          <w:rFonts w:ascii="Times New Roman" w:cs="Times New Roman" w:eastAsia="Times New Roman" w:hAnsi="Times New Roman"/>
          <w:sz w:val="18"/>
          <w:szCs w:val="18"/>
          <w:color w:val="auto"/>
        </w:rPr>
        <w:t>– Contributions from the Plan participants and the matching contributions from the Employer are recorded in the year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contributions are withheld from compensation.</w:t>
      </w:r>
    </w:p>
    <w:p>
      <w:pPr>
        <w:spacing w:after="0" w:line="47" w:lineRule="exact"/>
        <w:rPr>
          <w:sz w:val="20"/>
          <w:szCs w:val="20"/>
          <w:color w:val="auto"/>
        </w:rPr>
      </w:pPr>
    </w:p>
    <w:p>
      <w:pPr>
        <w:ind w:left="512"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Receivable from Participants </w:t>
      </w:r>
      <w:r>
        <w:rPr>
          <w:rFonts w:ascii="Times New Roman" w:cs="Times New Roman" w:eastAsia="Times New Roman" w:hAnsi="Times New Roman"/>
          <w:sz w:val="18"/>
          <w:szCs w:val="18"/>
          <w:color w:val="auto"/>
        </w:rPr>
        <w:t>- Notes receivable from participants are recorded at their unpaid principal balance plus any accrued but unpaid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Interest income is recorded on the accrual basis. Related fees are recorded as administrative expenses and are expensed when they are incurred. No allowance for credit losses was recorded as of December 31, 2025 or 2024. Defaulted participant loans are reclassified as distributions based upon the terms of the Plan document.</w:t>
      </w:r>
    </w:p>
    <w:p>
      <w:pPr>
        <w:spacing w:after="0" w:line="6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Benefit Payments </w:t>
      </w:r>
      <w:r>
        <w:rPr>
          <w:rFonts w:ascii="Times New Roman" w:cs="Times New Roman" w:eastAsia="Times New Roman" w:hAnsi="Times New Roman"/>
          <w:sz w:val="18"/>
          <w:szCs w:val="18"/>
          <w:color w:val="auto"/>
        </w:rPr>
        <w:t>- Benefit payments are recorded when paid.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8" w:name="page9"/>
    <w:bookmarkEnd w:id="8"/>
    <w:p>
      <w:pPr>
        <w:ind w:left="512"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Administrative Expenses </w:t>
      </w:r>
      <w:r>
        <w:rPr>
          <w:rFonts w:ascii="Times New Roman" w:cs="Times New Roman" w:eastAsia="Times New Roman" w:hAnsi="Times New Roman"/>
          <w:sz w:val="18"/>
          <w:szCs w:val="18"/>
          <w:color w:val="auto"/>
        </w:rPr>
        <w:t>- All investment-related expenses are charged against the Plan’s earnings or are paid by the Plan. All approved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expenses are paid by the Plan, unless otherwise provided for by the Employer.</w:t>
      </w:r>
    </w:p>
    <w:p>
      <w:pPr>
        <w:spacing w:after="0" w:line="47" w:lineRule="exact"/>
        <w:rPr>
          <w:sz w:val="20"/>
          <w:szCs w:val="20"/>
          <w:color w:val="auto"/>
        </w:rPr>
      </w:pPr>
    </w:p>
    <w:p>
      <w:pPr>
        <w:ind w:left="512"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Investments and Income (Loss) Recognition </w:t>
      </w:r>
      <w:r>
        <w:rPr>
          <w:rFonts w:ascii="Times New Roman" w:cs="Times New Roman" w:eastAsia="Times New Roman" w:hAnsi="Times New Roman"/>
          <w:sz w:val="18"/>
          <w:szCs w:val="18"/>
          <w:color w:val="auto"/>
        </w:rPr>
        <w:t>- The Plan's investments are stated at fair value. Fair value of financial instruments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what would be received to sell an asset or paid to transfer a liability in an orderly transaction between market participants at the measurement date. See Note 3 for discussion of fair value measurements. The Plan’s investments in money market funds, mutual funds and the personal choice retirement account, which includes investments in corporate bonds, government treasuries, Exchange-traded funds (ETF), mutual funds and common stock, are stated at fair value based on quoted market prices at year-end. The fair value of the Brown &amp; Brown stock fund is measured using the unit value calculated from the observable market price of the stock plus the cost of the short-term investment fund, which approximates fair value. The fair value of the common collective trust accounts is based upon the net asset value (“NAV”) of the fund's underlying assets less its liabilities. The NAV, as provided by the Trustee, is used as a practical expedient to estimate fair value.</w:t>
      </w:r>
    </w:p>
    <w:p>
      <w:pPr>
        <w:spacing w:after="0" w:line="81" w:lineRule="exact"/>
        <w:rPr>
          <w:sz w:val="20"/>
          <w:szCs w:val="20"/>
          <w:color w:val="auto"/>
        </w:rPr>
      </w:pPr>
    </w:p>
    <w:p>
      <w:pPr>
        <w:jc w:val="both"/>
        <w:ind w:left="512" w:right="120"/>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 Dividends are recorded on the ex-dividend date. Net appreciation (depreciation) includes the Plan’s gains and losses on investments bought and sold, as well as investments held during the year.</w:t>
      </w:r>
    </w:p>
    <w:p>
      <w:pPr>
        <w:spacing w:after="0" w:line="200" w:lineRule="exact"/>
        <w:rPr>
          <w:sz w:val="20"/>
          <w:szCs w:val="20"/>
          <w:color w:val="auto"/>
        </w:rPr>
      </w:pPr>
    </w:p>
    <w:p>
      <w:pPr>
        <w:spacing w:after="0" w:line="228" w:lineRule="exact"/>
        <w:rPr>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7" w:lineRule="exact"/>
        <w:rPr>
          <w:sz w:val="20"/>
          <w:szCs w:val="20"/>
          <w:color w:val="auto"/>
        </w:rPr>
      </w:pPr>
    </w:p>
    <w:p>
      <w:pPr>
        <w:ind w:left="51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 The Plan adopted a fair value measurement method that establishes a fair value hierarchy which prioritizes the inputs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7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sz w:val="20"/>
          <w:szCs w:val="20"/>
          <w:color w:val="auto"/>
        </w:rPr>
      </w:pPr>
    </w:p>
    <w:p>
      <w:pPr>
        <w:ind w:left="512" w:right="80"/>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considered to be active or financial instruments for which all significant inputs are observable, either directly or indirectly;</w:t>
      </w:r>
    </w:p>
    <w:p>
      <w:pPr>
        <w:spacing w:after="0" w:line="54"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jc w:val="both"/>
        <w:ind w:left="512" w:right="20"/>
        <w:spacing w:after="0" w:line="261" w:lineRule="auto"/>
        <w:rPr>
          <w:sz w:val="20"/>
          <w:szCs w:val="20"/>
          <w:color w:val="auto"/>
        </w:rPr>
      </w:pPr>
      <w:r>
        <w:rPr>
          <w:rFonts w:ascii="Times New Roman" w:cs="Times New Roman" w:eastAsia="Times New Roman" w:hAnsi="Times New Roman"/>
          <w:sz w:val="18"/>
          <w:szCs w:val="18"/>
          <w:color w:val="auto"/>
        </w:rPr>
        <w:t>The fair values estimated and derived from each fair value calculation may not be indicative of net realizable value or reflective of future fair values. Furthermore, while the Plan believes its valuation methods are appropriate and consistent with those utilized by other market participants, the use of different methodologies or assumptions to determine the fair value of certain financial instruments could result in a different fair value measurement at the reporting date. Following is a description of the valuation methodologies used for assets measured at fair value.</w:t>
      </w:r>
    </w:p>
    <w:p>
      <w:pPr>
        <w:spacing w:after="0" w:line="70" w:lineRule="exact"/>
        <w:rPr>
          <w:sz w:val="20"/>
          <w:szCs w:val="20"/>
          <w:color w:val="auto"/>
        </w:rPr>
      </w:pPr>
    </w:p>
    <w:p>
      <w:pPr>
        <w:ind w:left="512" w:right="100" w:firstLine="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 Valued at the daily closing price as reported by the fund. Mutual funds held by the Plan are open-end mutual funds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with the U.S. Securities and Exchange Commission. These funds are required to publish their daily net asset value (NAV) and to transact at that price. The mutual funds held by the Plan are deemed to be actively traded.</w:t>
      </w:r>
    </w:p>
    <w:p>
      <w:pPr>
        <w:spacing w:after="0" w:line="65" w:lineRule="exact"/>
        <w:rPr>
          <w:sz w:val="20"/>
          <w:szCs w:val="20"/>
          <w:color w:val="auto"/>
        </w:rPr>
      </w:pPr>
    </w:p>
    <w:p>
      <w:pPr>
        <w:ind w:left="512" w:right="100" w:firstLine="45"/>
        <w:spacing w:after="0" w:line="261" w:lineRule="auto"/>
        <w:rPr>
          <w:sz w:val="20"/>
          <w:szCs w:val="20"/>
          <w:color w:val="auto"/>
        </w:rPr>
      </w:pPr>
      <w:r>
        <w:rPr>
          <w:rFonts w:ascii="Times New Roman" w:cs="Times New Roman" w:eastAsia="Times New Roman" w:hAnsi="Times New Roman"/>
          <w:sz w:val="18"/>
          <w:szCs w:val="18"/>
          <w:i w:val="1"/>
          <w:iCs w:val="1"/>
          <w:color w:val="auto"/>
        </w:rPr>
        <w:t>Personal Choice Retirement Accounts</w:t>
      </w:r>
      <w:r>
        <w:rPr>
          <w:rFonts w:ascii="Times New Roman" w:cs="Times New Roman" w:eastAsia="Times New Roman" w:hAnsi="Times New Roman"/>
          <w:sz w:val="18"/>
          <w:szCs w:val="18"/>
          <w:color w:val="auto"/>
        </w:rPr>
        <w:t>- Investments included in the personal choice retirement accounts include mutual funds (valued as noted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common stocks, money market funds, corporate bonds, government treasuries and ETF’s. Common stocks are valued at the closing price reported on the active market on which the individual securities are traded. Money market funds are stated at fair value based upon quoted prices of the NAV of shares held by the Plan at year-end.</w:t>
      </w:r>
    </w:p>
    <w:p>
      <w:pPr>
        <w:spacing w:after="0" w:line="72" w:lineRule="exact"/>
        <w:rPr>
          <w:sz w:val="20"/>
          <w:szCs w:val="20"/>
          <w:color w:val="auto"/>
        </w:rPr>
      </w:pPr>
    </w:p>
    <w:p>
      <w:pPr>
        <w:ind w:left="512" w:right="20" w:firstLine="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Employer Common Stock Fund </w:t>
      </w:r>
      <w:r>
        <w:rPr>
          <w:rFonts w:ascii="Times New Roman" w:cs="Times New Roman" w:eastAsia="Times New Roman" w:hAnsi="Times New Roman"/>
          <w:sz w:val="18"/>
          <w:szCs w:val="18"/>
          <w:color w:val="auto"/>
        </w:rPr>
        <w:t>– The Employer common stock fund is valued at the NAV at year-end, based upon (1) the quoted market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common stock shares held at year-end, and, (2) the NAV of the quoted market price of the money market fund shares held at year-end, which together comprise the Employer common stock fund.</w:t>
      </w:r>
    </w:p>
    <w:p>
      <w:pPr>
        <w:spacing w:after="0" w:line="65" w:lineRule="exact"/>
        <w:rPr>
          <w:sz w:val="20"/>
          <w:szCs w:val="20"/>
          <w:color w:val="auto"/>
        </w:rPr>
      </w:pPr>
    </w:p>
    <w:p>
      <w:pPr>
        <w:ind w:left="512"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Common Collective Trusts </w:t>
      </w:r>
      <w:r>
        <w:rPr>
          <w:rFonts w:ascii="Times New Roman" w:cs="Times New Roman" w:eastAsia="Times New Roman" w:hAnsi="Times New Roman"/>
          <w:sz w:val="18"/>
          <w:szCs w:val="18"/>
          <w:color w:val="auto"/>
        </w:rPr>
        <w:t>– Valued at the daily published NAV per unit held by the Plan as quoted by the trusts. The NAV is based on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underlying investments held by the trust less its liabilities and is the basis for current transactions. Participant transactions may occur daily.</w:t>
      </w:r>
    </w:p>
    <w:p>
      <w:pPr>
        <w:spacing w:after="0" w:line="2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89" w:right="339" w:bottom="1440" w:gutter="0" w:footer="0" w:header="0"/>
        </w:sectPr>
      </w:pPr>
    </w:p>
    <w:bookmarkStart w:id="9" w:name="page10"/>
    <w:bookmarkEnd w:id="9"/>
    <w:p>
      <w:pPr>
        <w:jc w:val="both"/>
        <w:ind w:left="520" w:right="40"/>
        <w:spacing w:after="0" w:line="254" w:lineRule="auto"/>
        <w:rPr>
          <w:sz w:val="20"/>
          <w:szCs w:val="20"/>
          <w:color w:val="auto"/>
        </w:rPr>
      </w:pPr>
      <w:r>
        <w:rPr>
          <w:rFonts w:ascii="Times New Roman" w:cs="Times New Roman" w:eastAsia="Times New Roman" w:hAnsi="Times New Roman"/>
          <w:sz w:val="18"/>
          <w:szCs w:val="18"/>
          <w:color w:val="auto"/>
        </w:rPr>
        <w:t>The following tables set forth, by level, the fair value hierarchy of the Plan investment assets and investment liabilities as of December 31, 2025 and 2024. As required by Accounting Standards Codification Topic 820-Fair Value Measurement and Disclosures, assets and liabilities are classified in their entirety based on the lowest level of input that is significant to the fair value measurement.</w:t>
      </w:r>
    </w:p>
    <w:tbl>
      <w:tblPr>
        <w:tblLayout w:type="fixed"/>
        <w:tblInd w:w="0" w:type="dxa"/>
        <w:tblCellMar>
          <w:top w:w="0" w:type="dxa"/>
          <w:left w:w="0" w:type="dxa"/>
          <w:bottom w:w="0" w:type="dxa"/>
          <w:right w:w="0" w:type="dxa"/>
        </w:tblCellMar>
      </w:tblPr>
      <w:tr>
        <w:trPr>
          <w:trHeight w:val="133"/>
        </w:trPr>
        <w:tc>
          <w:tcPr>
            <w:tcW w:w="4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Investment Assets at Fair</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7"/>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Value as of December 31, 2025</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D3F1FC"/>
          </w:tcPr>
          <w:p>
            <w:pPr>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1120" w:type="dxa"/>
            <w:vAlign w:val="bottom"/>
            <w:gridSpan w:val="2"/>
            <w:shd w:val="clear" w:color="auto" w:fill="D3F1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3F1FC"/>
          </w:tcPr>
          <w:p>
            <w:pPr>
              <w:jc w:val="right"/>
              <w:spacing w:after="0"/>
              <w:rPr>
                <w:sz w:val="20"/>
                <w:szCs w:val="20"/>
                <w:color w:val="auto"/>
              </w:rPr>
            </w:pPr>
            <w:r>
              <w:rPr>
                <w:rFonts w:ascii="Times New Roman" w:cs="Times New Roman" w:eastAsia="Times New Roman" w:hAnsi="Times New Roman"/>
                <w:sz w:val="18"/>
                <w:szCs w:val="18"/>
                <w:color w:val="auto"/>
              </w:rPr>
              <w:t>1,559,313,976</w:t>
            </w:r>
          </w:p>
        </w:tc>
        <w:tc>
          <w:tcPr>
            <w:tcW w:w="460" w:type="dxa"/>
            <w:vAlign w:val="bottom"/>
            <w:tcBorders>
              <w:left w:val="single" w:sz="8" w:color="D3F1FC"/>
            </w:tcBorders>
            <w:gridSpan w:val="2"/>
            <w:shd w:val="clear" w:color="auto" w:fill="D3F1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D3F1FC"/>
            </w:tcBorders>
            <w:gridSpan w:val="2"/>
            <w:shd w:val="clear" w:color="auto" w:fill="D3F1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D3F1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D3F1FC"/>
            </w:tcBorders>
            <w:gridSpan w:val="2"/>
            <w:shd w:val="clear" w:color="auto" w:fill="D3F1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D3F1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3F1FC"/>
          </w:tcPr>
          <w:p>
            <w:pPr>
              <w:jc w:val="right"/>
              <w:ind w:right="100"/>
              <w:spacing w:after="0"/>
              <w:rPr>
                <w:sz w:val="20"/>
                <w:szCs w:val="20"/>
                <w:color w:val="auto"/>
              </w:rPr>
            </w:pPr>
            <w:r>
              <w:rPr>
                <w:rFonts w:ascii="Times New Roman" w:cs="Times New Roman" w:eastAsia="Times New Roman" w:hAnsi="Times New Roman"/>
                <w:sz w:val="18"/>
                <w:szCs w:val="18"/>
                <w:color w:val="auto"/>
              </w:rPr>
              <w:t>1,559,313,976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Employer common stock fund</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78,214,110</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78,214,110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choice accounts</w:t>
            </w:r>
          </w:p>
        </w:tc>
        <w:tc>
          <w:tcPr>
            <w:tcW w:w="9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95,341,233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3F1FC"/>
          </w:tcPr>
          <w:p>
            <w:pPr>
              <w:spacing w:after="0"/>
              <w:rPr>
                <w:sz w:val="18"/>
                <w:szCs w:val="18"/>
                <w:color w:val="auto"/>
              </w:rPr>
            </w:pPr>
          </w:p>
        </w:tc>
        <w:tc>
          <w:tcPr>
            <w:tcW w:w="180" w:type="dxa"/>
            <w:vAlign w:val="bottom"/>
            <w:tcBorders>
              <w:left w:val="single" w:sz="8" w:color="D3F1FC"/>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95,341,233</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D3F1FC"/>
          </w:tcPr>
          <w:p>
            <w:pPr>
              <w:spacing w:after="0" w:line="20" w:lineRule="exact"/>
              <w:rPr>
                <w:sz w:val="1"/>
                <w:szCs w:val="1"/>
                <w:color w:val="auto"/>
              </w:rPr>
            </w:pPr>
          </w:p>
        </w:tc>
        <w:tc>
          <w:tcPr>
            <w:tcW w:w="180" w:type="dxa"/>
            <w:vAlign w:val="bottom"/>
            <w:tcBorders>
              <w:left w:val="single" w:sz="8" w:color="D3F1FC"/>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 in hierarchy</w:t>
            </w:r>
          </w:p>
        </w:tc>
        <w:tc>
          <w:tcPr>
            <w:tcW w:w="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1,654,655,209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78,214,110</w:t>
            </w: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1,732,869,319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trusts, measured at NAV*</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232,719,296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9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1,965,588,615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Assets at Fair</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7"/>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Value as of December 31, 2024</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D3F1FC"/>
          </w:tcPr>
          <w:p>
            <w:pPr>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1120" w:type="dxa"/>
            <w:vAlign w:val="bottom"/>
            <w:gridSpan w:val="2"/>
            <w:shd w:val="clear" w:color="auto" w:fill="D3F1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3F1FC"/>
          </w:tcPr>
          <w:p>
            <w:pPr>
              <w:jc w:val="right"/>
              <w:spacing w:after="0"/>
              <w:rPr>
                <w:sz w:val="20"/>
                <w:szCs w:val="20"/>
                <w:color w:val="auto"/>
              </w:rPr>
            </w:pPr>
            <w:r>
              <w:rPr>
                <w:rFonts w:ascii="Times New Roman" w:cs="Times New Roman" w:eastAsia="Times New Roman" w:hAnsi="Times New Roman"/>
                <w:sz w:val="18"/>
                <w:szCs w:val="18"/>
                <w:color w:val="auto"/>
              </w:rPr>
              <w:t>1,494,081,142</w:t>
            </w:r>
          </w:p>
        </w:tc>
        <w:tc>
          <w:tcPr>
            <w:tcW w:w="460" w:type="dxa"/>
            <w:vAlign w:val="bottom"/>
            <w:tcBorders>
              <w:left w:val="single" w:sz="8" w:color="D3F1FC"/>
            </w:tcBorders>
            <w:gridSpan w:val="2"/>
            <w:shd w:val="clear" w:color="auto" w:fill="D3F1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3F1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D3F1FC"/>
              <w:right w:val="single" w:sz="8" w:color="D3F1FC"/>
            </w:tcBorders>
            <w:shd w:val="clear" w:color="auto" w:fill="D3F1FC"/>
          </w:tcPr>
          <w:p>
            <w:pPr>
              <w:spacing w:after="0"/>
              <w:rPr>
                <w:sz w:val="18"/>
                <w:szCs w:val="18"/>
                <w:color w:val="auto"/>
              </w:rPr>
            </w:pPr>
          </w:p>
        </w:tc>
        <w:tc>
          <w:tcPr>
            <w:tcW w:w="1020" w:type="dxa"/>
            <w:vAlign w:val="bottom"/>
            <w:gridSpan w:val="2"/>
            <w:shd w:val="clear" w:color="auto" w:fill="D3F1FC"/>
          </w:tcPr>
          <w:p>
            <w:pPr>
              <w:jc w:val="right"/>
              <w:ind w:right="86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D3F1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D3F1FC"/>
              <w:right w:val="single" w:sz="8" w:color="D3F1FC"/>
            </w:tcBorders>
            <w:shd w:val="clear" w:color="auto" w:fill="D3F1FC"/>
          </w:tcPr>
          <w:p>
            <w:pPr>
              <w:spacing w:after="0"/>
              <w:rPr>
                <w:sz w:val="18"/>
                <w:szCs w:val="18"/>
                <w:color w:val="auto"/>
              </w:rPr>
            </w:pPr>
          </w:p>
        </w:tc>
        <w:tc>
          <w:tcPr>
            <w:tcW w:w="260" w:type="dxa"/>
            <w:vAlign w:val="bottom"/>
            <w:gridSpan w:val="2"/>
            <w:shd w:val="clear" w:color="auto" w:fill="D3F1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3F1FC"/>
          </w:tcPr>
          <w:p>
            <w:pPr>
              <w:jc w:val="right"/>
              <w:spacing w:after="0"/>
              <w:rPr>
                <w:sz w:val="20"/>
                <w:szCs w:val="20"/>
                <w:color w:val="auto"/>
              </w:rPr>
            </w:pPr>
            <w:r>
              <w:rPr>
                <w:rFonts w:ascii="Times New Roman" w:cs="Times New Roman" w:eastAsia="Times New Roman" w:hAnsi="Times New Roman"/>
                <w:sz w:val="18"/>
                <w:szCs w:val="18"/>
                <w:color w:val="auto"/>
              </w:rPr>
              <w:t>1,494,081,142</w:t>
            </w:r>
          </w:p>
        </w:tc>
        <w:tc>
          <w:tcPr>
            <w:tcW w:w="120" w:type="dxa"/>
            <w:vAlign w:val="bottom"/>
            <w:tcBorders>
              <w:left w:val="single" w:sz="8" w:color="D3F1FC"/>
            </w:tcBorders>
            <w:shd w:val="clear" w:color="auto" w:fill="D3F1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Employer common stock fund</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100,294,159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100,294,159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choice accounts</w:t>
            </w:r>
          </w:p>
        </w:tc>
        <w:tc>
          <w:tcPr>
            <w:tcW w:w="9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75,602,879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right w:val="single" w:sz="8" w:color="D3F1FC"/>
            </w:tcBorders>
            <w:shd w:val="clear" w:color="auto" w:fill="CCEEFF"/>
          </w:tcPr>
          <w:p>
            <w:pPr>
              <w:spacing w:after="0"/>
              <w:rPr>
                <w:sz w:val="18"/>
                <w:szCs w:val="18"/>
                <w:color w:val="auto"/>
              </w:rPr>
            </w:pPr>
          </w:p>
        </w:tc>
        <w:tc>
          <w:tcPr>
            <w:tcW w:w="80" w:type="dxa"/>
            <w:vAlign w:val="bottom"/>
            <w:shd w:val="clear" w:color="auto" w:fill="D3F1FC"/>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75,602,879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D3F1FC"/>
            </w:tcBorders>
            <w:shd w:val="clear" w:color="auto" w:fill="CCEEFF"/>
          </w:tcPr>
          <w:p>
            <w:pPr>
              <w:spacing w:after="0" w:line="20" w:lineRule="exact"/>
              <w:rPr>
                <w:sz w:val="1"/>
                <w:szCs w:val="1"/>
                <w:color w:val="auto"/>
              </w:rPr>
            </w:pPr>
          </w:p>
        </w:tc>
        <w:tc>
          <w:tcPr>
            <w:tcW w:w="80" w:type="dxa"/>
            <w:vAlign w:val="bottom"/>
            <w:shd w:val="clear" w:color="auto" w:fill="D3F1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 in hierarchy</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1,569,684,021</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100,294,159</w:t>
            </w:r>
          </w:p>
        </w:tc>
        <w:tc>
          <w:tcPr>
            <w:tcW w:w="240" w:type="dxa"/>
            <w:vAlign w:val="bottom"/>
          </w:tcPr>
          <w:p>
            <w:pPr>
              <w:spacing w:after="0"/>
              <w:rPr>
                <w:sz w:val="18"/>
                <w:szCs w:val="18"/>
                <w:color w:val="auto"/>
              </w:rPr>
            </w:pPr>
          </w:p>
        </w:tc>
        <w:tc>
          <w:tcPr>
            <w:tcW w:w="1020" w:type="dxa"/>
            <w:vAlign w:val="bottom"/>
            <w:gridSpan w:val="2"/>
          </w:tcPr>
          <w:p>
            <w:pPr>
              <w:jc w:val="right"/>
              <w:ind w:right="86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1,669,978,180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Common collective trusts, measured at NAV*</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65,445,814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lef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02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1,735,423,994</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-2150745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-2150745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-2150745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-1559560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-1542415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-1559560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-1542415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-1559560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-1542415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-616585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-616585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-616585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-616585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9"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*Certain investments that are measured at fair value using the NAV per share (or its equivalent) practical expedient have not been categorized in the fair value hierarchy. The fair value amounts presented in this table are intended to permit reconciliation of the fair value hierarchy to the amounts presented in the Statement of Net Assets Available for Benefits. The following table summarizes investments measured at fair value based on NAV per share as of December 31, 2025 and 2024,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12/31/2025</w:t>
            </w:r>
          </w:p>
        </w:tc>
        <w:tc>
          <w:tcPr>
            <w:tcW w:w="300" w:type="dxa"/>
            <w:vAlign w:val="bottom"/>
            <w:vMerge w:val="restart"/>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12/31/2024</w:t>
            </w:r>
          </w:p>
        </w:tc>
        <w:tc>
          <w:tcPr>
            <w:tcW w:w="260" w:type="dxa"/>
            <w:vAlign w:val="bottom"/>
            <w:vMerge w:val="restart"/>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Frequency</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Notice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(if currently eligible)</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3060" w:type="dxa"/>
            <w:vAlign w:val="bottom"/>
            <w:shd w:val="clear" w:color="auto" w:fill="D3F1FC"/>
          </w:tcPr>
          <w:p>
            <w:pPr>
              <w:spacing w:after="0"/>
              <w:rPr>
                <w:sz w:val="20"/>
                <w:szCs w:val="20"/>
                <w:color w:val="auto"/>
              </w:rPr>
            </w:pPr>
            <w:r>
              <w:rPr>
                <w:rFonts w:ascii="Times New Roman" w:cs="Times New Roman" w:eastAsia="Times New Roman" w:hAnsi="Times New Roman"/>
                <w:sz w:val="18"/>
                <w:szCs w:val="18"/>
                <w:color w:val="auto"/>
              </w:rPr>
              <w:t>Common collective trusts</w:t>
            </w:r>
          </w:p>
        </w:tc>
        <w:tc>
          <w:tcPr>
            <w:tcW w:w="300" w:type="dxa"/>
            <w:vAlign w:val="bottom"/>
            <w:shd w:val="clear" w:color="auto" w:fill="D3F1FC"/>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D3F1FC"/>
          </w:tcPr>
          <w:p>
            <w:pPr>
              <w:jc w:val="right"/>
              <w:ind w:right="300"/>
              <w:spacing w:after="0"/>
              <w:rPr>
                <w:sz w:val="20"/>
                <w:szCs w:val="20"/>
                <w:color w:val="auto"/>
              </w:rPr>
            </w:pPr>
            <w:r>
              <w:rPr>
                <w:rFonts w:ascii="Times New Roman" w:cs="Times New Roman" w:eastAsia="Times New Roman" w:hAnsi="Times New Roman"/>
                <w:sz w:val="18"/>
                <w:szCs w:val="18"/>
                <w:color w:val="auto"/>
              </w:rPr>
              <w:t>232,719,296</w:t>
            </w:r>
          </w:p>
        </w:tc>
        <w:tc>
          <w:tcPr>
            <w:tcW w:w="340" w:type="dxa"/>
            <w:vAlign w:val="bottom"/>
            <w:shd w:val="clear" w:color="auto" w:fill="D3F1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D3F1FC"/>
          </w:tcPr>
          <w:p>
            <w:pPr>
              <w:jc w:val="right"/>
              <w:ind w:right="260"/>
              <w:spacing w:after="0"/>
              <w:rPr>
                <w:sz w:val="20"/>
                <w:szCs w:val="20"/>
                <w:color w:val="auto"/>
              </w:rPr>
            </w:pPr>
            <w:r>
              <w:rPr>
                <w:rFonts w:ascii="Times New Roman" w:cs="Times New Roman" w:eastAsia="Times New Roman" w:hAnsi="Times New Roman"/>
                <w:sz w:val="18"/>
                <w:szCs w:val="18"/>
                <w:color w:val="auto"/>
              </w:rPr>
              <w:t>65,445,814</w:t>
            </w:r>
          </w:p>
        </w:tc>
        <w:tc>
          <w:tcPr>
            <w:tcW w:w="1500" w:type="dxa"/>
            <w:vAlign w:val="bottom"/>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60" w:type="dxa"/>
            <w:vAlign w:val="bottom"/>
            <w:shd w:val="clear" w:color="auto" w:fill="D3F1FC"/>
          </w:tcPr>
          <w:p>
            <w:pPr>
              <w:spacing w:after="0"/>
              <w:rPr>
                <w:sz w:val="18"/>
                <w:szCs w:val="18"/>
                <w:color w:val="auto"/>
              </w:rPr>
            </w:pPr>
          </w:p>
        </w:tc>
        <w:tc>
          <w:tcPr>
            <w:tcW w:w="1500" w:type="dxa"/>
            <w:vAlign w:val="bottom"/>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60" w:type="dxa"/>
            <w:vAlign w:val="bottom"/>
            <w:shd w:val="clear" w:color="auto" w:fill="D3F1FC"/>
          </w:tcPr>
          <w:p>
            <w:pPr>
              <w:spacing w:after="0"/>
              <w:rPr>
                <w:sz w:val="18"/>
                <w:szCs w:val="18"/>
                <w:color w:val="auto"/>
              </w:rPr>
            </w:pPr>
          </w:p>
        </w:tc>
        <w:tc>
          <w:tcPr>
            <w:tcW w:w="1500" w:type="dxa"/>
            <w:vAlign w:val="bottom"/>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w w:val="97"/>
              </w:rPr>
              <w:t>12 months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RISKS AND UNCERTAINTIES AND CONCENTRATIONS - INVESTMENTS</w:t>
      </w:r>
    </w:p>
    <w:p>
      <w:pPr>
        <w:spacing w:after="0" w:line="67"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Plan invests in various investment securities. The Vanguard Institutional Index Instl Pl Fund represents approximately 18.8% and 18.3% of the Plan’s total investments at December 31, 2025 and 2024, respectively.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79" w:lineRule="exact"/>
        <w:rPr>
          <w:sz w:val="20"/>
          <w:szCs w:val="20"/>
          <w:color w:val="auto"/>
        </w:rPr>
      </w:pPr>
    </w:p>
    <w:p>
      <w:pPr>
        <w:ind w:left="360" w:hanging="316"/>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 TRANSACTIONS</w:t>
      </w:r>
    </w:p>
    <w:p>
      <w:pPr>
        <w:spacing w:after="0" w:line="6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Plan’s investments include the Brown &amp; Brown, Inc. common stock fund, which represents party-in-interest transactions that qualify as exempt prohibited transactions. For the 2025 Plan year, dividends of $599,079 were received from the employer common stock fund. The employer common stock fund held 965,855 and 970,076 shares of Brown &amp; Brown, Inc. stock valued at $76,978,644 and $98,967,154 on December 31, 2025 and 2024, respectively. Additionally, through the personal choice retirement account, certain investments are managed by affiliates of the Trustee of the Plan.</w:t>
      </w:r>
    </w:p>
    <w:p>
      <w:pPr>
        <w:spacing w:after="0" w:line="75" w:lineRule="exact"/>
        <w:rPr>
          <w:sz w:val="20"/>
          <w:szCs w:val="20"/>
          <w:color w:val="auto"/>
        </w:rPr>
      </w:pPr>
    </w:p>
    <w:p>
      <w:pPr>
        <w:jc w:val="both"/>
        <w:ind w:left="520" w:right="300"/>
        <w:spacing w:after="0" w:line="257" w:lineRule="auto"/>
        <w:rPr>
          <w:sz w:val="20"/>
          <w:szCs w:val="20"/>
          <w:color w:val="auto"/>
        </w:rPr>
      </w:pPr>
      <w:r>
        <w:rPr>
          <w:rFonts w:ascii="Times New Roman" w:cs="Times New Roman" w:eastAsia="Times New Roman" w:hAnsi="Times New Roman"/>
          <w:sz w:val="18"/>
          <w:szCs w:val="18"/>
          <w:color w:val="auto"/>
        </w:rPr>
        <w:t>Each participant is entitled to exercise voting rights attributable to the shares of Employer common stock allocated to their account. The Trustee votes all shares held in the Plan in accordance with participant instructions. Uninstructed shares are voted by the Trustee in the same manner and proportion as instructed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512" w:right="100"/>
        <w:spacing w:after="0" w:line="282" w:lineRule="auto"/>
        <w:rPr>
          <w:sz w:val="20"/>
          <w:szCs w:val="20"/>
          <w:color w:val="auto"/>
        </w:rPr>
      </w:pPr>
      <w:r>
        <w:rPr>
          <w:rFonts w:ascii="Times New Roman" w:cs="Times New Roman" w:eastAsia="Times New Roman" w:hAnsi="Times New Roman"/>
          <w:sz w:val="18"/>
          <w:szCs w:val="18"/>
          <w:color w:val="auto"/>
        </w:rPr>
        <w:t>The Plan issues notes to participants, which are secured by the balances in the participants’ accounts. These transactions qualify as party-in-interest transactions.</w:t>
      </w:r>
    </w:p>
    <w:p>
      <w:pPr>
        <w:spacing w:after="0" w:line="198" w:lineRule="exact"/>
        <w:rPr>
          <w:sz w:val="20"/>
          <w:szCs w:val="20"/>
          <w:color w:val="auto"/>
        </w:rPr>
      </w:pPr>
    </w:p>
    <w:p>
      <w:pPr>
        <w:ind w:left="352" w:hanging="352"/>
        <w:spacing w:after="0"/>
        <w:tabs>
          <w:tab w:leader="none" w:pos="35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ind w:left="512"/>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Employer may terminate the Plan at any time, either wholly or partially, by notice in writing to the participants and the Trustee. Upon termination, the rights of participants in their accounts will become 100% vested. The Employer may temporarily discontinue contributions to the Plan, either wholly or partially, without terminating the Plan.</w:t>
      </w:r>
    </w:p>
    <w:p>
      <w:pPr>
        <w:spacing w:after="0" w:line="199" w:lineRule="exact"/>
        <w:rPr>
          <w:sz w:val="20"/>
          <w:szCs w:val="20"/>
          <w:color w:val="auto"/>
        </w:rPr>
      </w:pPr>
    </w:p>
    <w:p>
      <w:pPr>
        <w:ind w:left="352" w:hanging="352"/>
        <w:spacing w:after="0"/>
        <w:tabs>
          <w:tab w:leader="none" w:pos="3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SECURE Act 2.0</w:t>
      </w:r>
    </w:p>
    <w:p>
      <w:pPr>
        <w:spacing w:after="0" w:line="121" w:lineRule="exact"/>
        <w:rPr>
          <w:sz w:val="20"/>
          <w:szCs w:val="20"/>
          <w:color w:val="auto"/>
        </w:rPr>
      </w:pPr>
    </w:p>
    <w:p>
      <w:pPr>
        <w:ind w:left="512"/>
        <w:spacing w:after="0" w:line="261" w:lineRule="auto"/>
        <w:rPr>
          <w:sz w:val="20"/>
          <w:szCs w:val="20"/>
          <w:color w:val="auto"/>
        </w:rPr>
      </w:pPr>
      <w:r>
        <w:rPr>
          <w:rFonts w:ascii="Times New Roman" w:cs="Times New Roman" w:eastAsia="Times New Roman" w:hAnsi="Times New Roman"/>
          <w:sz w:val="18"/>
          <w:szCs w:val="18"/>
          <w:color w:val="auto"/>
        </w:rPr>
        <w:t>On December 23, 2022, Congress passed the Consolidated Appropriations Act of 2023, which included SECURE Act 2.0. SECURE Act 2.0 contains over 90 new retirement provisions, with varying effective dates through 2027. Since SECURE Act 2.0 provisions include both required and optional elements, the Administrator will determine the optional provisions to elect and amend the Plan document accordingly. Most of the significant provisions became effective in 2024 and thereafter. Accordingly, there is no material impact to the Plan’s 2025 financial statements.</w:t>
      </w:r>
    </w:p>
    <w:p>
      <w:pPr>
        <w:spacing w:after="0" w:line="216" w:lineRule="exact"/>
        <w:rPr>
          <w:sz w:val="20"/>
          <w:szCs w:val="20"/>
          <w:color w:val="auto"/>
        </w:rPr>
      </w:pPr>
    </w:p>
    <w:p>
      <w:pPr>
        <w:ind w:left="352" w:hanging="352"/>
        <w:spacing w:after="0"/>
        <w:tabs>
          <w:tab w:leader="none" w:pos="35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FEDERAL INCOME TAX STATUS</w:t>
      </w:r>
    </w:p>
    <w:p>
      <w:pPr>
        <w:spacing w:after="0" w:line="121" w:lineRule="exact"/>
        <w:rPr>
          <w:sz w:val="20"/>
          <w:szCs w:val="20"/>
          <w:color w:val="auto"/>
        </w:rPr>
      </w:pPr>
    </w:p>
    <w:p>
      <w:pPr>
        <w:jc w:val="both"/>
        <w:ind w:left="512" w:right="40"/>
        <w:spacing w:after="0" w:line="261" w:lineRule="auto"/>
        <w:rPr>
          <w:sz w:val="20"/>
          <w:szCs w:val="20"/>
          <w:color w:val="auto"/>
        </w:rPr>
      </w:pPr>
      <w:r>
        <w:rPr>
          <w:rFonts w:ascii="Times New Roman" w:cs="Times New Roman" w:eastAsia="Times New Roman" w:hAnsi="Times New Roman"/>
          <w:sz w:val="18"/>
          <w:szCs w:val="18"/>
          <w:color w:val="auto"/>
        </w:rPr>
        <w:t>The Plan has received a favorable determination letter from the Internal Revenue Service dated November 16, 2015, relating to the qualification of the Plan under Section 401(a) of the Internal Revenue Code (IRC). The Plan’s management believes that the Plan is designed and is currently being operated in compliance with applicable requirements of the IRC and regulations issued thereunder and, therefore, believes the Plan, as amended and restated, is qualified and the related trust is tax exempt.</w:t>
      </w:r>
    </w:p>
    <w:p>
      <w:pPr>
        <w:spacing w:after="0" w:line="72" w:lineRule="exact"/>
        <w:rPr>
          <w:sz w:val="20"/>
          <w:szCs w:val="20"/>
          <w:color w:val="auto"/>
        </w:rPr>
      </w:pPr>
    </w:p>
    <w:p>
      <w:pPr>
        <w:ind w:left="512" w:right="200"/>
        <w:spacing w:after="0" w:line="258" w:lineRule="auto"/>
        <w:rPr>
          <w:sz w:val="20"/>
          <w:szCs w:val="20"/>
          <w:color w:val="auto"/>
        </w:rPr>
      </w:pPr>
      <w:r>
        <w:rPr>
          <w:rFonts w:ascii="Times New Roman" w:cs="Times New Roman" w:eastAsia="Times New Roman" w:hAnsi="Times New Roman"/>
          <w:sz w:val="18"/>
          <w:szCs w:val="18"/>
          <w:color w:val="auto"/>
        </w:rPr>
        <w:t>U.S. GAAP requires Plan management to evaluate uncertain tax positions taken by the Plan. The financial statement effects of a tax position are recognized when the position is more likely than not, based on the technical merits, to not be sustained upon examination by the Internal Revenue Service (IRS). The Administrator has analyzed the tax positions taken by the Plan, and has concluded that as of December 31, 2025, there are no uncertain positions taken or expected to be taken. The Plan has recognized no interest or penalties related to uncertain tax positions. The Plan is subject to routine audits by taxing jurisdictions. There are currently no audits for any tax periods in progress.</w:t>
      </w:r>
    </w:p>
    <w:p>
      <w:pPr>
        <w:spacing w:after="0" w:line="220" w:lineRule="exact"/>
        <w:rPr>
          <w:sz w:val="20"/>
          <w:szCs w:val="20"/>
          <w:color w:val="auto"/>
        </w:rPr>
      </w:pPr>
    </w:p>
    <w:p>
      <w:pPr>
        <w:ind w:left="352" w:hanging="352"/>
        <w:spacing w:after="0"/>
        <w:tabs>
          <w:tab w:leader="none" w:pos="3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12" w:right="240"/>
        <w:spacing w:after="0" w:line="312" w:lineRule="auto"/>
        <w:rPr>
          <w:sz w:val="20"/>
          <w:szCs w:val="20"/>
          <w:color w:val="auto"/>
        </w:rPr>
      </w:pPr>
      <w:r>
        <w:rPr>
          <w:rFonts w:ascii="Times New Roman" w:cs="Times New Roman" w:eastAsia="Times New Roman" w:hAnsi="Times New Roman"/>
          <w:sz w:val="17"/>
          <w:szCs w:val="17"/>
          <w:color w:val="auto"/>
        </w:rPr>
        <w:t>The Plan has evaluated, for consideration of recognition or disclosure, subsequent events, and has determined that, no significant events occurred after December 31, 2025, but prior to the issuance of these financial statements, that would have a material impact on its financial statements.</w:t>
      </w:r>
    </w:p>
    <w:p>
      <w:pPr>
        <w:spacing w:after="0" w:line="1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 EMPLOYEE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(HELD AT END OF YEAR)</w:t>
      </w:r>
    </w:p>
    <w:p>
      <w:pPr>
        <w:spacing w:after="0" w:line="9"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EIN #59-0864469</w:t>
      </w:r>
      <w:r>
        <w:rPr>
          <w:sz w:val="20"/>
          <w:szCs w:val="20"/>
          <w:color w:val="auto"/>
        </w:rPr>
        <w:tab/>
      </w:r>
      <w:r>
        <w:rPr>
          <w:rFonts w:ascii="Times New Roman" w:cs="Times New Roman" w:eastAsia="Times New Roman" w:hAnsi="Times New Roman"/>
          <w:sz w:val="17"/>
          <w:szCs w:val="17"/>
          <w:b w:val="1"/>
          <w:bCs w:val="1"/>
          <w:color w:val="auto"/>
        </w:rPr>
        <w:t>PLAN #002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46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424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w:t>
            </w:r>
          </w:p>
        </w:tc>
        <w:tc>
          <w:tcPr>
            <w:tcW w:w="660" w:type="dxa"/>
            <w:vAlign w:val="bottom"/>
            <w:tcBorders>
              <w:top w:val="single" w:sz="8" w:color="auto"/>
            </w:tcBorders>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w:t>
            </w:r>
          </w:p>
        </w:tc>
        <w:tc>
          <w:tcPr>
            <w:tcW w:w="11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4620" w:type="dxa"/>
            <w:vAlign w:val="bottom"/>
            <w:vMerge w:val="continue"/>
          </w:tcPr>
          <w:p>
            <w:pPr>
              <w:spacing w:after="0"/>
              <w:rPr>
                <w:sz w:val="12"/>
                <w:szCs w:val="12"/>
                <w:color w:val="auto"/>
              </w:rPr>
            </w:pPr>
          </w:p>
        </w:tc>
        <w:tc>
          <w:tcPr>
            <w:tcW w:w="4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Description of Investment: Including Maturity Date, Rate of</w:t>
            </w:r>
          </w:p>
        </w:tc>
        <w:tc>
          <w:tcPr>
            <w:tcW w:w="6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Identity of Issuer</w:t>
            </w:r>
          </w:p>
        </w:tc>
        <w:tc>
          <w:tcPr>
            <w:tcW w:w="4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Collateral, Par or Maturity Value</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209"/>
        </w:trPr>
        <w:tc>
          <w:tcPr>
            <w:tcW w:w="540" w:type="dxa"/>
            <w:vAlign w:val="bottom"/>
            <w:tcBorders>
              <w:top w:val="single" w:sz="8" w:color="auto"/>
            </w:tcBorders>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Borders>
              <w:top w:val="single" w:sz="8" w:color="auto"/>
            </w:tcBorders>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w w:val="98"/>
              </w:rPr>
              <w:t>Schwab</w:t>
            </w:r>
          </w:p>
        </w:tc>
        <w:tc>
          <w:tcPr>
            <w:tcW w:w="4240" w:type="dxa"/>
            <w:vAlign w:val="bottom"/>
            <w:tcBorders>
              <w:top w:val="single" w:sz="8" w:color="auto"/>
            </w:tcBorders>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w w:val="99"/>
              </w:rPr>
              <w:t>Government Money Investment</w:t>
            </w:r>
          </w:p>
        </w:tc>
        <w:tc>
          <w:tcPr>
            <w:tcW w:w="540" w:type="dxa"/>
            <w:vAlign w:val="bottom"/>
            <w:tcBorders>
              <w:top w:val="single" w:sz="8" w:color="auto"/>
            </w:tcBorders>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American Beacon</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 Cap Value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33,208,068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American Funds</w:t>
            </w:r>
          </w:p>
        </w:tc>
        <w:tc>
          <w:tcPr>
            <w:tcW w:w="4240" w:type="dxa"/>
            <w:vAlign w:val="bottom"/>
            <w:shd w:val="clear" w:color="auto" w:fill="D3F1FC"/>
          </w:tcPr>
          <w:p>
            <w:pPr>
              <w:jc w:val="center"/>
              <w:spacing w:after="0"/>
              <w:rPr>
                <w:sz w:val="20"/>
                <w:szCs w:val="20"/>
                <w:color w:val="auto"/>
              </w:rPr>
            </w:pPr>
            <w:r>
              <w:rPr>
                <w:rFonts w:ascii="Times New Roman" w:cs="Times New Roman" w:eastAsia="Times New Roman" w:hAnsi="Times New Roman"/>
                <w:sz w:val="18"/>
                <w:szCs w:val="18"/>
                <w:color w:val="auto"/>
              </w:rPr>
              <w:t>Europacific Growth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Dodge &amp; Cox</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Income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134,981,729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JPMorgan Chase Bank N.A.</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JPM Chase Bank LGCP Growth CF-A</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166,094,462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Washington Mutual</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Growth and Income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JP Morgan</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Mid Cap Value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45,527,597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Loomis Sayles</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 Cap Growth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21,146,058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Diversified Real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MFS</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Intl Diversification Cl R6 Value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110,765,965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 Rowe</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Select Mid Cap Growth I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27,058,769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Institutional Index Instl Pl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369,024,739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Inflation-Protected Security Investors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45,131,821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Mid Cap Index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58,164,338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Small Cap Index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67,095,265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Target Retirement 2020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Target Retirement 2025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Target Retirement 2030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35,686,181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Target Retirement 2035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31,957,777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Target Retirement 2040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24,947,733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Target Retirement 2045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Target Retirement 2050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Target Retirement 2055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Target Retirement 2060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Target Retirement 2065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Target Retirement 2070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Target Retirement Income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Total Bond Market Index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71,341,774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International Stock Index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131,196,860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Vanguard</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Fed Money Market Fund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Brown &amp; Brown, Inc.</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Fund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78,214,110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SEI Trust Company</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Galliard Stable Return Fund 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66,624,834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Personal Choice Retirement Account</w:t>
            </w:r>
          </w:p>
        </w:tc>
        <w:tc>
          <w:tcPr>
            <w:tcW w:w="4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Participant-Directed Brokerage Accounts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Various maturities, interest rates from 4.25% to 9.5%</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20,539,844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1,986,128,459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party-in-interest transaction as defined by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-127635</wp:posOffset>
            </wp:positionV>
            <wp:extent cx="7543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information is not required to be provided as these investments are participant-directed.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ind w:right="-279"/>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 (or other persons who administer the Plan) has duly caused this annual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EMPLOYEE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25, 2026</w:t>
      </w: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LANNI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30480</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8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James Lanni</w:t>
      </w:r>
    </w:p>
    <w:p>
      <w:pPr>
        <w:spacing w:after="0" w:line="9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Member, Investment Committee of the Brown &amp; Brown, Inc.</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Employee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5" w:right="6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0180" w:type="dxa"/>
            <w:vAlign w:val="bottom"/>
            <w:gridSpan w:val="2"/>
          </w:tcPr>
          <w:p>
            <w:pPr>
              <w:jc w:val="center"/>
              <w:ind w:right="993"/>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809"/>
        </w:trPr>
        <w:tc>
          <w:tcPr>
            <w:tcW w:w="1060" w:type="dxa"/>
            <w:vAlign w:val="bottom"/>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320" w:type="dxa"/>
            <w:vAlign w:val="bottom"/>
          </w:tcPr>
          <w:p>
            <w:pPr>
              <w:spacing w:after="0"/>
              <w:rPr>
                <w:sz w:val="24"/>
                <w:szCs w:val="24"/>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621"/>
        </w:trPr>
        <w:tc>
          <w:tcPr>
            <w:tcW w:w="1060" w:type="dxa"/>
            <w:vAlign w:val="bottom"/>
          </w:tcPr>
          <w:p>
            <w:pPr>
              <w:jc w:val="right"/>
              <w:ind w:right="601"/>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860" w:type="dxa"/>
            <w:vAlign w:val="bottom"/>
          </w:tcPr>
          <w:p>
            <w:pPr>
              <w:spacing w:after="0"/>
              <w:rPr>
                <w:sz w:val="24"/>
                <w:szCs w:val="24"/>
                <w:color w:val="auto"/>
              </w:rPr>
            </w:pPr>
          </w:p>
        </w:tc>
      </w:tr>
      <w:tr>
        <w:trPr>
          <w:trHeight w:val="534"/>
        </w:trPr>
        <w:tc>
          <w:tcPr>
            <w:tcW w:w="1060" w:type="dxa"/>
            <w:vAlign w:val="bottom"/>
          </w:tcPr>
          <w:p>
            <w:pPr>
              <w:spacing w:after="0"/>
              <w:rPr>
                <w:sz w:val="24"/>
                <w:szCs w:val="24"/>
                <w:color w:val="auto"/>
              </w:rPr>
            </w:pPr>
          </w:p>
        </w:tc>
        <w:tc>
          <w:tcPr>
            <w:tcW w:w="10180" w:type="dxa"/>
            <w:vAlign w:val="bottom"/>
            <w:gridSpan w:val="2"/>
          </w:tcPr>
          <w:p>
            <w:pPr>
              <w:jc w:val="right"/>
              <w:ind w:right="5453"/>
              <w:spacing w:after="0"/>
              <w:rPr>
                <w:sz w:val="20"/>
                <w:szCs w:val="20"/>
                <w:color w:val="auto"/>
              </w:rPr>
            </w:pPr>
            <w:r>
              <w:rPr>
                <w:rFonts w:ascii="Times New Roman" w:cs="Times New Roman" w:eastAsia="Times New Roman" w:hAnsi="Times New Roman"/>
                <w:sz w:val="18"/>
                <w:szCs w:val="18"/>
                <w:color w:val="auto"/>
              </w:rPr>
              <w:t>14</w:t>
            </w:r>
          </w:p>
        </w:tc>
      </w:tr>
      <w:tr>
        <w:trPr>
          <w:trHeight w:val="763"/>
        </w:trPr>
        <w:tc>
          <w:tcPr>
            <w:tcW w:w="10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on Form S-8 (No. 333-214720) of Brown &amp; Brown, Inc., of our report dated June 25, 2026, relating to the financial statements and supplemental schedule of the Brown &amp; Brown, Inc. Employee Savings Plan (the “Plan”) appearing in this Annual Report on Form 11-K of the Plan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Baker Tilly US,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Peachtree Corners, Georgia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440" w:right="12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2026-06-25T17:53:13Z</dcterms:created>
  <dcterms:modified xsi:type="dcterms:W3CDTF">2026-06-25T17:53:13Z</dcterms:modified>
</cp:coreProperties>
</file>