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4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J POWELL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32114</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2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1360" w:type="dxa"/>
            <w:vAlign w:val="bottom"/>
            <w:tcBorders>
              <w:bottom w:val="single" w:sz="8" w:color="9A9A9A"/>
            </w:tcBorders>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2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178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0"/>
          </w:tcPr>
          <w:p>
            <w:pPr>
              <w:ind w:left="10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7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100,360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18"/>
                <w:szCs w:val="18"/>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1,954,590</w:t>
            </w:r>
            <w:r>
              <w:rPr>
                <w:rFonts w:ascii="Times New Roman" w:cs="Times New Roman" w:eastAsia="Times New Roman" w:hAnsi="Times New Roman"/>
                <w:sz w:val="22"/>
                <w:szCs w:val="22"/>
                <w:color w:val="008000"/>
                <w:vertAlign w:val="superscript"/>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1080"/>
          </w:cols>
          <w:pgMar w:left="460" w:top="219" w:right="359" w:bottom="0" w:gutter="0" w:footer="0" w:header="0"/>
          <w:type w:val="continuous"/>
        </w:sectPr>
      </w:pPr>
    </w:p>
    <w:p>
      <w:pPr>
        <w:spacing w:after="0" w:line="29" w:lineRule="exact"/>
        <w:rPr>
          <w:sz w:val="24"/>
          <w:szCs w:val="24"/>
          <w:color w:val="auto"/>
        </w:rPr>
      </w:pPr>
    </w:p>
    <w:p>
      <w:pPr>
        <w:spacing w:after="0"/>
        <w:rPr>
          <w:sz w:val="20"/>
          <w:szCs w:val="20"/>
          <w:color w:val="auto"/>
        </w:rPr>
      </w:pPr>
      <w:r>
        <w:rPr>
          <w:sz w:val="1"/>
          <w:szCs w:val="1"/>
          <w:color w:val="auto"/>
        </w:rPr>
        <w:drawing>
          <wp:inline distT="0" distB="0" distL="0" distR="0">
            <wp:extent cx="33655" cy="2451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Common Stock, $.10 par value</w:t>
      </w:r>
    </w:p>
    <w:p>
      <w:pPr>
        <w:spacing w:after="0" w:line="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$.10 par value (2019</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SIP)</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$.10 par value (2010</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SIP)</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color w:val="0000FF"/>
        </w:rPr>
        <w:t>2,746,129</w:t>
      </w:r>
      <w:r>
        <w:rPr>
          <w:rFonts w:ascii="Times New Roman" w:cs="Times New Roman" w:eastAsia="Times New Roman" w:hAnsi="Times New Roman"/>
          <w:sz w:val="22"/>
          <w:szCs w:val="22"/>
          <w:color w:val="008000"/>
          <w:vertAlign w:val="superscript"/>
        </w:rPr>
        <w:t>(2)</w:t>
      </w:r>
      <w:r>
        <w:rPr>
          <w:sz w:val="20"/>
          <w:szCs w:val="20"/>
          <w:color w:val="auto"/>
        </w:rPr>
        <w:tab/>
      </w:r>
      <w:r>
        <w:rPr>
          <w:rFonts w:ascii="Times New Roman" w:cs="Times New Roman" w:eastAsia="Times New Roman" w:hAnsi="Times New Roman"/>
          <w:sz w:val="16"/>
          <w:szCs w:val="16"/>
          <w:color w:val="0000FF"/>
        </w:rPr>
        <w:t>D</w:t>
      </w:r>
    </w:p>
    <w:p>
      <w:pPr>
        <w:spacing w:after="0" w:line="200" w:lineRule="exact"/>
        <w:rPr>
          <w:sz w:val="24"/>
          <w:szCs w:val="24"/>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0000FF"/>
        </w:rPr>
        <w:t>255,322</w:t>
      </w:r>
      <w:r>
        <w:rPr>
          <w:rFonts w:ascii="Times New Roman" w:cs="Times New Roman" w:eastAsia="Times New Roman" w:hAnsi="Times New Roman"/>
          <w:sz w:val="22"/>
          <w:szCs w:val="22"/>
          <w:color w:val="008000"/>
          <w:vertAlign w:val="superscript"/>
        </w:rPr>
        <w:t>(3)</w:t>
      </w:r>
      <w:r>
        <w:rPr>
          <w:sz w:val="20"/>
          <w:szCs w:val="20"/>
          <w:color w:val="auto"/>
        </w:rPr>
        <w:tab/>
      </w:r>
      <w:r>
        <w:rPr>
          <w:rFonts w:ascii="Times New Roman" w:cs="Times New Roman" w:eastAsia="Times New Roman" w:hAnsi="Times New Roman"/>
          <w:sz w:val="16"/>
          <w:szCs w:val="16"/>
          <w:color w:val="0000FF"/>
        </w:rPr>
        <w:t>D</w:t>
      </w:r>
    </w:p>
    <w:p>
      <w:pPr>
        <w:spacing w:after="0" w:line="307" w:lineRule="exact"/>
        <w:rPr>
          <w:sz w:val="24"/>
          <w:szCs w:val="24"/>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0000FF"/>
        </w:rPr>
        <w:t>299,264</w:t>
      </w:r>
      <w:r>
        <w:rPr>
          <w:rFonts w:ascii="Times New Roman" w:cs="Times New Roman" w:eastAsia="Times New Roman" w:hAnsi="Times New Roman"/>
          <w:sz w:val="22"/>
          <w:szCs w:val="22"/>
          <w:color w:val="008000"/>
          <w:vertAlign w:val="superscript"/>
        </w:rPr>
        <w:t>(4)</w:t>
      </w:r>
      <w:r>
        <w:rPr>
          <w:sz w:val="20"/>
          <w:szCs w:val="20"/>
          <w:color w:val="auto"/>
        </w:rPr>
        <w:tab/>
      </w:r>
      <w:r>
        <w:rPr>
          <w:rFonts w:ascii="Times New Roman" w:cs="Times New Roman" w:eastAsia="Times New Roman" w:hAnsi="Times New Roman"/>
          <w:sz w:val="16"/>
          <w:szCs w:val="16"/>
          <w:color w:val="0000FF"/>
        </w:rPr>
        <w:t>D</w:t>
      </w:r>
    </w:p>
    <w:p>
      <w:pPr>
        <w:spacing w:after="0" w:line="200" w:lineRule="exact"/>
        <w:rPr>
          <w:sz w:val="24"/>
          <w:szCs w:val="24"/>
          <w:color w:val="auto"/>
        </w:rPr>
      </w:pPr>
    </w:p>
    <w:p>
      <w:pPr>
        <w:sectPr>
          <w:pgSz w:w="11900" w:h="16838" w:orient="portrait"/>
          <w:cols w:equalWidth="0" w:num="2">
            <w:col w:w="7460" w:space="720"/>
            <w:col w:w="2900"/>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 par value (PSP)</w:t>
            </w: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w w:val="97"/>
              </w:rPr>
              <w:t>32,000</w:t>
            </w:r>
            <w:r>
              <w:rPr>
                <w:rFonts w:ascii="Times New Roman" w:cs="Times New Roman" w:eastAsia="Times New Roman" w:hAnsi="Times New Roman"/>
                <w:sz w:val="22"/>
                <w:szCs w:val="22"/>
                <w:color w:val="008000"/>
                <w:w w:val="97"/>
                <w:vertAlign w:val="superscript"/>
              </w:rPr>
              <w:t>(5)</w:t>
            </w: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w w:val="97"/>
              </w:rPr>
              <w:t>42,128</w:t>
            </w:r>
            <w:r>
              <w:rPr>
                <w:rFonts w:ascii="Times New Roman" w:cs="Times New Roman" w:eastAsia="Times New Roman" w:hAnsi="Times New Roman"/>
                <w:sz w:val="22"/>
                <w:szCs w:val="22"/>
                <w:color w:val="008000"/>
                <w:w w:val="97"/>
                <w:vertAlign w:val="superscript"/>
              </w:rPr>
              <w:t>(6)</w:t>
            </w:r>
          </w:p>
        </w:tc>
        <w:tc>
          <w:tcPr>
            <w:tcW w:w="5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120" w:type="dxa"/>
            <w:vAlign w:val="bottom"/>
            <w:gridSpan w:val="2"/>
          </w:tcPr>
          <w:p>
            <w:pPr>
              <w:spacing w:after="0"/>
              <w:rPr>
                <w:sz w:val="24"/>
                <w:szCs w:val="24"/>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w w:val="98"/>
              </w:rPr>
              <w:t>32,241</w:t>
            </w:r>
          </w:p>
        </w:tc>
        <w:tc>
          <w:tcPr>
            <w:tcW w:w="5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2"/>
                <w:szCs w:val="22"/>
                <w:color w:val="008000"/>
                <w:vertAlign w:val="superscript"/>
              </w:rPr>
              <w:t>(7)</w:t>
            </w: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980" w:type="dxa"/>
            <w:vAlign w:val="bottom"/>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7"/>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 is a trustee and remainder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reinvesment.</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2019 Stock Incentive Plan ("2019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2010 Stock Incentive Plan ("2010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Performance Stock Plan ("PSP"). Based on the satisfaction of conditions established pursuant to the PSP, the Reporting Person has voting rights and dividend entitlement with respect to these shares based on the satisfaction of certain performance-based criteria, but full ownership will not vest until the satisfaction of additional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upon the information supplied by the plan record keeper as of December 31, 2023. Number of shares varies periodically based on contributions to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securities owned by children who share the Reporting person's household. This report shall not be deemed an admission that the Reporting Person is the beneficial owner of such securities for the purpose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 Powell Brown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01/02/2025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8478"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2025-01-02T16:05:05Z</dcterms:created>
  <dcterms:modified xsi:type="dcterms:W3CDTF">2025-01-02T16:05:05Z</dcterms:modified>
</cp:coreProperties>
</file>