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939"/>
        <w:spacing w:after="0" w:line="238" w:lineRule="auto"/>
        <w:rPr>
          <w:sz w:val="20"/>
          <w:szCs w:val="20"/>
          <w:color w:val="auto"/>
        </w:rPr>
      </w:pPr>
      <w:r>
        <w:rPr>
          <w:rFonts w:ascii="Courier New" w:cs="Courier New" w:eastAsia="Courier New" w:hAnsi="Courier New"/>
          <w:sz w:val="18"/>
          <w:szCs w:val="18"/>
          <w:color w:val="auto"/>
        </w:rPr>
        <w:t>(Amendment No. 4 )*</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POE &amp; BROWN, INC.</w:t>
      </w:r>
    </w:p>
    <w:p>
      <w:pPr>
        <w:ind w:left="15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8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Common Stock</w:t>
      </w:r>
    </w:p>
    <w:p>
      <w:pPr>
        <w:ind w:left="15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12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730444106</w:t>
      </w:r>
    </w:p>
    <w:p>
      <w:pPr>
        <w:ind w:left="15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1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Page 1 of 6 Pages</w:t>
      </w:r>
    </w:p>
    <w:p>
      <w:pPr>
        <w:spacing w:after="0" w:line="377" w:lineRule="exact"/>
        <w:rPr>
          <w:sz w:val="24"/>
          <w:szCs w:val="24"/>
          <w:color w:val="auto"/>
        </w:rPr>
      </w:pPr>
    </w:p>
    <w:p>
      <w:pPr>
        <w:spacing w:after="0"/>
        <w:tabs>
          <w:tab w:leader="none" w:pos="3460" w:val="left"/>
          <w:tab w:leader="none" w:pos="4520" w:val="left"/>
          <w:tab w:leader="none" w:pos="5260" w:val="left"/>
          <w:tab w:leader="none" w:pos="5680" w:val="left"/>
          <w:tab w:leader="none" w:pos="6200" w:val="left"/>
        </w:tabs>
        <w:rPr>
          <w:sz w:val="20"/>
          <w:szCs w:val="20"/>
          <w:color w:val="auto"/>
        </w:rPr>
      </w:pPr>
      <w:r>
        <w:rPr>
          <w:rFonts w:ascii="Courier New" w:cs="Courier New" w:eastAsia="Courier New" w:hAnsi="Courier New"/>
          <w:sz w:val="18"/>
          <w:szCs w:val="18"/>
          <w:color w:val="auto"/>
        </w:rPr>
        <w:t>CUSIP NO. 730444106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6</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 ROWE PRICE ASSOCIATES, INC.</w:t>
      </w:r>
    </w:p>
    <w:p>
      <w:pPr>
        <w:ind w:left="4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38" w:orient="portrait"/>
          <w:cols w:equalWidth="0" w:num="2">
            <w:col w:w="5180" w:space="720"/>
            <w:col w:w="4319"/>
          </w:cols>
          <w:pgMar w:left="240" w:top="244" w:right="1440" w:bottom="0" w:gutter="0" w:footer="0" w:header="0"/>
          <w:type w:val="continuous"/>
        </w:sectPr>
      </w:pPr>
    </w:p>
    <w:p>
      <w:pPr>
        <w:spacing w:after="0" w:line="24"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MARYLAND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12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0" w:type="dxa"/>
            <w:vAlign w:val="bottom"/>
          </w:tcPr>
          <w:p>
            <w:pPr>
              <w:spacing w:after="0"/>
              <w:rPr>
                <w:sz w:val="17"/>
                <w:szCs w:val="17"/>
                <w:color w:val="auto"/>
              </w:rPr>
            </w:pPr>
          </w:p>
        </w:tc>
        <w:tc>
          <w:tcPr>
            <w:tcW w:w="2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267,950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120" w:type="dxa"/>
            <w:vAlign w:val="bottom"/>
          </w:tcPr>
          <w:p>
            <w:pPr>
              <w:ind w:left="100"/>
              <w:spacing w:after="0"/>
              <w:rPr>
                <w:sz w:val="20"/>
                <w:szCs w:val="20"/>
                <w:color w:val="auto"/>
              </w:rPr>
            </w:pPr>
            <w:r>
              <w:rPr>
                <w:rFonts w:ascii="Courier New" w:cs="Courier New" w:eastAsia="Courier New" w:hAnsi="Courier New"/>
                <w:sz w:val="18"/>
                <w:szCs w:val="18"/>
                <w:color w:val="auto"/>
                <w:w w:val="97"/>
              </w:rPr>
              <w:t>Shared Voting Power</w:t>
            </w:r>
          </w:p>
        </w:tc>
      </w:tr>
      <w:tr>
        <w:trPr>
          <w:trHeight w:val="203"/>
        </w:trPr>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60" w:type="dxa"/>
            <w:vAlign w:val="bottom"/>
          </w:tcPr>
          <w:p>
            <w:pPr>
              <w:spacing w:after="0"/>
              <w:rPr>
                <w:sz w:val="17"/>
                <w:szCs w:val="17"/>
                <w:color w:val="auto"/>
              </w:rPr>
            </w:pPr>
          </w:p>
        </w:tc>
        <w:tc>
          <w:tcPr>
            <w:tcW w:w="2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1,485,950</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1,485,950</w:t>
      </w:r>
    </w:p>
    <w:p>
      <w:pPr>
        <w:spacing w:after="0" w:line="12" w:lineRule="exact"/>
        <w:rPr>
          <w:sz w:val="20"/>
          <w:szCs w:val="20"/>
          <w:color w:val="auto"/>
        </w:rPr>
      </w:pPr>
    </w:p>
    <w:p>
      <w:pPr>
        <w:ind w:left="420" w:right="33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*SEE INSTRUCTION BEFORE FILLING OUT!</w:t>
      </w:r>
    </w:p>
    <w:p>
      <w:pPr>
        <w:ind w:left="11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ind w:left="2640"/>
        <w:spacing w:after="0"/>
        <w:rPr>
          <w:sz w:val="20"/>
          <w:szCs w:val="20"/>
          <w:color w:val="auto"/>
        </w:rPr>
      </w:pPr>
      <w:r>
        <w:rPr>
          <w:rFonts w:ascii="Courier New" w:cs="Courier New" w:eastAsia="Courier New" w:hAnsi="Courier New"/>
          <w:sz w:val="18"/>
          <w:szCs w:val="18"/>
          <w:color w:val="auto"/>
        </w:rPr>
        <w:t>reported in Item 7.</w:t>
      </w:r>
    </w:p>
    <w:p>
      <w:pPr>
        <w:spacing w:after="0" w:line="237" w:lineRule="auto"/>
        <w:tabs>
          <w:tab w:leader="none" w:pos="3460" w:val="left"/>
          <w:tab w:leader="none" w:pos="4520" w:val="left"/>
          <w:tab w:leader="none" w:pos="5140" w:val="left"/>
          <w:tab w:leader="none" w:pos="5580" w:val="left"/>
          <w:tab w:leader="none" w:pos="6000" w:val="left"/>
          <w:tab w:leader="none" w:pos="6300" w:val="left"/>
        </w:tabs>
        <w:rPr>
          <w:sz w:val="20"/>
          <w:szCs w:val="20"/>
          <w:color w:val="auto"/>
        </w:rPr>
      </w:pPr>
      <w:r>
        <w:rPr>
          <w:rFonts w:ascii="Courier New" w:cs="Courier New" w:eastAsia="Courier New" w:hAnsi="Courier New"/>
          <w:sz w:val="18"/>
          <w:szCs w:val="18"/>
          <w:color w:val="auto"/>
        </w:rPr>
        <w:t>CUSIP NO. 730444106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w:t>
        <w:tab/>
        <w:t>3</w:t>
      </w:r>
      <w:r>
        <w:rPr>
          <w:sz w:val="20"/>
          <w:szCs w:val="20"/>
          <w:color w:val="auto"/>
        </w:rPr>
        <w:tab/>
      </w:r>
      <w:r>
        <w:rPr>
          <w:rFonts w:ascii="Courier New" w:cs="Courier New" w:eastAsia="Courier New" w:hAnsi="Courier New"/>
          <w:sz w:val="18"/>
          <w:szCs w:val="18"/>
          <w:color w:val="auto"/>
        </w:rPr>
        <w:t>of</w:t>
        <w:tab/>
        <w:t>6</w:t>
        <w:tab/>
        <w:t>Pages</w:t>
      </w:r>
    </w:p>
    <w:p>
      <w:pPr>
        <w:spacing w:after="0" w:line="202"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 Rowe Price Small-Cap Value Fund, Inc.</w:t>
      </w:r>
    </w:p>
    <w:p>
      <w:pPr>
        <w:ind w:left="420"/>
        <w:spacing w:after="0" w:line="238" w:lineRule="auto"/>
        <w:rPr>
          <w:sz w:val="20"/>
          <w:szCs w:val="20"/>
          <w:color w:val="auto"/>
        </w:rPr>
      </w:pPr>
      <w:r>
        <w:rPr>
          <w:rFonts w:ascii="Courier New" w:cs="Courier New" w:eastAsia="Courier New" w:hAnsi="Courier New"/>
          <w:sz w:val="18"/>
          <w:szCs w:val="18"/>
          <w:color w:val="auto"/>
        </w:rPr>
        <w:t>52-1575325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46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spacing w:after="0"/>
              <w:rPr>
                <w:sz w:val="17"/>
                <w:szCs w:val="17"/>
                <w:color w:val="auto"/>
              </w:rPr>
            </w:pPr>
          </w:p>
        </w:tc>
      </w:tr>
      <w:tr>
        <w:trPr>
          <w:trHeight w:val="405"/>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w w:val="94"/>
              </w:rPr>
              <w:t>(a) ____</w:t>
            </w: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NOT</w:t>
            </w:r>
          </w:p>
        </w:tc>
        <w:tc>
          <w:tcPr>
            <w:tcW w:w="4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(b) ____</w:t>
            </w: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SEC</w:t>
            </w:r>
          </w:p>
        </w:tc>
        <w:tc>
          <w:tcPr>
            <w:tcW w:w="4940" w:type="dxa"/>
            <w:vAlign w:val="bottom"/>
          </w:tcPr>
          <w:p>
            <w:pPr>
              <w:ind w:left="60"/>
              <w:spacing w:after="0"/>
              <w:rPr>
                <w:sz w:val="20"/>
                <w:szCs w:val="20"/>
                <w:color w:val="auto"/>
              </w:rPr>
            </w:pPr>
            <w:r>
              <w:rPr>
                <w:rFonts w:ascii="Courier New" w:cs="Courier New" w:eastAsia="Courier New" w:hAnsi="Courier New"/>
                <w:sz w:val="18"/>
                <w:szCs w:val="18"/>
                <w:color w:val="auto"/>
              </w:rPr>
              <w:t>Use Only</w:t>
            </w:r>
          </w:p>
        </w:tc>
        <w:tc>
          <w:tcPr>
            <w:tcW w:w="100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______________________________</w:t>
            </w:r>
          </w:p>
        </w:tc>
        <w:tc>
          <w:tcPr>
            <w:tcW w:w="1000" w:type="dxa"/>
            <w:vAlign w:val="bottom"/>
          </w:tcPr>
          <w:p>
            <w:pPr>
              <w:spacing w:after="0"/>
              <w:rPr>
                <w:sz w:val="24"/>
                <w:szCs w:val="24"/>
                <w:color w:val="auto"/>
              </w:rPr>
            </w:pPr>
          </w:p>
        </w:tc>
      </w:tr>
    </w:tbl>
    <w:p>
      <w:pPr>
        <w:spacing w:after="0" w:line="207" w:lineRule="exact"/>
        <w:rPr>
          <w:sz w:val="20"/>
          <w:szCs w:val="20"/>
          <w:color w:val="auto"/>
        </w:rPr>
      </w:pPr>
    </w:p>
    <w:p>
      <w:pPr>
        <w:ind w:left="420" w:right="5999" w:hanging="412"/>
        <w:spacing w:after="0" w:line="470"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875,000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6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6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r>
    </w:tbl>
    <w:p>
      <w:pPr>
        <w:spacing w:after="0" w:line="207"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875,000</w:t>
      </w:r>
    </w:p>
    <w:p>
      <w:pPr>
        <w:spacing w:after="0" w:line="207" w:lineRule="exact"/>
        <w:rPr>
          <w:sz w:val="20"/>
          <w:szCs w:val="20"/>
          <w:color w:val="auto"/>
        </w:rPr>
      </w:pPr>
    </w:p>
    <w:p>
      <w:pPr>
        <w:ind w:left="420" w:right="335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136" w:right="1440" w:bottom="0" w:gutter="0" w:footer="0" w:header="0"/>
        </w:sectPr>
      </w:pPr>
    </w:p>
    <w:bookmarkStart w:id="2" w:name="page3"/>
    <w:bookmarkEnd w:id="2"/>
    <w:p>
      <w:pPr>
        <w:ind w:left="1800"/>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4"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**The aggregate amount reported on this page is also included in the aggregate amount reported by T. Rowe Price Associates, Inc. on page 2 of this Schedule 13G.</w:t>
      </w:r>
    </w:p>
    <w:p>
      <w:pPr>
        <w:sectPr>
          <w:pgSz w:w="11900" w:h="16838" w:orient="portrait"/>
          <w:cols w:equalWidth="0" w:num="1">
            <w:col w:w="10219"/>
          </w:cols>
          <w:pgMar w:left="240" w:top="13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1040" w:val="left"/>
          <w:tab w:leader="none" w:pos="1460" w:val="left"/>
        </w:tabs>
        <w:rPr>
          <w:sz w:val="20"/>
          <w:szCs w:val="20"/>
          <w:color w:val="auto"/>
        </w:rPr>
      </w:pPr>
      <w:r>
        <w:rPr>
          <w:rFonts w:ascii="Courier New" w:cs="Courier New" w:eastAsia="Courier New" w:hAnsi="Courier New"/>
          <w:sz w:val="18"/>
          <w:szCs w:val="18"/>
          <w:color w:val="auto"/>
        </w:rPr>
        <w:t>PAGE</w:t>
        <w:tab/>
        <w:t>4</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6</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220 South Ridgewood Avenue, Daytona Beach, Florida</w:t>
      </w:r>
    </w:p>
    <w:p>
      <w:pPr>
        <w:ind w:left="420"/>
        <w:spacing w:after="0" w:line="238" w:lineRule="auto"/>
        <w:rPr>
          <w:sz w:val="20"/>
          <w:szCs w:val="20"/>
          <w:color w:val="auto"/>
        </w:rPr>
      </w:pPr>
      <w:r>
        <w:rPr>
          <w:rFonts w:ascii="Courier New" w:cs="Courier New" w:eastAsia="Courier New" w:hAnsi="Courier New"/>
          <w:sz w:val="18"/>
          <w:szCs w:val="18"/>
          <w:color w:val="auto"/>
        </w:rPr>
        <w:t>32114</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1160" w:hanging="731"/>
        <w:spacing w:after="0"/>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1" w:lineRule="exact"/>
        <w:rPr>
          <w:rFonts w:ascii="Courier New" w:cs="Courier New" w:eastAsia="Courier New" w:hAnsi="Courier New"/>
          <w:sz w:val="18"/>
          <w:szCs w:val="18"/>
          <w:color w:val="auto"/>
        </w:rPr>
      </w:pPr>
    </w:p>
    <w:p>
      <w:pPr>
        <w:ind w:left="1160" w:hanging="731"/>
        <w:spacing w:after="0"/>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jc w:val="both"/>
        <w:ind w:left="1160" w:right="3259" w:hanging="941"/>
        <w:spacing w:after="0" w:line="279" w:lineRule="auto"/>
        <w:tabs>
          <w:tab w:leader="none" w:pos="11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1160" w:hanging="731"/>
        <w:spacing w:after="0"/>
        <w:tabs>
          <w:tab w:leader="none" w:pos="11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160" w:hanging="731"/>
        <w:spacing w:after="0"/>
        <w:tabs>
          <w:tab w:leader="none" w:pos="11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 730444106</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160" w:right="3359" w:hanging="941"/>
        <w:spacing w:after="0" w:line="235"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160" w:right="3579" w:hanging="941"/>
        <w:spacing w:after="0" w:line="235"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pacing w:after="0" w:line="211" w:lineRule="exact"/>
        <w:rPr>
          <w:sz w:val="20"/>
          <w:szCs w:val="20"/>
          <w:color w:val="auto"/>
        </w:rPr>
      </w:pPr>
    </w:p>
    <w:p>
      <w:pPr>
        <w:ind w:left="1160" w:right="389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6</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860" w:hanging="64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_____   This statement</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is being</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w w:val="99"/>
              </w:rPr>
              <w:t>filed to report the</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fact that, as</w:t>
            </w:r>
          </w:p>
        </w:tc>
      </w:tr>
      <w:tr>
        <w:trPr>
          <w:trHeight w:val="203"/>
        </w:trPr>
        <w:tc>
          <w:tcPr>
            <w:tcW w:w="15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5"/>
              </w:rPr>
              <w:t>of the</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 of</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this</w:t>
            </w:r>
          </w:p>
        </w:tc>
        <w:tc>
          <w:tcPr>
            <w:tcW w:w="4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 the reporting person(s) has</w:t>
            </w:r>
          </w:p>
        </w:tc>
      </w:tr>
      <w:tr>
        <w:trPr>
          <w:trHeight w:val="203"/>
        </w:trPr>
        <w:tc>
          <w:tcPr>
            <w:tcW w:w="15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5"/>
              </w:rPr>
              <w:t>(have)</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ceased to be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beneficial owner of</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more than five</w:t>
            </w:r>
          </w:p>
        </w:tc>
      </w:tr>
      <w:tr>
        <w:trPr>
          <w:trHeight w:val="203"/>
        </w:trPr>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percent of the class of</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c>
          <w:tcPr>
            <w:tcW w:w="1520" w:type="dxa"/>
            <w:vAlign w:val="bottom"/>
          </w:tcPr>
          <w:p>
            <w:pPr>
              <w:spacing w:after="0"/>
              <w:rPr>
                <w:sz w:val="17"/>
                <w:szCs w:val="17"/>
                <w:color w:val="auto"/>
              </w:rPr>
            </w:pPr>
          </w:p>
        </w:tc>
      </w:tr>
    </w:tbl>
    <w:p>
      <w:pPr>
        <w:spacing w:after="0" w:line="207" w:lineRule="exact"/>
        <w:rPr>
          <w:sz w:val="20"/>
          <w:szCs w:val="20"/>
          <w:color w:val="auto"/>
        </w:rPr>
      </w:pPr>
    </w:p>
    <w:p>
      <w:pPr>
        <w:ind w:left="860" w:right="347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w:t>
      </w:r>
    </w:p>
    <w:p>
      <w:pPr>
        <w:spacing w:after="0" w:line="208" w:lineRule="exact"/>
        <w:rPr>
          <w:sz w:val="20"/>
          <w:szCs w:val="20"/>
          <w:color w:val="auto"/>
        </w:rPr>
      </w:pPr>
    </w:p>
    <w:p>
      <w:pPr>
        <w:ind w:left="860" w:right="3779" w:hanging="431"/>
        <w:spacing w:after="0" w:line="237"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860" w:right="36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860" w:right="3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860" w:right="3779" w:hanging="431"/>
        <w:spacing w:after="0" w:line="237"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860" w:right="335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360" w:val="left"/>
        </w:tabs>
        <w:rPr>
          <w:sz w:val="20"/>
          <w:szCs w:val="20"/>
          <w:color w:val="auto"/>
        </w:rPr>
      </w:pPr>
      <w:r>
        <w:rPr>
          <w:rFonts w:ascii="Courier New" w:cs="Courier New" w:eastAsia="Courier New" w:hAnsi="Courier New"/>
          <w:sz w:val="18"/>
          <w:szCs w:val="18"/>
          <w:color w:val="auto"/>
        </w:rPr>
        <w:t>PAGE</w:t>
        <w:tab/>
        <w:t>6</w:t>
        <w:tab/>
        <w:t>OF</w:t>
      </w:r>
      <w:r>
        <w:rPr>
          <w:sz w:val="20"/>
          <w:szCs w:val="20"/>
          <w:color w:val="auto"/>
        </w:rPr>
        <w:tab/>
      </w:r>
      <w:r>
        <w:rPr>
          <w:rFonts w:ascii="Courier New" w:cs="Courier New" w:eastAsia="Courier New" w:hAnsi="Courier New"/>
          <w:sz w:val="16"/>
          <w:szCs w:val="16"/>
          <w:color w:val="auto"/>
        </w:rPr>
        <w:t>6</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420" w:right="377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480" w:type="dxa"/>
            <w:vAlign w:val="bottom"/>
          </w:tcPr>
          <w:p>
            <w:pPr>
              <w:ind w:left="120"/>
              <w:spacing w:after="0"/>
              <w:rPr>
                <w:sz w:val="20"/>
                <w:szCs w:val="20"/>
                <w:color w:val="auto"/>
              </w:rPr>
            </w:pPr>
            <w:r>
              <w:rPr>
                <w:rFonts w:ascii="Courier New" w:cs="Courier New" w:eastAsia="Courier New" w:hAnsi="Courier New"/>
                <w:sz w:val="18"/>
                <w:szCs w:val="18"/>
                <w:color w:val="auto"/>
              </w:rPr>
              <w:t>February 12, 1999</w:t>
            </w:r>
          </w:p>
        </w:tc>
        <w:tc>
          <w:tcPr>
            <w:tcW w:w="3160" w:type="dxa"/>
            <w:vAlign w:val="bottom"/>
          </w:tcPr>
          <w:p>
            <w:pPr>
              <w:ind w:left="580"/>
              <w:spacing w:after="0"/>
              <w:rPr>
                <w:sz w:val="20"/>
                <w:szCs w:val="20"/>
                <w:color w:val="auto"/>
              </w:rPr>
            </w:pPr>
            <w:r>
              <w:rPr>
                <w:rFonts w:ascii="Courier New" w:cs="Courier New" w:eastAsia="Courier New" w:hAnsi="Courier New"/>
                <w:sz w:val="18"/>
                <w:szCs w:val="18"/>
                <w:color w:val="auto"/>
                <w:w w:val="98"/>
              </w:rPr>
              <w:t>Dated: February 12, 1999</w:t>
            </w:r>
          </w:p>
        </w:tc>
        <w:tc>
          <w:tcPr>
            <w:tcW w:w="580" w:type="dxa"/>
            <w:vAlign w:val="bottom"/>
          </w:tcPr>
          <w:p>
            <w:pPr>
              <w:spacing w:after="0"/>
              <w:rPr>
                <w:sz w:val="17"/>
                <w:szCs w:val="17"/>
                <w:color w:val="auto"/>
              </w:rPr>
            </w:pPr>
          </w:p>
        </w:tc>
      </w:tr>
      <w:tr>
        <w:trPr>
          <w:trHeight w:val="608"/>
        </w:trPr>
        <w:tc>
          <w:tcPr>
            <w:tcW w:w="3220" w:type="dxa"/>
            <w:vAlign w:val="bottom"/>
            <w:gridSpan w:val="2"/>
          </w:tcPr>
          <w:p>
            <w:pPr>
              <w:spacing w:after="0"/>
              <w:rPr>
                <w:sz w:val="20"/>
                <w:szCs w:val="20"/>
                <w:color w:val="auto"/>
              </w:rPr>
            </w:pPr>
            <w:r>
              <w:rPr>
                <w:rFonts w:ascii="Courier New" w:cs="Courier New" w:eastAsia="Courier New" w:hAnsi="Courier New"/>
                <w:sz w:val="18"/>
                <w:szCs w:val="18"/>
                <w:color w:val="auto"/>
              </w:rPr>
              <w:t>T. ROWE PRICE SMALL-CAP</w:t>
            </w:r>
          </w:p>
        </w:tc>
        <w:tc>
          <w:tcPr>
            <w:tcW w:w="374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6"/>
              </w:rPr>
              <w:t>T. ROWE PRICE ASSOCIATES, INC.</w:t>
            </w:r>
          </w:p>
        </w:tc>
      </w:tr>
      <w:tr>
        <w:trPr>
          <w:trHeight w:val="203"/>
        </w:trPr>
        <w:tc>
          <w:tcPr>
            <w:tcW w:w="3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VALUE FUND, INC.</w:t>
            </w:r>
          </w:p>
        </w:tc>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810"/>
        </w:trPr>
        <w:tc>
          <w:tcPr>
            <w:tcW w:w="3220" w:type="dxa"/>
            <w:vAlign w:val="bottom"/>
            <w:gridSpan w:val="2"/>
          </w:tcPr>
          <w:p>
            <w:pPr>
              <w:spacing w:after="0"/>
              <w:rPr>
                <w:sz w:val="20"/>
                <w:szCs w:val="20"/>
                <w:color w:val="auto"/>
              </w:rPr>
            </w:pPr>
            <w:r>
              <w:rPr>
                <w:rFonts w:ascii="Courier New" w:cs="Courier New" w:eastAsia="Courier New" w:hAnsi="Courier New"/>
                <w:sz w:val="18"/>
                <w:szCs w:val="18"/>
                <w:color w:val="auto"/>
              </w:rPr>
              <w:t>By: /s/ Carmen F. Deyesu</w:t>
            </w:r>
          </w:p>
        </w:tc>
        <w:tc>
          <w:tcPr>
            <w:tcW w:w="3160" w:type="dxa"/>
            <w:vAlign w:val="bottom"/>
          </w:tcPr>
          <w:p>
            <w:pPr>
              <w:ind w:left="580"/>
              <w:spacing w:after="0"/>
              <w:rPr>
                <w:sz w:val="20"/>
                <w:szCs w:val="20"/>
                <w:color w:val="auto"/>
              </w:rPr>
            </w:pPr>
            <w:r>
              <w:rPr>
                <w:rFonts w:ascii="Courier New" w:cs="Courier New" w:eastAsia="Courier New" w:hAnsi="Courier New"/>
                <w:sz w:val="18"/>
                <w:szCs w:val="18"/>
                <w:color w:val="auto"/>
                <w:w w:val="98"/>
              </w:rPr>
              <w:t>By: /s/ Henry H. Hopkins</w:t>
            </w:r>
          </w:p>
        </w:tc>
        <w:tc>
          <w:tcPr>
            <w:tcW w:w="580" w:type="dxa"/>
            <w:vAlign w:val="bottom"/>
          </w:tcPr>
          <w:p>
            <w:pPr>
              <w:spacing w:after="0"/>
              <w:rPr>
                <w:sz w:val="24"/>
                <w:szCs w:val="24"/>
                <w:color w:val="auto"/>
              </w:rPr>
            </w:pPr>
          </w:p>
        </w:tc>
      </w:tr>
      <w:tr>
        <w:trPr>
          <w:trHeight w:val="203"/>
        </w:trPr>
        <w:tc>
          <w:tcPr>
            <w:tcW w:w="3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Carmen F. Deyesu,</w:t>
            </w:r>
          </w:p>
        </w:tc>
        <w:tc>
          <w:tcPr>
            <w:tcW w:w="31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Henry H. Hopkins,</w:t>
            </w:r>
          </w:p>
        </w:tc>
        <w:tc>
          <w:tcPr>
            <w:tcW w:w="580" w:type="dxa"/>
            <w:vAlign w:val="bottom"/>
          </w:tcPr>
          <w:p>
            <w:pPr>
              <w:spacing w:after="0"/>
              <w:rPr>
                <w:sz w:val="17"/>
                <w:szCs w:val="17"/>
                <w:color w:val="auto"/>
              </w:rPr>
            </w:pPr>
          </w:p>
        </w:tc>
      </w:tr>
      <w:tr>
        <w:trPr>
          <w:trHeight w:val="203"/>
        </w:trPr>
        <w:tc>
          <w:tcPr>
            <w:tcW w:w="3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Treasurer</w:t>
            </w:r>
          </w:p>
        </w:tc>
        <w:tc>
          <w:tcPr>
            <w:tcW w:w="31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Managing Director</w:t>
            </w:r>
          </w:p>
        </w:tc>
        <w:tc>
          <w:tcPr>
            <w:tcW w:w="580" w:type="dxa"/>
            <w:vAlign w:val="bottom"/>
          </w:tcPr>
          <w:p>
            <w:pPr>
              <w:spacing w:after="0"/>
              <w:rPr>
                <w:sz w:val="17"/>
                <w:szCs w:val="17"/>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Note:</w:t>
            </w:r>
          </w:p>
        </w:tc>
        <w:tc>
          <w:tcPr>
            <w:tcW w:w="564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8"/>
              </w:rPr>
              <w:t>This Schedule 13G, including all exhibits, must be</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filed</w:t>
            </w:r>
          </w:p>
        </w:tc>
      </w:tr>
      <w:tr>
        <w:trPr>
          <w:trHeight w:val="203"/>
        </w:trPr>
        <w:tc>
          <w:tcPr>
            <w:tcW w:w="740" w:type="dxa"/>
            <w:vAlign w:val="bottom"/>
          </w:tcPr>
          <w:p>
            <w:pPr>
              <w:spacing w:after="0"/>
              <w:rPr>
                <w:sz w:val="17"/>
                <w:szCs w:val="17"/>
                <w:color w:val="auto"/>
              </w:rPr>
            </w:pPr>
          </w:p>
        </w:tc>
        <w:tc>
          <w:tcPr>
            <w:tcW w:w="5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with the Securities and Exchange Commission, and a</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copy</w:t>
            </w:r>
          </w:p>
        </w:tc>
      </w:tr>
      <w:tr>
        <w:trPr>
          <w:trHeight w:val="203"/>
        </w:trPr>
        <w:tc>
          <w:tcPr>
            <w:tcW w:w="740" w:type="dxa"/>
            <w:vAlign w:val="bottom"/>
          </w:tcPr>
          <w:p>
            <w:pPr>
              <w:spacing w:after="0"/>
              <w:rPr>
                <w:sz w:val="17"/>
                <w:szCs w:val="17"/>
                <w:color w:val="auto"/>
              </w:rPr>
            </w:pPr>
          </w:p>
        </w:tc>
        <w:tc>
          <w:tcPr>
            <w:tcW w:w="5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hereof must be sent to the issuer by registered or</w:t>
            </w:r>
          </w:p>
        </w:tc>
        <w:tc>
          <w:tcPr>
            <w:tcW w:w="5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2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certified mail and to the principal national securities</w:t>
            </w:r>
          </w:p>
        </w:tc>
      </w:tr>
      <w:tr>
        <w:trPr>
          <w:trHeight w:val="203"/>
        </w:trPr>
        <w:tc>
          <w:tcPr>
            <w:tcW w:w="740" w:type="dxa"/>
            <w:vAlign w:val="bottom"/>
          </w:tcPr>
          <w:p>
            <w:pPr>
              <w:spacing w:after="0"/>
              <w:rPr>
                <w:sz w:val="17"/>
                <w:szCs w:val="17"/>
                <w:color w:val="auto"/>
              </w:rPr>
            </w:pPr>
          </w:p>
        </w:tc>
        <w:tc>
          <w:tcPr>
            <w:tcW w:w="5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exchange on which the security is listed not later</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than</w:t>
            </w:r>
          </w:p>
        </w:tc>
      </w:tr>
      <w:tr>
        <w:trPr>
          <w:trHeight w:val="203"/>
        </w:trPr>
        <w:tc>
          <w:tcPr>
            <w:tcW w:w="740" w:type="dxa"/>
            <w:vAlign w:val="bottom"/>
          </w:tcPr>
          <w:p>
            <w:pPr>
              <w:spacing w:after="0"/>
              <w:rPr>
                <w:sz w:val="17"/>
                <w:szCs w:val="17"/>
                <w:color w:val="auto"/>
              </w:rPr>
            </w:pPr>
          </w:p>
        </w:tc>
        <w:tc>
          <w:tcPr>
            <w:tcW w:w="62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February 14th following the calendar year covered by the</w:t>
            </w:r>
          </w:p>
        </w:tc>
      </w:tr>
    </w:tbl>
    <w:p>
      <w:pPr>
        <w:spacing w:after="0" w:line="4" w:lineRule="exact"/>
        <w:rPr>
          <w:sz w:val="20"/>
          <w:szCs w:val="20"/>
          <w:color w:val="auto"/>
        </w:rPr>
      </w:pPr>
    </w:p>
    <w:p>
      <w:pPr>
        <w:ind w:left="1060" w:right="2939"/>
        <w:spacing w:after="0" w:line="235" w:lineRule="auto"/>
        <w:rPr>
          <w:sz w:val="20"/>
          <w:szCs w:val="20"/>
          <w:color w:val="auto"/>
        </w:rPr>
      </w:pPr>
      <w:r>
        <w:rPr>
          <w:rFonts w:ascii="Courier New" w:cs="Courier New" w:eastAsia="Courier New" w:hAnsi="Courier New"/>
          <w:sz w:val="18"/>
          <w:szCs w:val="18"/>
          <w:color w:val="auto"/>
        </w:rPr>
        <w:t>statement or within the time specified in Rule 13d-1(b)(2), if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12/31/1998</w:t>
      </w:r>
    </w:p>
    <w:p>
      <w:pPr>
        <w:sectPr>
          <w:pgSz w:w="11900" w:h="16838" w:orient="portrait"/>
          <w:cols w:equalWidth="0" w:num="1">
            <w:col w:w="10219"/>
          </w:cols>
          <w:pgMar w:left="240" w:top="514" w:right="1440" w:bottom="1440" w:gutter="0" w:footer="0" w:header="0"/>
        </w:sectPr>
      </w:pPr>
    </w:p>
    <w:bookmarkStart w:id="6" w:name="page7"/>
    <w:bookmarkEnd w:id="6"/>
    <w:p>
      <w:pPr>
        <w:ind w:left="64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159" w:firstLine="421"/>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159" w:firstLine="421"/>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1"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12, 1999</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12, 1999</w:t>
      </w:r>
    </w:p>
    <w:p>
      <w:pPr>
        <w:spacing w:after="0" w:line="200" w:lineRule="exact"/>
        <w:rPr>
          <w:sz w:val="20"/>
          <w:szCs w:val="20"/>
          <w:color w:val="auto"/>
        </w:rPr>
      </w:pPr>
    </w:p>
    <w:p>
      <w:pPr>
        <w:sectPr>
          <w:pgSz w:w="11900" w:h="16838" w:orient="portrait"/>
          <w:cols w:equalWidth="0" w:num="3">
            <w:col w:w="640" w:space="220"/>
            <w:col w:w="2220" w:space="720"/>
            <w:col w:w="6419"/>
          </w:cols>
          <w:pgMar w:left="240" w:top="514"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VALUE 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3080" w:space="720"/>
            <w:col w:w="6419"/>
          </w:cols>
          <w:pgMar w:left="240" w:top="514"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20" w:right="540" w:hanging="419"/>
        <w:spacing w:after="0" w:line="236" w:lineRule="auto"/>
        <w:tabs>
          <w:tab w:leader="none" w:pos="400" w:val="left"/>
        </w:tabs>
        <w:rPr>
          <w:sz w:val="20"/>
          <w:szCs w:val="20"/>
          <w:color w:val="auto"/>
        </w:rPr>
      </w:pPr>
      <w:r>
        <w:rPr>
          <w:rFonts w:ascii="Courier New" w:cs="Courier New" w:eastAsia="Courier New" w:hAnsi="Courier New"/>
          <w:sz w:val="18"/>
          <w:szCs w:val="18"/>
          <w:color w:val="auto"/>
        </w:rPr>
        <w:t>By:</w:t>
        <w:tab/>
        <w:t>/s/ Carmen F. Deyesu Carmen F. Deyesu, Treasurer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Henry H. Hopkins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Henry H. Hopkins,</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sectPr>
      <w:pgSz w:w="11900" w:h="16838" w:orient="portrait"/>
      <w:cols w:equalWidth="0" w:num="2">
        <w:col w:w="3080" w:space="720"/>
        <w:col w:w="64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bullet"/>
      <w:start w:val="1"/>
    </w:lvl>
  </w:abstractNum>
  <w:abstractNum w:abstractNumId="1">
    <w:nsid w:val="7545E146"/>
    <w:multiLevelType w:val="hybridMultilevel"/>
    <w:lvl w:ilvl="0">
      <w:lvlJc w:val="left"/>
      <w:lvlText w:val="4"/>
      <w:numFmt w:val="bullet"/>
      <w:start w:val="1"/>
    </w:lvl>
  </w:abstractNum>
  <w:abstractNum w:abstractNumId="2">
    <w:nsid w:val="515F007C"/>
    <w:multiLevelType w:val="hybridMultilevel"/>
    <w:lvl w:ilvl="0">
      <w:lvlJc w:val="left"/>
      <w:lvlText w:val="9"/>
      <w:numFmt w:val="bullet"/>
      <w:start w:val="1"/>
    </w:lvl>
  </w:abstractNum>
  <w:abstractNum w:abstractNumId="3">
    <w:nsid w:val="5BD062C2"/>
    <w:multiLevelType w:val="hybridMultilevel"/>
    <w:lvl w:ilvl="0">
      <w:lvlJc w:val="left"/>
      <w:lvlText w:val="%1"/>
      <w:numFmt w:val="decimal"/>
      <w:start w:val="10"/>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9"/>
      <w:numFmt w:val="bullet"/>
      <w:start w:val="1"/>
    </w:lvl>
  </w:abstractNum>
  <w:abstractNum w:abstractNumId="7">
    <w:nsid w:val="1F16E9E8"/>
    <w:multiLevelType w:val="hybridMultilevel"/>
    <w:lvl w:ilvl="0">
      <w:lvlJc w:val="left"/>
      <w:lvlText w:val="%1"/>
      <w:numFmt w:val="decimal"/>
      <w:start w:val="10"/>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X"/>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X"/>
      <w:numFmt w:val="bullet"/>
      <w:start w:val="1"/>
    </w:lvl>
  </w:abstractNum>
  <w:abstractNum w:abstractNumId="12">
    <w:nsid w:val="109CF92E"/>
    <w:multiLevelType w:val="hybridMultilevel"/>
    <w:lvl w:ilvl="0">
      <w:lvlJc w:val="left"/>
      <w:lvlText w:val="X"/>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2019-12-13T06:14:38Z</dcterms:created>
  <dcterms:modified xsi:type="dcterms:W3CDTF">2019-12-13T06:14:38Z</dcterms:modified>
</cp:coreProperties>
</file>