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61021.htm"/>
      <w:bookmarkStart w:id="1" w:name="ksbro2026102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2"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2"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21, 2026</w:t>
            </w:r>
          </w:p>
        </w:tc>
      </w:tr>
    </w:tbl>
    <w:p>
      <w:pPr>
        <w:pStyle w:val="TextBody"/>
        <w:pBdr>
          <w:bottom w:val="single" w:sz="2"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2" w:space="1" w:color="000000"/>
        </w:pBdr>
        <w:bidi w:val="0"/>
        <w:spacing w:before="180" w:after="283"/>
        <w:jc w:val="left"/>
        <w:rPr/>
      </w:pPr>
      <w:r>
        <w:rPr/>
        <w:t> </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921"/>
        <w:gridCol w:w="833"/>
        <w:gridCol w:w="841"/>
        <w:gridCol w:w="1846"/>
        <w:gridCol w:w="1636"/>
      </w:tblGrid>
      <w:tr>
        <w:trPr/>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Number)</w:t>
            </w:r>
          </w:p>
        </w:tc>
      </w:tr>
      <w:tr>
        <w:trPr/>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 North Beach Street</w:t>
            </w:r>
          </w:p>
        </w:tc>
        <w:tc>
          <w:tcPr>
            <w:tcW w:w="3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(386)</w:t>
            </w:r>
            <w:r>
              <w:rPr>
                <w:rFonts w:ascii="Times New Roman" w:hAnsi="Times New Roman"/>
                <w:color w:val="000000"/>
                <w:sz w:val="20"/>
              </w:rPr>
              <w:t xml:space="preserve"> </w:t>
            </w:r>
            <w:r>
              <w:rPr>
                <w:rFonts w:ascii="Times New Roman" w:hAnsi="Times New Roman"/>
                <w:b/>
                <w:color w:val="000000"/>
                <w:sz w:val="20"/>
              </w:rPr>
              <w:t>252-9601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2"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6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2"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On October 21, 2026, Bronislaw E. Masojada notified the Board of Directors (the “Board”) of Brown &amp; Brown, Inc. (the “Company”) of his decision to resign from the Board and from each of the Board’s Audit Committee and Compensation Committee, in each case effective immediately, due to obligations associated with his election to serve as the 698th Lord Mayor of the City of London beginning in November 2026. Mr. Masojada’s decision to resign from the Board was not due to any disagreement with the Company on any matter relating to the Company’s operations, policies or practices.</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79" w:type="dxa"/>
        <w:jc w:val="left"/>
        <w:tblInd w:w="0" w:type="dxa"/>
        <w:tblLayout w:type="fixed"/>
        <w:tblCellMar>
          <w:top w:w="28" w:type="dxa"/>
          <w:left w:w="28" w:type="dxa"/>
          <w:bottom w:w="28" w:type="dxa"/>
          <w:right w:w="28" w:type="dxa"/>
        </w:tblCellMar>
      </w:tblPr>
      <w:tblGrid>
        <w:gridCol w:w="556"/>
        <w:gridCol w:w="1576"/>
        <w:gridCol w:w="451"/>
        <w:gridCol w:w="2296"/>
      </w:tblGrid>
      <w:tr>
        <w:trPr/>
        <w:tc>
          <w:tcPr>
            <w:tcW w:w="55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BROWN &amp; BROWN, INC.</w:t>
              <w:b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7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Anthony M. Robinson </w:t>
              <w:br/>
              <w:t>Secretary</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467</Words>
  <Characters>2545</Characters>
  <CharactersWithSpaces>3019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