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60630.htm"/>
      <w:bookmarkStart w:id="1" w:name="ksbro20260630"/>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w:t>
      </w:r>
      <w:r>
        <w:rPr>
          <w:rFonts w:ascii="Times New Roman" w:hAnsi="Times New Roman"/>
          <w:color w:val="000000"/>
          <w:sz w:val="20"/>
        </w:rPr>
        <w:t xml:space="preserve"> </w:t>
      </w:r>
      <w:r>
        <w:rPr>
          <w:rFonts w:ascii="Times New Roman" w:hAnsi="Times New Roman"/>
          <w:b/>
          <w:color w:val="000000"/>
          <w:sz w:val="36"/>
        </w:rPr>
        <w:t>10-Q</w:t>
      </w:r>
    </w:p>
    <w:p>
      <w:pPr>
        <w:pStyle w:val="TextBody"/>
        <w:pBdr>
          <w:bottom w:val="single" w:sz="4" w:space="1" w:color="000000"/>
        </w:pBdr>
        <w:bidi w:val="0"/>
        <w:spacing w:before="0" w:after="80"/>
        <w:jc w:val="center"/>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001-13619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80"/>
        <w:jc w:val="center"/>
        <w:rPr/>
      </w:pPr>
      <w:r>
        <w:rPr/>
        <w:t>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2926"/>
        <w:gridCol w:w="146"/>
        <w:gridCol w:w="3191"/>
        <w:gridCol w:w="14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9716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2667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300 North Beach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(386) 252-9601</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413" w:type="dxa"/>
        <w:jc w:val="left"/>
        <w:tblInd w:w="0" w:type="dxa"/>
        <w:tblLayout w:type="fixed"/>
        <w:tblCellMar>
          <w:top w:w="28" w:type="dxa"/>
          <w:left w:w="28" w:type="dxa"/>
          <w:bottom w:w="28" w:type="dxa"/>
          <w:right w:w="28" w:type="dxa"/>
        </w:tblCellMar>
      </w:tblPr>
      <w:tblGrid>
        <w:gridCol w:w="2761"/>
        <w:gridCol w:w="1426"/>
        <w:gridCol w:w="3226"/>
      </w:tblGrid>
      <w:tr>
        <w:trPr/>
        <w:tc>
          <w:tcPr>
            <w:tcW w:w="27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7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twelve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shares of the Registrant’s common stock, $0.10 par value, outstanding as of July 24, 2026 was 334,610,357.</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 w:name="index"/>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767"/>
        <w:gridCol w:w="176"/>
        <w:gridCol w:w="8172"/>
        <w:gridCol w:w="176"/>
        <w:gridCol w:w="914"/>
      </w:tblGrid>
      <w:tr>
        <w:trPr/>
        <w:tc>
          <w:tcPr>
            <w:tcW w:w="76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9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914"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PAGE NO.</w:t>
            </w:r>
          </w:p>
        </w:tc>
      </w:tr>
      <w:tr>
        <w:trPr/>
        <w:tc>
          <w:tcPr>
            <w:tcW w:w="9115"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_financial_information">
              <w:r>
                <w:rPr>
                  <w:rStyle w:val="InternetLink"/>
                  <w:rFonts w:ascii="Times New Roman" w:hAnsi="Times New Roman"/>
                  <w:b/>
                  <w:color w:val="0563C1"/>
                  <w:sz w:val="20"/>
                  <w:u w:val="single"/>
                </w:rPr>
                <w:t>PART I. FINANCIAL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financial_statements_unaudited">
              <w:r>
                <w:rPr>
                  <w:rStyle w:val="InternetLink"/>
                  <w:rFonts w:ascii="Times New Roman" w:hAnsi="Times New Roman"/>
                  <w:color w:val="0563C1"/>
                  <w:sz w:val="20"/>
                  <w:u w:val="single"/>
                </w:rPr>
                <w:t>Financial Statements (Unaudited):</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inc">
              <w:r>
                <w:rPr>
                  <w:rStyle w:val="InternetLink"/>
                  <w:rFonts w:ascii="Times New Roman" w:hAnsi="Times New Roman"/>
                  <w:color w:val="0563C1"/>
                  <w:sz w:val="20"/>
                  <w:u w:val="single"/>
                </w:rPr>
                <w:t>Condensed Consolidated Statements of Income for the three and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5</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mt_comp_income">
              <w:r>
                <w:rPr>
                  <w:rStyle w:val="InternetLink"/>
                  <w:rFonts w:ascii="Times New Roman" w:hAnsi="Times New Roman"/>
                  <w:color w:val="0563C1"/>
                  <w:sz w:val="20"/>
                  <w:u w:val="single"/>
                </w:rPr>
                <w:t>Condensed Consolidated Statements of Comprehensive Income for the three and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6</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balance_sheets">
              <w:r>
                <w:rPr>
                  <w:rStyle w:val="InternetLink"/>
                  <w:rFonts w:ascii="Times New Roman" w:hAnsi="Times New Roman"/>
                  <w:color w:val="0563C1"/>
                  <w:sz w:val="20"/>
                  <w:u w:val="single"/>
                </w:rPr>
                <w:t>Condensed Consolidated Balance Sheets as of June 30, 2026 and December 31,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7</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equity">
              <w:r>
                <w:rPr>
                  <w:rStyle w:val="InternetLink"/>
                  <w:rFonts w:ascii="Times New Roman" w:hAnsi="Times New Roman"/>
                  <w:color w:val="0563C1"/>
                  <w:sz w:val="20"/>
                  <w:u w:val="single"/>
                </w:rPr>
                <w:t>Condensed Consolidated Statements of Equity for the three and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8</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cash">
              <w:r>
                <w:rPr>
                  <w:rStyle w:val="InternetLink"/>
                  <w:rFonts w:ascii="Times New Roman" w:hAnsi="Times New Roman"/>
                  <w:color w:val="0563C1"/>
                  <w:sz w:val="20"/>
                  <w:u w:val="single"/>
                </w:rPr>
                <w:t>Condensed Consolidated Statements of Cash Flows for the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9</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10</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26</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3.</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43</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563C1"/>
                  <w:sz w:val="20"/>
                  <w:u w:val="single"/>
                </w:rPr>
                <w:t>Controls and Procedures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43</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r>
      <w:tr>
        <w:trPr/>
        <w:tc>
          <w:tcPr>
            <w:tcW w:w="9115"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i">
              <w:r>
                <w:rPr>
                  <w:rStyle w:val="InternetLink"/>
                  <w:rFonts w:ascii="Times New Roman" w:hAnsi="Times New Roman"/>
                  <w:b/>
                  <w:color w:val="0563C1"/>
                  <w:sz w:val="20"/>
                  <w:u w:val="single"/>
                </w:rPr>
                <w:t>PART II. OTHER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pPr>
            <w:r>
              <w:rPr/>
              <w:t> </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563C1"/>
                  <w:sz w:val="20"/>
                  <w:u w:val="single"/>
                </w:rPr>
                <w:t>Legal Proceedings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44</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563C1"/>
                  <w:sz w:val="20"/>
                  <w:u w:val="single"/>
                </w:rPr>
                <w:t>Risk Factors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44</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44</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5.</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me_5_other_information">
              <w:r>
                <w:rPr>
                  <w:rStyle w:val="InternetLink"/>
                  <w:rFonts w:ascii="Times New Roman" w:hAnsi="Times New Roman"/>
                  <w:color w:val="0563C1"/>
                  <w:sz w:val="20"/>
                  <w:u w:val="single"/>
                </w:rPr>
                <w:t>Other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44</w:t>
            </w:r>
          </w:p>
        </w:tc>
      </w:tr>
      <w:tr>
        <w:trPr/>
        <w:tc>
          <w:tcPr>
            <w:tcW w:w="767"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6.</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8172"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563C1"/>
                  <w:sz w:val="20"/>
                  <w:u w:val="single"/>
                </w:rPr>
                <w:t>Exhibits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45</w:t>
            </w:r>
          </w:p>
        </w:tc>
      </w:tr>
      <w:tr>
        <w:trPr/>
        <w:tc>
          <w:tcPr>
            <w:tcW w:w="9115"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9115"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
              <w:r>
                <w:rPr>
                  <w:rStyle w:val="InternetLink"/>
                  <w:rFonts w:ascii="Times New Roman" w:hAnsi="Times New Roman"/>
                  <w:b/>
                  <w:color w:val="0563C1"/>
                  <w:sz w:val="20"/>
                  <w:u w:val="single"/>
                </w:rPr>
                <w:t>SIGNATURES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right"/>
              <w:rPr/>
            </w:pPr>
            <w:r>
              <w:rPr/>
              <w:t> </w:t>
            </w:r>
          </w:p>
        </w:tc>
        <w:tc>
          <w:tcPr>
            <w:tcW w:w="914" w:type="dxa"/>
            <w:tcBorders/>
            <w:tcMar>
              <w:top w:w="0" w:type="dxa"/>
              <w:left w:w="0" w:type="dxa"/>
              <w:bottom w:w="0" w:type="dxa"/>
              <w:right w:w="0" w:type="dxa"/>
            </w:tcMar>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Risks with respect to the acquisition of RSC Topco, Inc. (“RSC” or “Accession”) (the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the anticipated benefits, including any anticipated cost savings and strategies, of the Transaction are not realized when expected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related to the financing of the Transaction, including that financing the Transaction resulted in an increase in the Company’s indebtedness;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relating to the financial information related to Accession;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certain assumptions the Company has made relating to the Transaction prove to be materially inaccurate;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related to Accession’s business, including underwriting risk in connection with certain captive insurance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hire, retain and develop qualified employees, as well as the loss of any of our executive officers or other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attack or any other interruption in information technology and/or data security that may impact our operations or the operations of third parties that support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international operations, which may result in additional risks or require more management time and expense than our domestic operations to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for additional resources and time to adequately respond to dynamics resulting from rapid technological change, including the increasing use of artificial intelligence and robotic processing automation;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significant change to any of our insurance company or intermediary relationships, which could result in loss of capacity to write business, additional expense, loss of market share or material decrease in our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natural disasters on our profit-sharing contingent commissions (“Contingents”), insurer capacity or claims expenses within our capitalized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economic conditions, political conditions, outbreaks of war, disasters, or regulatory changes in states or countries where we have a concentration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maintain our culture or a significant change in management, management philosophy or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commission revenue as a result of factors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significant or sustained inflation or higher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expense resulting from the limited underwriting risk associated with our participation in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automobile and recreational vehicle finance and incentives dealer services (“F&amp;I”)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the termination of, certain programs administered by the U.S. federal government from which we derive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limitations of our system of disclosure and internal controls and procedures in preventing errors or fraud, or in informing management of all material information in a timely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vendors and other third parties to perform key functions of our business operations and provide services to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control certain shareholders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data privacy and protection laws and regulations or any failure to comply with such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disclosure of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non-U.S. laws, regulations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effect of certain actual or potential claims, regulatory actions or proceedings on our businesses, results of operations, financial condition or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our business practices and compensation arrangements with insurance carriers due to potential changes in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scrutiny and changing laws or competing expectations from regulators, investors and customers with respect to our environmental, social and governance practices and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demand for liability insurance as a result of tort reform legislation;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any covenants contained in our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covenants in our debt agreements could prevent us from engaging in certain potentially beneficial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downgrade to our corporate credit rating, the credit ratings of our outstanding debt or other market speculation;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or other dilution of our equity could adversely affect the market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U.S.-based credit markets that might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current U.S. or global economic conditions, including an extended slowdown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Disintermediation within the insurance industry, including increased competition from insurance companies, technology companies and the financial services industry, as well as the shift away from traditional insurance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that result in reduced insurer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and annual variations in our commissions that result from the timing of policy renewals and the net effect of new and lost business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 risk, including the possibility that our goodwill may become impaired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accounting estimates and assumptions;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as may be detailed from time to time in our public announcements and Securities and Exchange Commission (“SEC”) filings;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the Company may not have currently identified or quantified.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4" w:name="item_1_financial_statements_unaudited"/>
      <w:bookmarkEnd w:id="4"/>
      <w:r>
        <w:rPr>
          <w:rFonts w:ascii="Times New Roman" w:hAnsi="Times New Roman"/>
          <w:b/>
          <w:color w:val="000000"/>
          <w:sz w:val="20"/>
        </w:rPr>
        <w:t>ITEM 1 —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5" w:name="condensed_consolidated_statements_inc"/>
      <w:bookmarkEnd w:id="5"/>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040" w:type="dxa"/>
        <w:jc w:val="left"/>
        <w:tblInd w:w="0" w:type="dxa"/>
        <w:tblLayout w:type="fixed"/>
        <w:tblCellMar>
          <w:top w:w="28" w:type="dxa"/>
          <w:left w:w="28" w:type="dxa"/>
          <w:bottom w:w="28" w:type="dxa"/>
          <w:right w:w="28" w:type="dxa"/>
        </w:tblCellMar>
      </w:tblPr>
      <w:tblGrid>
        <w:gridCol w:w="4771"/>
        <w:gridCol w:w="146"/>
        <w:gridCol w:w="249"/>
        <w:gridCol w:w="676"/>
        <w:gridCol w:w="196"/>
        <w:gridCol w:w="172"/>
        <w:gridCol w:w="249"/>
        <w:gridCol w:w="676"/>
        <w:gridCol w:w="146"/>
        <w:gridCol w:w="146"/>
        <w:gridCol w:w="227"/>
        <w:gridCol w:w="616"/>
        <w:gridCol w:w="179"/>
        <w:gridCol w:w="157"/>
        <w:gridCol w:w="227"/>
        <w:gridCol w:w="616"/>
        <w:gridCol w:w="5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6" w:name="condensed_consolidated_stmt_comp_income"/>
      <w:bookmarkEnd w:id="6"/>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52" w:type="dxa"/>
        <w:jc w:val="left"/>
        <w:tblInd w:w="0" w:type="dxa"/>
        <w:tblLayout w:type="fixed"/>
        <w:tblCellMar>
          <w:top w:w="28" w:type="dxa"/>
          <w:left w:w="28" w:type="dxa"/>
          <w:bottom w:w="28" w:type="dxa"/>
          <w:right w:w="28" w:type="dxa"/>
        </w:tblCellMar>
      </w:tblPr>
      <w:tblGrid>
        <w:gridCol w:w="4381"/>
        <w:gridCol w:w="146"/>
        <w:gridCol w:w="297"/>
        <w:gridCol w:w="593"/>
        <w:gridCol w:w="233"/>
        <w:gridCol w:w="205"/>
        <w:gridCol w:w="297"/>
        <w:gridCol w:w="593"/>
        <w:gridCol w:w="146"/>
        <w:gridCol w:w="146"/>
        <w:gridCol w:w="271"/>
        <w:gridCol w:w="541"/>
        <w:gridCol w:w="213"/>
        <w:gridCol w:w="187"/>
        <w:gridCol w:w="271"/>
        <w:gridCol w:w="541"/>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(loss)/gain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3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00"/>
        <w:gridCol w:w="146"/>
        <w:gridCol w:w="242"/>
        <w:gridCol w:w="778"/>
        <w:gridCol w:w="166"/>
        <w:gridCol w:w="146"/>
        <w:gridCol w:w="293"/>
        <w:gridCol w:w="940"/>
        <w:gridCol w:w="594"/>
      </w:tblGrid>
      <w:tr>
        <w:trPr/>
        <w:tc>
          <w:tcPr>
            <w:tcW w:w="6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8,294</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359 shares and outstanding 330 shares at 2026, issued 357</w:t>
              <w:br/>
              <w:t>shares and outstanding 336 shares at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29 shares at 2026 and 21 shares at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condensed_consolidated_statements_equity"/>
      <w:bookmarkEnd w:id="8"/>
      <w:r>
        <w:rPr>
          <w:rFonts w:ascii="Times New Roman" w:hAnsi="Times New Roman"/>
          <w:b/>
          <w:color w:val="000000"/>
          <w:sz w:val="20"/>
        </w:rPr>
        <w:t>BROWN &amp; BROWN,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tbl>
      <w:tblPr>
        <w:tblW w:w="11057" w:type="dxa"/>
        <w:jc w:val="left"/>
        <w:tblInd w:w="0" w:type="dxa"/>
        <w:tblLayout w:type="fixed"/>
        <w:tblCellMar>
          <w:top w:w="28" w:type="dxa"/>
          <w:left w:w="28" w:type="dxa"/>
          <w:bottom w:w="28" w:type="dxa"/>
          <w:right w:w="28" w:type="dxa"/>
        </w:tblCellMar>
      </w:tblPr>
      <w:tblGrid>
        <w:gridCol w:w="1216"/>
        <w:gridCol w:w="146"/>
        <w:gridCol w:w="281"/>
        <w:gridCol w:w="725"/>
        <w:gridCol w:w="166"/>
        <w:gridCol w:w="146"/>
        <w:gridCol w:w="213"/>
        <w:gridCol w:w="313"/>
        <w:gridCol w:w="146"/>
        <w:gridCol w:w="146"/>
        <w:gridCol w:w="241"/>
        <w:gridCol w:w="630"/>
        <w:gridCol w:w="166"/>
        <w:gridCol w:w="146"/>
        <w:gridCol w:w="196"/>
        <w:gridCol w:w="571"/>
        <w:gridCol w:w="166"/>
        <w:gridCol w:w="146"/>
        <w:gridCol w:w="377"/>
        <w:gridCol w:w="839"/>
        <w:gridCol w:w="166"/>
        <w:gridCol w:w="146"/>
        <w:gridCol w:w="208"/>
        <w:gridCol w:w="543"/>
        <w:gridCol w:w="166"/>
        <w:gridCol w:w="146"/>
        <w:gridCol w:w="531"/>
        <w:gridCol w:w="775"/>
        <w:gridCol w:w="166"/>
        <w:gridCol w:w="146"/>
        <w:gridCol w:w="196"/>
        <w:gridCol w:w="601"/>
        <w:gridCol w:w="2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non-controlling interest acquired (disposed)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($0.165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($0.165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($0.15</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($0.15</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120" w:after="283"/>
        <w:jc w:val="center"/>
        <w:rPr>
          <w:rFonts w:ascii="Times New Roman" w:hAnsi="Times New Roman"/>
          <w:sz w:val="20"/>
        </w:rPr>
      </w:pPr>
      <w:bookmarkStart w:id="9" w:name="condensed_consolidated_statements_cash"/>
      <w:bookmarkEnd w:id="9"/>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219"/>
        <w:gridCol w:w="146"/>
        <w:gridCol w:w="237"/>
        <w:gridCol w:w="642"/>
        <w:gridCol w:w="186"/>
        <w:gridCol w:w="164"/>
        <w:gridCol w:w="237"/>
        <w:gridCol w:w="761"/>
        <w:gridCol w:w="613"/>
      </w:tblGrid>
      <w:tr>
        <w:trPr/>
        <w:tc>
          <w:tcPr>
            <w:tcW w:w="7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9"/>
              </w:rPr>
            </w:pPr>
            <w:r>
              <w:rPr>
                <w:rFonts w:ascii="Times New Roman" w:hAnsi="Times New Roman"/>
                <w:b/>
                <w:i/>
                <w:color w:val="000000"/>
                <w:sz w:val="19"/>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income before non-controlling interests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loss on sales/disposals of investments, businesses, fixed assets and customer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acquisition earn-outs in excess of original estimated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 net of effect from acquisitions and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Commissions, fees and other receivables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Reinsurance recoverable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reinsurance premiums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Losses and loss adjustment reserve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Unearned premiums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liabilities increase (decrease)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 increase (decrease)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Additions to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businesses acquired,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sales of businesses, fixed assets and customer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Fiduciary receivables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acquisition earn-outs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 on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4,315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Repurchase shares to fund tax withholdings for 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7,981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foreign exchange rate changes on cash, cash equivalents and restricted cash inclusive of 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Net (decrease) increase in cash, cash equivalents and restricted cash inclusive of fiduciary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8,417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inclusive of fiduciary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Cash, cash equivalents and restricted cash inclusive of fiduciary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3,799</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10,919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 Refer to Note 10 for the reconciliations of cash, cash equivalents and restricted cash inclusive of fiduciary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two reportable segments. The Retail segment provides a broad range of risk management products and services to commercial, public and quasi-public entities, and to professional and individual customers. These products and services include property and casualty insurance and reinsurance, employee benefits, private client services, captive solutions, consulting services and financial and wealth solutions, as well as non-insurance warranty services and products through the Retail segment’s automobile and recreational vehicle dealer services (“F&amp;I”) businesses. The Specialty Distribution segment consists of our programs, wholesale brokerage and specialty businesses. The programs businesses, which act as managing general underwriters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These products and services include specialty property and casualty insurance, financial lines, life and health benefits, reinsurance, travel/accident and health insurance, captive administrative services, warranty services and specialty packages of coverages. The wholesale brokerage business underwrites and places excess and surplus commercial and personal lines insurance, typically for specialized or hard-to-place types of risks, primarily through a global network of independent agents and brokers, including Brown &amp; Brown retail agents. The specialty business offers solutions across affinity and administrative services, captives, reinsurance, travel/accident, warranty, and life &amp;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operates as an agent or broker not assuming underwriting risks. However, we also operate and/or participate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(collectively, the "Captives"). These ancillary insurance operations facilitate additional underwriting capacity, generate incremental revenues and/or enable the Company to participate in certain underwriting results. The Company also operates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acquisition of RSC, the holding company for Accession Risk Management Group, Inc., in the third quarter of 2025, the Company realigned its business from three to two segments. As a result of the segment reorganization, the Company consolidated its Programs and Wholesale Brokerage segments into a new Specialty Distribution segment. The Company now reports its financial results in the following two reportable segments: Retail and Specialty Distribution. The historical results, discussion and presentation of our business segments as set forth in the accompanying Condensed Consolidated Financial Statements and these Notes reflect the impact of these changes for all periods presented in order to present segment information on a comparable basis. There is no impact on our previously reported consolidated statements of income, balance sheets, statements of cash flows, statements of comprehensive income or statements of equity resulting from these changes. See Note 12 of these Notes to Condensed Consolidated Financial Statements for further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Basis of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categorized its assets and liabilities that are recognized at fair value on a recurring basis into a three-level fair value hierarchy. Fair value accounting establishes a framework for measuring fair value, which is defined as the price that would be received to sell an asset or paid to transfer a liability in an orderly transaction between market participants at the measurement date (i.e., an exit price). The framework includes a fair value hierarchy that prioritizes the inputs to the valuation technique used to measure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in the fair value hierarchy within which the fair value measurement is classified is determined based on the lowest level input that is significant to the fair value measure in its entirety. The three levels of the hierarchy in order of priority of inputs to the valuation technique are defined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such as quoted prices for identical assets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for identical assets in active markets, that are observable either directly or indirectly;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in which there is little or no market data which requires the use of valuation techniques and the development of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fiduciary cash; fiduciary receivables, commissions, fees and other receivables; fiduciary liabilities; accounts payable and accrued expenses and other liabilities, at June 30, 2026, and December 31, 2025, approximate fair value, because of the short-term maturity of these instruments. Acquisition earnout payables and newly acquired intangible assets are measured at fair value using level 3 inputs.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Financial Accounting Standards Board ("FASB") issued Accounting Standards Update ("ASU") 2025-11, "Interim Reporting (Topic 270): Narrow-Scope Improvements." This ASU clarifies the guidance in Accounting Standards Codification (“ASC”) Topic 270 - </w:t>
      </w:r>
      <w:r>
        <w:rPr>
          <w:rFonts w:ascii="Times New Roman" w:hAnsi="Times New Roman"/>
          <w:i/>
          <w:color w:val="000000"/>
          <w:sz w:val="20"/>
        </w:rPr>
        <w:t>Interim Reporting</w:t>
      </w:r>
      <w:r>
        <w:rPr>
          <w:rFonts w:ascii="Times New Roman" w:hAnsi="Times New Roman"/>
          <w:color w:val="000000"/>
          <w:sz w:val="20"/>
        </w:rPr>
        <w:t>, adding a comprehensive list of required interim disclosures and a principle that requires entities to disclose events since the end of the last annual reporting period that have a material impact on the entity. This ASU is effective for interim periods within annual periods beginning after December 15, 2027, with early adoption permitted. The Company is currently evaluating these new 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FASB issued ASU 2025-06, "Intangibles—Goodwill and Other— Internal-Use Software (Subtopic 350-40): Targeted Improvements to the Accounting for Internal-Use Software." This ASU was issued to modernize the accounting for software </w:t>
        <w:br/>
        <w:t>costs that are accounted for under Subtopic 350-40, including removing references to "project stages" and adding the "probable-to-complete recognition threshold." This ASU is effective for annual periods beginning after December 15, 2027, and interim reporting periods within those annual reporting periods, with early adoption permitted. The Company is currently evaluating these new accounting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which requires disclosure of specific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these new disclosure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revenues disaggregated by revenue source:</w:t>
      </w:r>
    </w:p>
    <w:p>
      <w:pPr>
        <w:pStyle w:val="TextBody"/>
        <w:bidi w:val="0"/>
        <w:spacing w:before="120" w:after="283"/>
        <w:jc w:val="left"/>
        <w:rPr/>
      </w:pPr>
      <w:r>
        <w:rPr/>
        <w:t> </w:t>
      </w:r>
    </w:p>
    <w:tbl>
      <w:tblPr>
        <w:tblW w:w="8678"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559"/>
        <w:gridCol w:w="1121"/>
        <w:gridCol w:w="146"/>
        <w:gridCol w:w="146"/>
        <w:gridCol w:w="267"/>
        <w:gridCol w:w="438"/>
        <w:gridCol w:w="14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678"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559"/>
        <w:gridCol w:w="1121"/>
        <w:gridCol w:w="146"/>
        <w:gridCol w:w="146"/>
        <w:gridCol w:w="267"/>
        <w:gridCol w:w="438"/>
        <w:gridCol w:w="14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Base commissions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28" w:type="dxa"/>
        <w:jc w:val="left"/>
        <w:tblInd w:w="0" w:type="dxa"/>
        <w:tblLayout w:type="fixed"/>
        <w:tblCellMar>
          <w:top w:w="28" w:type="dxa"/>
          <w:left w:w="28" w:type="dxa"/>
          <w:bottom w:w="28" w:type="dxa"/>
          <w:right w:w="28" w:type="dxa"/>
        </w:tblCellMar>
      </w:tblPr>
      <w:tblGrid>
        <w:gridCol w:w="3466"/>
        <w:gridCol w:w="146"/>
        <w:gridCol w:w="211"/>
        <w:gridCol w:w="571"/>
        <w:gridCol w:w="146"/>
        <w:gridCol w:w="146"/>
        <w:gridCol w:w="452"/>
        <w:gridCol w:w="1228"/>
        <w:gridCol w:w="146"/>
        <w:gridCol w:w="146"/>
        <w:gridCol w:w="267"/>
        <w:gridCol w:w="438"/>
        <w:gridCol w:w="14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48" w:type="dxa"/>
        <w:jc w:val="left"/>
        <w:tblInd w:w="0" w:type="dxa"/>
        <w:tblLayout w:type="fixed"/>
        <w:tblCellMar>
          <w:top w:w="28" w:type="dxa"/>
          <w:left w:w="28" w:type="dxa"/>
          <w:bottom w:w="28" w:type="dxa"/>
          <w:right w:w="28" w:type="dxa"/>
        </w:tblCellMar>
      </w:tblPr>
      <w:tblGrid>
        <w:gridCol w:w="3466"/>
        <w:gridCol w:w="146"/>
        <w:gridCol w:w="211"/>
        <w:gridCol w:w="571"/>
        <w:gridCol w:w="146"/>
        <w:gridCol w:w="146"/>
        <w:gridCol w:w="452"/>
        <w:gridCol w:w="1228"/>
        <w:gridCol w:w="146"/>
        <w:gridCol w:w="146"/>
        <w:gridCol w:w="267"/>
        <w:gridCol w:w="438"/>
        <w:gridCol w:w="16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 revenues relate to fees for services other than securing coverage for our customers, including fees negotiated in lieu of commissions, and F&amp;I products and services.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supplemental commissions include additional commissions over base commissions received from insurance carriers based on predetermined growth or production measures. This includes incentive commissions and guaranteed supplemental commissions.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Profit-sharing contingent commissions are based primarily on underwriting results, but may also reflect considerations for volume, growth and/or retention.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Earned premium relates to the premiums earned in the Captives.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income consists primarily of interest on cash and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income consists primarily of other miscellaneous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Fees within Other reflect the elimination of intercompany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revenues disaggregated by geographic area where our services are being performed:</w:t>
      </w:r>
    </w:p>
    <w:tbl>
      <w:tblPr>
        <w:tblW w:w="6392" w:type="dxa"/>
        <w:jc w:val="left"/>
        <w:tblInd w:w="0" w:type="dxa"/>
        <w:tblLayout w:type="fixed"/>
        <w:tblCellMar>
          <w:top w:w="28" w:type="dxa"/>
          <w:left w:w="28" w:type="dxa"/>
          <w:bottom w:w="28" w:type="dxa"/>
          <w:right w:w="28" w:type="dxa"/>
        </w:tblCellMar>
      </w:tblPr>
      <w:tblGrid>
        <w:gridCol w:w="1421"/>
        <w:gridCol w:w="146"/>
        <w:gridCol w:w="252"/>
        <w:gridCol w:w="683"/>
        <w:gridCol w:w="174"/>
        <w:gridCol w:w="174"/>
        <w:gridCol w:w="252"/>
        <w:gridCol w:w="683"/>
        <w:gridCol w:w="146"/>
        <w:gridCol w:w="146"/>
        <w:gridCol w:w="230"/>
        <w:gridCol w:w="623"/>
        <w:gridCol w:w="159"/>
        <w:gridCol w:w="159"/>
        <w:gridCol w:w="230"/>
        <w:gridCol w:w="623"/>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of contract assets and contract liabilities arising from contracts with customers as of June 30, 2026 and December 31, 2025 were as follows:</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1651"/>
        <w:gridCol w:w="146"/>
        <w:gridCol w:w="375"/>
        <w:gridCol w:w="750"/>
        <w:gridCol w:w="146"/>
        <w:gridCol w:w="146"/>
        <w:gridCol w:w="499"/>
        <w:gridCol w:w="100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2025, is due to the timing of policy renewals and contingent accruals in the six months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deferred revenue totaled $172 million and consisted of $132 million and $40 million classified as short term and long term, respectively. As of December 31, 2025, deferred revenue totaled $168 million and consisted of $127 million and $41 million classified as short term and long term,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and 2025, the net amount of revenue recognized related to performance obligations satisfied in a previous period was $32 million and $22 million, consisting of additional variable consideration received on our incentives and Contingents.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Assets and Deferred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$155 million and $143 million as of June 30, 2026 and December 31, 2025, respectively. For the six months ended June 30, 2026, the Company deferred $19 million of incremental cost to obtain customer contracts. The Company recorded expense of $7 million associated with the incremental cost to obtain customer contracts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to fulfill - The Company defers certain costs to fulfill contracts and recognizes these costs as the associated performance obligations are fulfilled. The cost to fulfill balance within the other current assets caption in the Company's Condensed Consolidated Balance Sheets was $197 million and $208 million as of June 30, 2026 and December 31, 2025, respectively. For the six months ended June 30, 2026, the Company had net expense of $10 million related to the release of previously deferred contract fulfillment costs associated with performance obligations that were satisfied in the period, net of current year deferrals for costs incurred that related to performance obligations yet to be fulfilled.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6"/>
        <w:gridCol w:w="146"/>
        <w:gridCol w:w="264"/>
        <w:gridCol w:w="584"/>
        <w:gridCol w:w="208"/>
        <w:gridCol w:w="182"/>
        <w:gridCol w:w="264"/>
        <w:gridCol w:w="584"/>
        <w:gridCol w:w="166"/>
        <w:gridCol w:w="146"/>
        <w:gridCol w:w="245"/>
        <w:gridCol w:w="542"/>
        <w:gridCol w:w="192"/>
        <w:gridCol w:w="169"/>
        <w:gridCol w:w="245"/>
        <w:gridCol w:w="542"/>
        <w:gridCol w:w="600"/>
      </w:tblGrid>
      <w:tr>
        <w:trPr/>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Net income attributable to unvested awarded performance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Less: Gain on mark-to-market of escrow liability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Unvested awarded performance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Dilutive effect of 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Dilutive effect of contingently issuable shares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calculation of diluted net income per share for the three and six months ended June 30, 2026, excludes the gain on the mark-to-market of escrow liability in the numerator and includes the shares held in escrow in the denominator, in accordance with ASC 260 - Earnings Per Share, which requires this treatment in periods where the combined effect of these adjustments is accretive to earnings.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acquired all of the stock of three insurance intermediaries, purchased the assets and assumed certain liabilities of eight insurance intermediaries, and purchased three books of business (customer accounts) for a total of 14 acquisitions. Additionally, adjustments were recorded to the purchase price allocation of certain prior acquisitions completed within the last twelve months as permitted by ASC 805 — Business Combinations.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 805. 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1, 2025, the Company completed the acquisition of Accession pursuant to the Agreement and Plan of Merger (the “Merger Agreement”). The Merger Agreement provided for escrowed consideration in the form of cash and shares of the Company’s common stock. Both the cash and shares are held in an escrow account. Escrowed shares, which were issued at the closing of the acquisition, total approximately 4.4 million shares. Once all claims related to certain indemnification matters described in the Merger Agreement are resolved, any amounts remaining in the escrow account will be released to the equityholders. The amount of the cash balance will change over time based upon payment of any indemnification obligations of the equityholders associated with the discontinued businesses, as well as dividends paid on the shares and interest income earned on the cash. The Company believes this escrow, plus other available funds, is sufficient to cover any potential costs associated with those specified matters subject to indemnification under the Merger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value of the shares and cash held in the escrow account is presented within long-term liabilities (other liabilities), and the restricted cash is presented within other assets in the Company's Condensed Consolidated Balance Sheets. The value of the shares placed in escrow changes as the share price of the Company increases or decreases as compared to the value at the start of the applicable reporting period. In accordance with ASC 480 - Distinguishing Liabilities from Equity and ASC 815 - Derivatives and Hedging, periodic share value changes will be recorded as a mark-to-market of the escrow liability in the Company's Consolidated Statements of Income. This mark-to-market adjustment is non-cash.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June 30, 2026, the total balance of the escrow liability was $552 million, with $284 million in escrowed shares and $271 million in cash, net of reimbursements receivable of $3 million. The shares held in escrow are measured at fair value on a recurring basis as defined in ASC 820 - Fair Value Measurement. The change in the fair value of the shares during the three and six months ended June 30, 2026, resulted in decreases to expense of $5 million and $69 million, respectively.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estimated fair values of the aggregate assets and liabilities acquired through the six months ended June 30, 2026 as of the date of each acquisition and adjustments made during the measurement period of the prior year acquisitions.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6"/>
        <w:gridCol w:w="795"/>
        <w:gridCol w:w="1308"/>
        <w:gridCol w:w="166"/>
        <w:gridCol w:w="146"/>
        <w:gridCol w:w="764"/>
        <w:gridCol w:w="1531"/>
        <w:gridCol w:w="166"/>
        <w:gridCol w:w="146"/>
        <w:gridCol w:w="211"/>
        <w:gridCol w:w="421"/>
        <w:gridCol w:w="415"/>
      </w:tblGrid>
      <w:tr>
        <w:trPr/>
        <w:tc>
          <w:tcPr>
            <w:tcW w:w="413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2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Business Segment</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&amp; Specialty Distribution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 &amp; Specialty Distribution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Effective date of acquisition</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Various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Various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Recorded earn-out payable</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consideration</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Maximum potential earn-out payable</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Allocation of purchase price:</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inclusive of fiduciary cash</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Purchased customer accounts and other intangibles </w:t>
            </w:r>
            <w:r>
              <w:rPr>
                <w:rFonts w:ascii="Times New Roman" w:hAnsi="Times New Roman"/>
                <w:color w:val="000000"/>
                <w:sz w:val="13"/>
              </w:rPr>
              <w:t>(2)</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net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7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column represents a summarization of current year acquisitions with total consideration of less than $50 million per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useful life of purchased customer accounts is 15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adjustments were made within the permitted measurement period that resulted in a net increase to goodwill of $106 million. These measurement-period adjustments have been reflected as current-period adjustments in the six months ended June 30, 2026 in accordance with the guidance in ASC 805. The measurement-period adjustments included a decrease to cash consideration paid of $13 million from a working capital true up payment and a $27 million favorable impact on current-period earnings, recorded to change in estimated acquisition earn-out payables in the Condensed Consolidated Statements of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Acquisition Earn-Out Payables</w:t>
      </w:r>
    </w:p>
    <w:p>
      <w:pPr>
        <w:pStyle w:val="TextBody"/>
        <w:bidi w:val="0"/>
        <w:jc w:val="left"/>
        <w:rPr>
          <w:rFonts w:ascii="Times New Roman" w:hAnsi="Times New Roman"/>
          <w:color w:val="000000"/>
          <w:sz w:val="20"/>
        </w:rPr>
      </w:pPr>
      <w:r>
        <w:rPr>
          <w:rFonts w:ascii="Times New Roman" w:hAnsi="Times New Roman"/>
          <w:color w:val="000000"/>
          <w:sz w:val="20"/>
        </w:rPr>
        <w:t>As of June 30, 2026 and 2025, the fair values of the estimated acquisition earn-out payables were re-evaluated and measured at fair value on a recurring basis using unobservable inputs (Level 3) as defined in ASC 820 - Fair Value Measurement. The resulting additions, payments, and net changes, as well as the interest expense accretion on the estimated acquisition earn-out payables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4"/>
        <w:gridCol w:w="146"/>
        <w:gridCol w:w="281"/>
        <w:gridCol w:w="562"/>
        <w:gridCol w:w="221"/>
        <w:gridCol w:w="194"/>
        <w:gridCol w:w="281"/>
        <w:gridCol w:w="562"/>
        <w:gridCol w:w="166"/>
        <w:gridCol w:w="146"/>
        <w:gridCol w:w="252"/>
        <w:gridCol w:w="575"/>
        <w:gridCol w:w="198"/>
        <w:gridCol w:w="174"/>
        <w:gridCol w:w="252"/>
        <w:gridCol w:w="503"/>
        <w:gridCol w:w="618"/>
      </w:tblGrid>
      <w:tr>
        <w:trPr/>
        <w:tc>
          <w:tcPr>
            <w:tcW w:w="5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from new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Of the $310 million of estimated acquisition earn-out payables as of June 30, 2026, $136 million was recorded as accounts payable and $174 million was recorded as other non-current liabilities. Included within the additions to estimated acquisition earn-out payables are any adjustments to opening balance sheet items within the allowable measurement period, which may therefore differ from previously reported amounts. </w:t>
      </w:r>
    </w:p>
    <w:p>
      <w:pPr>
        <w:pStyle w:val="TextBody"/>
        <w:bidi w:val="0"/>
        <w:jc w:val="left"/>
        <w:rPr>
          <w:rFonts w:ascii="Times New Roman" w:hAnsi="Times New Roman"/>
          <w:color w:val="000000"/>
          <w:sz w:val="20"/>
        </w:rPr>
      </w:pPr>
      <w:r>
        <w:rPr>
          <w:rFonts w:ascii="Times New Roman" w:hAnsi="Times New Roman"/>
          <w:color w:val="000000"/>
          <w:sz w:val="20"/>
        </w:rPr>
        <w:t>Certain acquisition agreements include provisions with no maximum potential earn-out amount. The amount recorded for these acquisitions as of June 30, 2026 was $190 million. The maximum future acquisition contingency payments totaled $371 million, excluding the uncapped earn-out payables, as of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changes in the carrying value of goodwill by reportable segment for the six months ended June 30, 2026 are as follows: </w:t>
      </w:r>
    </w:p>
    <w:tbl>
      <w:tblPr>
        <w:tblW w:w="8492" w:type="dxa"/>
        <w:jc w:val="left"/>
        <w:tblInd w:w="0" w:type="dxa"/>
        <w:tblLayout w:type="fixed"/>
        <w:tblCellMar>
          <w:top w:w="28" w:type="dxa"/>
          <w:left w:w="28" w:type="dxa"/>
          <w:bottom w:w="28" w:type="dxa"/>
          <w:right w:w="28" w:type="dxa"/>
        </w:tblCellMar>
      </w:tblPr>
      <w:tblGrid>
        <w:gridCol w:w="3816"/>
        <w:gridCol w:w="146"/>
        <w:gridCol w:w="211"/>
        <w:gridCol w:w="571"/>
        <w:gridCol w:w="166"/>
        <w:gridCol w:w="146"/>
        <w:gridCol w:w="452"/>
        <w:gridCol w:w="1228"/>
        <w:gridCol w:w="166"/>
        <w:gridCol w:w="146"/>
        <w:gridCol w:w="211"/>
        <w:gridCol w:w="676"/>
        <w:gridCol w:w="166"/>
        <w:gridCol w:w="39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Adjustments during measurement period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Amortizable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Amortizable intangible assets consisted of the following:</w:t>
      </w:r>
    </w:p>
    <w:tbl>
      <w:tblPr>
        <w:tblW w:w="10205" w:type="dxa"/>
        <w:jc w:val="left"/>
        <w:tblInd w:w="0" w:type="dxa"/>
        <w:tblLayout w:type="fixed"/>
        <w:tblCellMar>
          <w:top w:w="28" w:type="dxa"/>
          <w:left w:w="28" w:type="dxa"/>
          <w:bottom w:w="28" w:type="dxa"/>
          <w:right w:w="28" w:type="dxa"/>
        </w:tblCellMar>
      </w:tblPr>
      <w:tblGrid>
        <w:gridCol w:w="2548"/>
        <w:gridCol w:w="146"/>
        <w:gridCol w:w="211"/>
        <w:gridCol w:w="571"/>
        <w:gridCol w:w="166"/>
        <w:gridCol w:w="146"/>
        <w:gridCol w:w="282"/>
        <w:gridCol w:w="844"/>
        <w:gridCol w:w="166"/>
        <w:gridCol w:w="146"/>
        <w:gridCol w:w="211"/>
        <w:gridCol w:w="571"/>
        <w:gridCol w:w="166"/>
        <w:gridCol w:w="146"/>
        <w:gridCol w:w="211"/>
        <w:gridCol w:w="571"/>
        <w:gridCol w:w="146"/>
        <w:gridCol w:w="146"/>
        <w:gridCol w:w="282"/>
        <w:gridCol w:w="844"/>
        <w:gridCol w:w="166"/>
        <w:gridCol w:w="146"/>
        <w:gridCol w:w="211"/>
        <w:gridCol w:w="571"/>
        <w:gridCol w:w="591"/>
      </w:tblGrid>
      <w:tr>
        <w:trPr/>
        <w:tc>
          <w:tcPr>
            <w:tcW w:w="2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customer accounts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Estimated amortization expense for intangible assets for each of the next five years is as follows:</w:t>
      </w:r>
    </w:p>
    <w:tbl>
      <w:tblPr>
        <w:tblW w:w="2710" w:type="dxa"/>
        <w:jc w:val="left"/>
        <w:tblInd w:w="0" w:type="dxa"/>
        <w:tblLayout w:type="fixed"/>
        <w:tblCellMar>
          <w:top w:w="28" w:type="dxa"/>
          <w:left w:w="28" w:type="dxa"/>
          <w:bottom w:w="28" w:type="dxa"/>
          <w:right w:w="28" w:type="dxa"/>
        </w:tblCellMar>
      </w:tblPr>
      <w:tblGrid>
        <w:gridCol w:w="1591"/>
        <w:gridCol w:w="146"/>
        <w:gridCol w:w="211"/>
        <w:gridCol w:w="571"/>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4,570</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consisted of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3"/>
        <w:gridCol w:w="146"/>
        <w:gridCol w:w="257"/>
        <w:gridCol w:w="698"/>
        <w:gridCol w:w="166"/>
        <w:gridCol w:w="146"/>
        <w:gridCol w:w="313"/>
        <w:gridCol w:w="853"/>
        <w:gridCol w:w="993"/>
      </w:tblGrid>
      <w:tr>
        <w:trPr/>
        <w:tc>
          <w:tcPr>
            <w:tcW w:w="6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periodic interest and principal payments, SOFR plus up to 1.50%, expires June 5,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periodic interest and principal payments, SOFR plus up to 1.750%, expires October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4.600% senior notes, semi-annual interest payments, balloon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Current portion of 5-year revolving loan facility, periodic interest payments, </w:t>
              <w:br/>
              <w:t>SOFR plus up to 1.525%, plus commitment fees up to 0.225%, expires October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4.700% senior notes, semi-annual interest payments, balloon due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4.500% senior notes, semi-annual interest payments, balloon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4.900% senior notes, semi-annual interest payments, balloon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2.375% senior notes, semi-annual interest payments, balloon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4.200% senior notes, semi-annual interest payments, balloon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5.250% senior notes, semi-annual interest payments, balloon due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5.650% senior notes, semi-annual interest payments, balloon due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5.550% senior notes, semi-annual interest payments, balloon due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4.950% senior notes, semi-annual interest payments, balloon due 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6.250% senior notes, semi-annual interest payments, balloon due 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3-year term loan facility, periodic interest payments, SOFR plus up to 1.375%, expires June 5,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 1.50%, expires June 5,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 1.750%, expires March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9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5-year revolving loan facility, periodic interest payments, </w:t>
              <w:br/>
              <w:t>SOFR plus up to 1.30%, plus commitment fees up to 0.20%, expires June 5,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credit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Unamortized portion of debt discounts related to note agreements (contra)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Debt issuance costs (contra)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debt, less unamortized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9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Note agreements: </w:t>
      </w:r>
      <w:r>
        <w:rPr>
          <w:rFonts w:ascii="Times New Roman" w:hAnsi="Times New Roman"/>
          <w:color w:val="000000"/>
          <w:sz w:val="20"/>
        </w:rPr>
        <w:t>On June 11, 2025, the Company entered into an Underwriting Agreement (the “Notes Underwriting Agreement”) with BofA Securities, Inc. and J.P. Morgan Securities LLC, as representatives of the several underwriters named therein (collectively, the “Notes Underwriters”), with respect to the offer and sale by the Company of $400 million principal amount of its 4.600% Senior Notes due 2026 (the “2026 Notes”), $500 million principal amount of its 4.700% Senior Notes due 2028 (the “2028 Notes”), $800 million principal amount of its 4.900% Senior Notes due 2030 (the “2030 Notes”), $500 million principal amount of its 5.250% Senior Notes due 2032 (the “2032 Notes”), $1,000 million principal amount of its 5.550% Senior Notes due 2035 (the “2035 Notes”) and $1,000 million principal amount of its 6.250% Senior Notes due 2055 (the “2055 Notes” and, together with the 2026 Notes, the 2028 Notes, the 2030 Notes, the 2032 Notes, and the 2035 Notes, the “Notes”). The Company used the net proceeds of the offering of the Notes, together with the proceeds from the offering of shares of common stock and cash on hand, to fund the cash consideration payable under the Merger Agreement, and to pay fees and expenses associated with the foregoing. As of June 30, 2026 and December 31, 2025, the aggregate outstanding balance of these notes was $4,200 million exclusive of the associated discount balance.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maintains notes from other issuances aggregating to a total outstanding debt balance of $2,850 million exclusive of the associated discount balance as of June 30, 2026 and December 31, 2025.</w:t>
      </w:r>
    </w:p>
    <w:p>
      <w:pPr>
        <w:pStyle w:val="TextBody"/>
        <w:bidi w:val="0"/>
        <w:jc w:val="left"/>
        <w:rPr>
          <w:rFonts w:ascii="Times New Roman" w:hAnsi="Times New Roman"/>
          <w:sz w:val="20"/>
        </w:rPr>
      </w:pPr>
      <w:r>
        <w:rPr>
          <w:rFonts w:ascii="Times New Roman" w:hAnsi="Times New Roman"/>
          <w:b/>
          <w:color w:val="000000"/>
          <w:sz w:val="20"/>
        </w:rPr>
        <w:t>Credit agreements:</w:t>
      </w:r>
      <w:r>
        <w:rPr>
          <w:rFonts w:ascii="Times New Roman" w:hAnsi="Times New Roman"/>
          <w:color w:val="000000"/>
          <w:sz w:val="20"/>
        </w:rPr>
        <w:t xml:space="preserve"> On June 5, 2026, the Company entered into a Third Amended and Restated Credit Agreement (the “Third Amended and Restated Credit Agreement”) with the lenders named therein, JPMorgan Chase Bank, N.A. as administrative agent, Bank of America, 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Truist Bank and BMO Bank N.A. as co-syndication agents, and U.S. Bank National Association, Fifth Third Bank, National Association, Wells Fargo Bank, National Association, PNC Bank, National Association, HSBC Bank USA, National Association, Citizens Bank, N.A., The Huntington National Bank, and Barclays Bank PLC as co-documentation agents. The Third Amended and Restated Credit Agreement amended and restated the credit agreement dated October 27, 2021, which amended and restated the prior credit agreement, terminated the Company's existing term loan facility, and refinanced the outstanding borrowings thereunder into new term loan facilities. The agreement increased revolving credit commitments from $800 million to $1.25 billion and extended the maturity date to June 5, 2031. The agreement also provides for a $250 million term loan due June 5, 2029 and a $250 million term loan due June 5, 2031. Total borrowings outstanding under the facilities were approximately $775 million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to maintain certain financial ratios and comply with certain other covenants. The Company was in compliance with all such covenants as of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the one month term SOFR Rate for the term loan due June 2029 and the term loan due June 2031 was 3.644%. The one month term SOFR Rate on the Revolving Credit Facility due June 2031 was 3.644% as of June 30, 2026. </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 information about financial instruments not measured at fair value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liabilities that are not measured at fair value on a recurring basis: </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036"/>
        <w:gridCol w:w="146"/>
        <w:gridCol w:w="336"/>
        <w:gridCol w:w="909"/>
        <w:gridCol w:w="146"/>
        <w:gridCol w:w="146"/>
        <w:gridCol w:w="239"/>
        <w:gridCol w:w="646"/>
        <w:gridCol w:w="146"/>
        <w:gridCol w:w="146"/>
        <w:gridCol w:w="336"/>
        <w:gridCol w:w="909"/>
        <w:gridCol w:w="146"/>
        <w:gridCol w:w="146"/>
        <w:gridCol w:w="239"/>
        <w:gridCol w:w="646"/>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their values are measured by using observable inputs, other than quoted prices in active markets.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and classification of operating lease right-of-use assets and operating lease liabilities within the Condensed Consolidated Balance Sheets is as follows:</w:t>
      </w:r>
    </w:p>
    <w:p>
      <w:pPr>
        <w:pStyle w:val="TextBody"/>
        <w:bidi w:val="0"/>
        <w:jc w:val="left"/>
        <w:rPr/>
      </w:pPr>
      <w:r>
        <w:rPr/>
        <w:t> </w:t>
      </w:r>
    </w:p>
    <w:tbl>
      <w:tblPr>
        <w:tblW w:w="9746" w:type="dxa"/>
        <w:jc w:val="left"/>
        <w:tblInd w:w="0" w:type="dxa"/>
        <w:tblLayout w:type="fixed"/>
        <w:tblCellMar>
          <w:top w:w="28" w:type="dxa"/>
          <w:left w:w="28" w:type="dxa"/>
          <w:bottom w:w="28" w:type="dxa"/>
          <w:right w:w="28" w:type="dxa"/>
        </w:tblCellMar>
      </w:tblPr>
      <w:tblGrid>
        <w:gridCol w:w="3196"/>
        <w:gridCol w:w="3196"/>
        <w:gridCol w:w="146"/>
        <w:gridCol w:w="375"/>
        <w:gridCol w:w="750"/>
        <w:gridCol w:w="146"/>
        <w:gridCol w:w="146"/>
        <w:gridCol w:w="499"/>
        <w:gridCol w:w="1001"/>
        <w:gridCol w:w="291"/>
      </w:tblGrid>
      <w:tr>
        <w:trPr/>
        <w:tc>
          <w:tcPr>
            <w:tcW w:w="319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cost for operating leases were as follows:</w:t>
      </w:r>
    </w:p>
    <w:p>
      <w:pPr>
        <w:pStyle w:val="TextBody"/>
        <w:bidi w:val="0"/>
        <w:spacing w:before="120" w:after="283"/>
        <w:jc w:val="left"/>
        <w:rPr/>
      </w:pPr>
      <w:r>
        <w:rPr/>
        <w:t> </w:t>
      </w:r>
    </w:p>
    <w:tbl>
      <w:tblPr>
        <w:tblW w:w="7320" w:type="dxa"/>
        <w:jc w:val="left"/>
        <w:tblInd w:w="0" w:type="dxa"/>
        <w:tblLayout w:type="fixed"/>
        <w:tblCellMar>
          <w:top w:w="28" w:type="dxa"/>
          <w:left w:w="28" w:type="dxa"/>
          <w:bottom w:w="28" w:type="dxa"/>
          <w:right w:w="28" w:type="dxa"/>
        </w:tblCellMar>
      </w:tblPr>
      <w:tblGrid>
        <w:gridCol w:w="2156"/>
        <w:gridCol w:w="335"/>
        <w:gridCol w:w="502"/>
        <w:gridCol w:w="264"/>
        <w:gridCol w:w="232"/>
        <w:gridCol w:w="335"/>
        <w:gridCol w:w="550"/>
        <w:gridCol w:w="166"/>
        <w:gridCol w:w="146"/>
        <w:gridCol w:w="306"/>
        <w:gridCol w:w="458"/>
        <w:gridCol w:w="240"/>
        <w:gridCol w:w="211"/>
        <w:gridCol w:w="306"/>
        <w:gridCol w:w="502"/>
        <w:gridCol w:w="611"/>
      </w:tblGrid>
      <w:tr>
        <w:trPr/>
        <w:tc>
          <w:tcPr>
            <w:tcW w:w="21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leases:</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cost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cost</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cost net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 average remaining lease term and the weighted average discount rate for operating leases as of June 30, 2026 were:</w:t>
      </w:r>
    </w:p>
    <w:tbl>
      <w:tblPr>
        <w:tblW w:w="4960" w:type="dxa"/>
        <w:jc w:val="left"/>
        <w:tblInd w:w="0" w:type="dxa"/>
        <w:tblLayout w:type="fixed"/>
        <w:tblCellMar>
          <w:top w:w="28" w:type="dxa"/>
          <w:left w:w="28" w:type="dxa"/>
          <w:bottom w:w="28" w:type="dxa"/>
          <w:right w:w="28" w:type="dxa"/>
        </w:tblCellMar>
      </w:tblPr>
      <w:tblGrid>
        <w:gridCol w:w="3991"/>
        <w:gridCol w:w="146"/>
        <w:gridCol w:w="146"/>
        <w:gridCol w:w="361"/>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Maturities of the operating lease liabilities by fiscal year at June 30, 2026 for the Company's operating leases are as follows:</w:t>
      </w:r>
    </w:p>
    <w:tbl>
      <w:tblPr>
        <w:tblW w:w="4828" w:type="dxa"/>
        <w:jc w:val="left"/>
        <w:tblInd w:w="0" w:type="dxa"/>
        <w:tblLayout w:type="fixed"/>
        <w:tblCellMar>
          <w:top w:w="28" w:type="dxa"/>
          <w:left w:w="28" w:type="dxa"/>
          <w:bottom w:w="28" w:type="dxa"/>
          <w:right w:w="28" w:type="dxa"/>
        </w:tblCellMar>
      </w:tblPr>
      <w:tblGrid>
        <w:gridCol w:w="2986"/>
        <w:gridCol w:w="146"/>
        <w:gridCol w:w="434"/>
        <w:gridCol w:w="871"/>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information for operating leases is as follows:</w:t>
      </w:r>
    </w:p>
    <w:tbl>
      <w:tblPr>
        <w:tblW w:w="10205" w:type="dxa"/>
        <w:jc w:val="left"/>
        <w:tblInd w:w="0" w:type="dxa"/>
        <w:tblLayout w:type="fixed"/>
        <w:tblCellMar>
          <w:top w:w="28" w:type="dxa"/>
          <w:left w:w="28" w:type="dxa"/>
          <w:bottom w:w="28" w:type="dxa"/>
          <w:right w:w="28" w:type="dxa"/>
        </w:tblCellMar>
      </w:tblPr>
      <w:tblGrid>
        <w:gridCol w:w="5055"/>
        <w:gridCol w:w="259"/>
        <w:gridCol w:w="388"/>
        <w:gridCol w:w="425"/>
        <w:gridCol w:w="425"/>
        <w:gridCol w:w="259"/>
        <w:gridCol w:w="388"/>
        <w:gridCol w:w="346"/>
        <w:gridCol w:w="346"/>
        <w:gridCol w:w="300"/>
        <w:gridCol w:w="450"/>
        <w:gridCol w:w="207"/>
        <w:gridCol w:w="207"/>
        <w:gridCol w:w="300"/>
        <w:gridCol w:w="450"/>
        <w:gridCol w:w="400"/>
      </w:tblGrid>
      <w:tr>
        <w:trPr/>
        <w:tc>
          <w:tcPr>
            <w:tcW w:w="50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liabilities</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liabilities</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Supplemental Disclosures of Cash Flow Information and Non-Cash Financing and Investing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Cash paid during the period for interest and income taxes are summarized as follows: </w:t>
      </w:r>
    </w:p>
    <w:tbl>
      <w:tblPr>
        <w:tblW w:w="5277" w:type="dxa"/>
        <w:jc w:val="left"/>
        <w:tblInd w:w="0" w:type="dxa"/>
        <w:tblLayout w:type="fixed"/>
        <w:tblCellMar>
          <w:top w:w="28" w:type="dxa"/>
          <w:left w:w="28" w:type="dxa"/>
          <w:bottom w:w="28" w:type="dxa"/>
          <w:right w:w="28" w:type="dxa"/>
        </w:tblCellMar>
      </w:tblPr>
      <w:tblGrid>
        <w:gridCol w:w="2716"/>
        <w:gridCol w:w="146"/>
        <w:gridCol w:w="274"/>
        <w:gridCol w:w="548"/>
        <w:gridCol w:w="190"/>
        <w:gridCol w:w="190"/>
        <w:gridCol w:w="274"/>
        <w:gridCol w:w="548"/>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increase in interest payments during the six months ended June 30, 2026, was primarily attributable to higher outstanding debt balances incurred to finance the Accession acquisition completed during the third quarter of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six months ended June 30, 2025, the Company paid $91 million related to certain federal income tax payments previously deferred from 2024 due to Hurricanes Debby and Milton tax relief.</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non-cash investing and financing activities are summarized as follows:</w:t>
      </w:r>
    </w:p>
    <w:tbl>
      <w:tblPr>
        <w:tblW w:w="8316" w:type="dxa"/>
        <w:jc w:val="left"/>
        <w:tblInd w:w="0" w:type="dxa"/>
        <w:tblLayout w:type="fixed"/>
        <w:tblCellMar>
          <w:top w:w="28" w:type="dxa"/>
          <w:left w:w="28" w:type="dxa"/>
          <w:bottom w:w="28" w:type="dxa"/>
          <w:right w:w="28" w:type="dxa"/>
        </w:tblCellMar>
      </w:tblPr>
      <w:tblGrid>
        <w:gridCol w:w="5956"/>
        <w:gridCol w:w="146"/>
        <w:gridCol w:w="293"/>
        <w:gridCol w:w="523"/>
        <w:gridCol w:w="230"/>
        <w:gridCol w:w="203"/>
        <w:gridCol w:w="293"/>
        <w:gridCol w:w="481"/>
        <w:gridCol w:w="19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 issued for acquisitions and purchased customer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acquisition earn-out payables issued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 recorded in connection with the sale of 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reconciliation of cash, cash equivalents and restricted cash inclusive of fiduciary cash is as follows:</w:t>
      </w:r>
    </w:p>
    <w:tbl>
      <w:tblPr>
        <w:tblW w:w="10205" w:type="dxa"/>
        <w:jc w:val="left"/>
        <w:tblInd w:w="0" w:type="dxa"/>
        <w:tblLayout w:type="fixed"/>
        <w:tblCellMar>
          <w:top w:w="28" w:type="dxa"/>
          <w:left w:w="28" w:type="dxa"/>
          <w:bottom w:w="28" w:type="dxa"/>
          <w:right w:w="28" w:type="dxa"/>
        </w:tblCellMar>
      </w:tblPr>
      <w:tblGrid>
        <w:gridCol w:w="7707"/>
        <w:gridCol w:w="146"/>
        <w:gridCol w:w="211"/>
        <w:gridCol w:w="571"/>
        <w:gridCol w:w="146"/>
        <w:gridCol w:w="146"/>
        <w:gridCol w:w="211"/>
        <w:gridCol w:w="676"/>
        <w:gridCol w:w="391"/>
      </w:tblGrid>
      <w:tr>
        <w:trPr/>
        <w:tc>
          <w:tcPr>
            <w:tcW w:w="7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7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 inclusive of fiduciary cash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restricted cash balances relate to amounts held in escrow in accordance with the Merger Agreement. Once all claims related to certain indemnification matters described in the Merger Agreement are resolved, the remaining cash in the escrow account will be released to the equityholders. Restricted cash is presented within other assets in the Company's Condensed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Legal and Regulatory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vigorously protect 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acquisition of Accession in the third quarter of 2025, the Company aligned its business from three to two segments. As a result of the segment reorganization, the Company consolidated its Programs and Wholesale Brokerage segments into a new Specialty Distribution segment. As a result, beginning in the third quarter of 2025, the Company reports its financial results in the following two reportable segments: (i) the Retail segment, which provides a broad range of insurance products and services to commercial, public and quasi-public entities, and to professional and individual customers, and non-insurance risk-mitigating products through our F&amp;I businesses; and (ii) the Specialty Distribution segment, which consists of our programs, wholesale brokerage and specialty businesses. Our programs businesses, which act as MGUs, provide targeted products and services designated for specific industries, trade groups, governmental entities and market niches, which are delivered to the insured directly, to affinity groups, through wholesale brokers or through a global network of independent agents, including Brown &amp; Brown retail agents. Our wholesale brokerage businesses underwrite and place excess and surplus commercial and personal lines insurance, typically for specialized or hard-to-place types of risks, primarily through a global network of independent agents and brokers, including Brown &amp; Brown retail agents. Our specialty business offers solutions across affinity and administrative services, captives, reinsurance, travel/accident, warranty, and life &amp;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presented for the three months and six months ended June 30, 2025 have been recast to align with the two-segment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 conducts most of its operations within the U.S. International retail operations include businesses based in Bermuda, Canada, Cayman Islands, India, the Netherlands, Republic of Ireland and the United Kingdom; specialty distribution operations are in Belgium, Canada, France, Germany, Hong Kong, Italy, Malaysia, the Netherlands, Singapore, United Arab Emirates and the United Kingdom. These international operations earned $227 million and $212 million of total revenues for the three months ended June 30, 2026 and 2025, respectively and $491 million and $442 million of total revenues for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chief operating decision maker ("CODM"), the president and chief executive officer, regularly receives segment information on total revenue, organic revenue growth, the growth in Contingents, income before income taxes and earnings before interest, income taxes, depreciation, amortization and change in estimated acquisition earn-out payables ("EBITDAC"). The metrics are used to review operating trends, to perform analytical comparisons between periods and to monitor budget to actual variances. The Company's CODM does not use segment assets to make resource allocation decisions; therefore, they have not been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Summarized financial information concerning the Company’s reportable segments is shown in the following tables. </w:t>
      </w:r>
    </w:p>
    <w:p>
      <w:pPr>
        <w:pStyle w:val="TextBody"/>
        <w:bidi w:val="0"/>
        <w:jc w:val="left"/>
        <w:rPr/>
      </w:pPr>
      <w:r>
        <w:rPr/>
        <w:t> </w:t>
      </w:r>
    </w:p>
    <w:tbl>
      <w:tblPr>
        <w:tblW w:w="8586" w:type="dxa"/>
        <w:jc w:val="left"/>
        <w:tblInd w:w="0" w:type="dxa"/>
        <w:tblLayout w:type="fixed"/>
        <w:tblCellMar>
          <w:top w:w="28" w:type="dxa"/>
          <w:left w:w="28" w:type="dxa"/>
          <w:bottom w:w="28" w:type="dxa"/>
          <w:right w:w="28" w:type="dxa"/>
        </w:tblCellMar>
      </w:tblPr>
      <w:tblGrid>
        <w:gridCol w:w="4331"/>
        <w:gridCol w:w="146"/>
        <w:gridCol w:w="211"/>
        <w:gridCol w:w="421"/>
        <w:gridCol w:w="166"/>
        <w:gridCol w:w="146"/>
        <w:gridCol w:w="559"/>
        <w:gridCol w:w="1121"/>
        <w:gridCol w:w="16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46" w:type="dxa"/>
        <w:jc w:val="left"/>
        <w:tblInd w:w="0" w:type="dxa"/>
        <w:tblLayout w:type="fixed"/>
        <w:tblCellMar>
          <w:top w:w="28" w:type="dxa"/>
          <w:left w:w="28" w:type="dxa"/>
          <w:bottom w:w="28" w:type="dxa"/>
          <w:right w:w="28" w:type="dxa"/>
        </w:tblCellMar>
      </w:tblPr>
      <w:tblGrid>
        <w:gridCol w:w="4331"/>
        <w:gridCol w:w="146"/>
        <w:gridCol w:w="211"/>
        <w:gridCol w:w="421"/>
        <w:gridCol w:w="146"/>
        <w:gridCol w:w="146"/>
        <w:gridCol w:w="559"/>
        <w:gridCol w:w="1121"/>
        <w:gridCol w:w="14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includes any income and expenses not allocated to reportable segments and corporate-related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expense categories and amounts align with the segment-level information that is regularly provided to the CODM.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36" w:type="dxa"/>
        <w:jc w:val="left"/>
        <w:tblInd w:w="0" w:type="dxa"/>
        <w:tblLayout w:type="fixed"/>
        <w:tblCellMar>
          <w:top w:w="28" w:type="dxa"/>
          <w:left w:w="28" w:type="dxa"/>
          <w:bottom w:w="28" w:type="dxa"/>
          <w:right w:w="28" w:type="dxa"/>
        </w:tblCellMar>
      </w:tblPr>
      <w:tblGrid>
        <w:gridCol w:w="4331"/>
        <w:gridCol w:w="146"/>
        <w:gridCol w:w="211"/>
        <w:gridCol w:w="571"/>
        <w:gridCol w:w="166"/>
        <w:gridCol w:w="146"/>
        <w:gridCol w:w="452"/>
        <w:gridCol w:w="1228"/>
        <w:gridCol w:w="166"/>
        <w:gridCol w:w="146"/>
        <w:gridCol w:w="211"/>
        <w:gridCol w:w="571"/>
        <w:gridCol w:w="391"/>
      </w:tblGrid>
      <w:tr>
        <w:trPr/>
        <w:tc>
          <w:tcPr>
            <w:tcW w:w="4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96" w:type="dxa"/>
        <w:jc w:val="left"/>
        <w:tblInd w:w="0" w:type="dxa"/>
        <w:tblLayout w:type="fixed"/>
        <w:tblCellMar>
          <w:top w:w="28" w:type="dxa"/>
          <w:left w:w="28" w:type="dxa"/>
          <w:bottom w:w="28" w:type="dxa"/>
          <w:right w:w="28" w:type="dxa"/>
        </w:tblCellMar>
      </w:tblPr>
      <w:tblGrid>
        <w:gridCol w:w="4231"/>
        <w:gridCol w:w="146"/>
        <w:gridCol w:w="211"/>
        <w:gridCol w:w="571"/>
        <w:gridCol w:w="146"/>
        <w:gridCol w:w="146"/>
        <w:gridCol w:w="452"/>
        <w:gridCol w:w="1228"/>
        <w:gridCol w:w="146"/>
        <w:gridCol w:w="146"/>
        <w:gridCol w:w="211"/>
        <w:gridCol w:w="571"/>
        <w:gridCol w:w="3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includes any income and expenses not allocated to reportable segments and corporate-related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expense categories and amounts align with the segment-level information that is regularly provided to the CODM.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Insurance Company Subsidiary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 write-your-own flood insurance carrier, Wright National Flood Insurance Company. WNFIC’s underwriting business consists of policies written pursuant to the NFIP, the program administered by FEMA to which premiums and underwriting exposure are ceded, and excess flood policies, which are fully reinsured in the private market. Congressional authorization for the NFIP is periodically evaluated and may be subject to potential government shutdowns. The Company sells excess flood policies, which are 100% ceded to a highly rated reinsurance carrier.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and/or participates in various ancillary insurance operations, including (1) reinsurance companies and stand-alone captives that assume underwriting risk; (2) series captive insurance companies (SCICs); (3) protected cell companies; (4) segregated account companies; (5) a quota share captive and (6) an excess of loss layer captive. These ancillary insurance operations facilitate additional underwriting capacity, generate incremental revenues and/or enable the Company to participate in certain underwriting results. The Company acquired certain of the insurance operations through the acquisition of Accession. Several of the newly acquired entities were consolidated after determining that they qualify as Variable Interest Entities ("VIEs"), and the Company is the primary beneficiary. These entities are required to follow the regulatory requirements of their respective domiciliary governments. Total assets and liabilities of the Company's consolidated VIE insurance operations included on the consolidated balance sheets were $948 million each, as of June 30, 2026. The assets of the consolidated VIE insurance operations can only be used to settle the obligations of the consolidated VIE insurance operations and the creditors and beneficiaries of the liabilities of the consolidated VIE insurance operations do not have recourse to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purchases reinsurance from other insurance companies to limit total exposure. In addition, the Company cedes insurance risk to other insurance companies and the U.S. government as permitted by the NFIP. The Company’s SCICs are created for clients to insure their risks and manage the costs of their insurance programs. In these arrangements, the Company acts as a fronting insurer and enters into reinsurance treaties, under which the Company has ceded all of the liabilities to client-owned captive cells through cross collateralization between the cells. The premiums and underwriting exposure related to the Company’s SCIC insurance operations are fully ceded to the client-owned captive cells such that the Company’s SCIC operations have no underwriting risk on a net written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quota share captive participates in risk sharing on policies placed by certain of our MGU businesses that currently underwrite property insurance for earthquake and wind exposed properties. A large portion of written premiums are ceded to reinsurance companies, limiting, but not fully eliminating the Company's exposure to underwriting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excess of loss layer captive participates in risk sharing on policies placed by one of our MGU businesses that underwrites risks associated with personal property, excluding flood, primarily in the southeastern United States with one layer of per risk excess reinsurance and three layers of catastrophe per occurrence reinsurance. All four layers have limited reinstatements; and therefore, the layers have capped, maximum aggregate limits.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reinsurance on premiums written and earned are as follows:</w:t>
      </w:r>
    </w:p>
    <w:p>
      <w:pPr>
        <w:pStyle w:val="TextBody"/>
        <w:bidi w:val="0"/>
        <w:jc w:val="left"/>
        <w:rPr/>
      </w:pPr>
      <w:r>
        <w:rPr/>
        <w:t> </w:t>
      </w:r>
    </w:p>
    <w:tbl>
      <w:tblPr>
        <w:tblW w:w="5501" w:type="dxa"/>
        <w:jc w:val="left"/>
        <w:tblInd w:w="0" w:type="dxa"/>
        <w:tblLayout w:type="fixed"/>
        <w:tblCellMar>
          <w:top w:w="28" w:type="dxa"/>
          <w:left w:w="28" w:type="dxa"/>
          <w:bottom w:w="28" w:type="dxa"/>
          <w:right w:w="28" w:type="dxa"/>
        </w:tblCellMar>
      </w:tblPr>
      <w:tblGrid>
        <w:gridCol w:w="2416"/>
        <w:gridCol w:w="146"/>
        <w:gridCol w:w="302"/>
        <w:gridCol w:w="689"/>
        <w:gridCol w:w="237"/>
        <w:gridCol w:w="209"/>
        <w:gridCol w:w="302"/>
        <w:gridCol w:w="689"/>
        <w:gridCol w:w="5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WNFIC: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premiums - WNFIC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premiums - Captives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premiums -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WNFIC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premiums written by the Company under NFIP are 100% ceded to FEMA, for which WNFIC received a 28.4% gross expense allowance from January 1, 2026 through June 30, 2026. For the same period, the Company ceded $539 million of written premiums to FEMA for NFIP policies and $1 million to highly rated carriers for excess flood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Condensed Consolidated Balance Sheets contained reinsurance recoverable of $131 million and prepaid reinsurance premiums of $554 million, which are related to the WNFIC business. For flood policies, there was no change in the balance in the reserve for losses and loss adjustment expense net of reinsurance recoverable during the period January 1, 2026 through June 30, 2026, as the Company's direct premiums written were 100% ceded to two reinsurers. The gross balance of the reserve for losses and loss adjustment expense for the WNFIC, excluding related reinsurance recoverable, as of June 30, 2026 was $131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Captives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Condensed Consolidated Balance Sheet contained the following balances related to the Captives: deferred acquisition costs of $17 million, prepaid reinsurance premiums of $296 million, reinsurance payable of $228 million, the reserve for losses and loss adjustment expense, excluding related reinsurance recoverable, of $481 million and unearned premiums of $399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$250 million each (unless otherwise approved by the board of directors), negotiated private transactions or pursuant to any trading plan that may be adopted in accordance with Rule 10b5-1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22, 2025, the board of directors approved an additional $1,251 million increase to our existing share repurchase authorization, bringing our total remaining repurchase capacity at that time to approximately $1,500 million of the Company's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12, 2026, the Company entered into accelerated share repurchase agreement ("ASR") with an investment bank to purchase an aggregate $250 million of the Company's common stock. The program ended on March 9, 2026 and during the period, the Company received a total of 3,574,890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repurchased an additional 4,279,712 shares for $250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remaining amount authorized by our board of directors for share repurchases was approximately $900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the Company paid a dividend of $0.165 per share, which was approved by the board of directors on January 21, 2026 and paid on February 11, 2026 for a total of $57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the Company paid a dividend of $0.165 per share, which was approved by the board of directors on April 27, 2026 and paid on May 20, 2026 for a total of $56 million. On July 22, 2026, the board of directors approved a quarterly cash dividend of $0.165 per share to be paid on August 19, 2026.</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updates the Management’s Discussion and Analysis of Financial Condition and Results of Operations contained in the Company’s Annual Report on Form 10-K for the fiscal year ended December 31, 2025, and the two discussions should be read together.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sz w:val="20"/>
        </w:rPr>
      </w:pPr>
      <w:r>
        <w:rPr>
          <w:rFonts w:ascii="Times New Roman" w:hAnsi="Times New Roman"/>
          <w:b/>
          <w:color w:val="000000"/>
          <w:sz w:val="20"/>
        </w:rPr>
        <w:t>Company Overview —</w:t>
      </w:r>
      <w:r>
        <w:rPr>
          <w:rFonts w:ascii="Times New Roman" w:hAnsi="Times New Roman"/>
          <w:color w:val="000000"/>
          <w:sz w:val="20"/>
        </w:rPr>
        <w:t xml:space="preserve"> </w:t>
      </w:r>
      <w:r>
        <w:rPr>
          <w:rFonts w:ascii="Times New Roman" w:hAnsi="Times New Roman"/>
          <w:b/>
          <w:color w:val="000000"/>
          <w:sz w:val="20"/>
        </w:rPr>
        <w:t>Second Quarter</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Condensed Consolidated Financial Statements and the related Notes to those Financial Statements included elsewhere in this Quarterly Report on Form 10-Q, which are prepared in accordance with accounting principles generally accepted in the United States (“GAAP”). In addition, please see “Information Regarding Non-GAAP Financial Measures” below regarding important information on non-GAAP financial measures contained in our discussion and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diversified insurance agency, wholesale brokerage, insurance programs, specialty insurance business and service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participate in captive insurance facilities for the purpose of having additional capacity to place coverage, driving additional revenues and to participate in underwriting results, and to limit the Company's exposure to claims expenses through reinsurance or by only participating in certain tranches of the underwriting. We also operate registered insurance companies to support our national flood insurance program and to support our cross-collateralized segregated captive cell businesses. We do not participate in earnings of the collateralized segregated captive cells.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in the value of insurable exposure units or a general decline in economic activity, could increase or decrease the value of insurable exposure units. Furthermore, increasing costs of litigation settlements and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“core commissions and fees” excludes Contingents; and therefore, it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earn Contingents,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underwriting year, based upon prior year(s) underwriting results, but may differ from the amount estimated and accrued due to the lack of complete visibility regarding loss information until they are received. Over the last three years, Contingents have averaged approximately 4.4% of total commissions and fee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revenues primarily relate to services other than securing coverage for our customers, and for fees negotiated in lieu of commissions. Fee revenues are generated by: (i) our Specialty Distribution segment, which earns fees primarily for the issuance of insurance policies on behalf of insurance carriers and (ii) our Retail segment in our large-account customer base, where we primarily earn fees for securing insurance for our customers, in our F&amp;I businesses where we earn fees for assisting our customers with creating and selling warranty and service risk management programs and fees for Medicare Set-aside services, Social Security disability services and Medicare benefits advocacy services. Annual fee revenues as a percentage of our total commissions and fees, represented 22.2% in 2025 and 21.1%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our total commissions and fees growth rate was 32.4%. Our consolidated Organic Revenue decreased by 0.7% and our Organic Revenue with Contingents growth rate was 0.7%.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investment and other income has consisted primarily of interest earnings on operating cash and where permitted, on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June 30, 2026 increased from the second quarter of 2025 by $72 million or 23.2%, driven by increased Contingents, leveraging our expense base, synergies realized from the acquisition of Accession, acquisitions completed in the past twelve months and the change in estimated acquisition earn-out payables. This growth was partially offset by Acquisition/Integration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Information Regarding 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Organic Revenue with Contingents, EBITDAC, EBITDAC Margin, EBITDAC - Adjusted and EBITDAC Margin - Adjusted. We present these measures because we believe such information is of interest to the investment community.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Organic Revenue and Organic Revenue growth (including Organic Revenue with Contingents and its growth) as important indicators when assessing and evaluating our performance on a consolidated basis and for each of our two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is our core commissions and fees less: (i) the core commissions and fees earned for the first twelve months by newly acquired operations; (ii) divested business (core commissions and fees generated from offices, books of business or niches sold or terminated during the comparable period); (iii) Foreign Currency Translation (as defined below) and (iv) the Litigation-Related Impact. The term “core commissions and fees” excludes Contingents; and therefore, represents the revenues earned directly from specific insurance policies sold and specific fee-based services rendered. Growth of Organic Revenue can be expressed as a dollar amount or a percentage rate.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Organic Revenue with Contingents</w:t>
      </w:r>
      <w:r>
        <w:rPr>
          <w:color w:val="000000"/>
        </w:rPr>
        <w:t xml:space="preserve"> </w:t>
      </w:r>
      <w:r>
        <w:rPr>
          <w:rFonts w:ascii="Times New Roman" w:hAnsi="Times New Roman"/>
          <w:color w:val="000000"/>
          <w:sz w:val="20"/>
        </w:rPr>
        <w:t>is Organic Revenue plus Organic Contingents (as defined below). Growth of Organic Revenue with Contingents can be expressed as a dollar amount or a percentage rate.</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 xml:space="preserve">is defined as EBITDAC divided by total revenues.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is defined as EBITDAC, excluding (i) (gain)/loss on disposal (as defined below), (ii) Acquisition/Integration Costs (as defined below) and (iii) mark-to-market of escrow liability (as defined below).</w:t>
      </w:r>
      <w:r>
        <w:rPr>
          <w:color w:val="40404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Acquisition/Integration Costs”</w:t>
      </w:r>
      <w:r>
        <w:rPr>
          <w:color w:val="000000"/>
        </w:rPr>
        <w:t xml:space="preserve"> </w:t>
      </w:r>
      <w:r>
        <w:rPr>
          <w:rFonts w:ascii="Times New Roman" w:hAnsi="Times New Roman"/>
          <w:color w:val="000000"/>
          <w:sz w:val="20"/>
        </w:rPr>
        <w:t>means the acquisition and integration costs (e.g., costs associated with regulatory filings; costs for third-party professional services, including legal, accounting, consulting, financial advisory and due diligence; costs and fees associated with entry into the bridge financing commitment; costs of integrating or streamlining processes and information technology systems, including data migration and system integration; costs associated with optimizing vendor agreements and leased office space, including exit costs related to location combinations; and employment-related costs, including severance payments, costs associated with the transition of certain legacy compensation programs, retention-related compensation expenses, and incentive payments) arising out of our acquisition of Accession and acquisitions previously completed by Accession, which are not considered to be normal, recurring or part of ongoing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 xml:space="preserve">Foreign Currency Translation” </w:t>
      </w:r>
      <w:r>
        <w:rPr>
          <w:rFonts w:ascii="Times New Roman" w:hAnsi="Times New Roman"/>
          <w:color w:val="000000"/>
          <w:sz w:val="20"/>
        </w:rPr>
        <w:t>means the period-over-period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(Gain)/loss on disposal”</w:t>
      </w:r>
      <w:r>
        <w:rPr>
          <w:color w:val="000000"/>
        </w:rPr>
        <w:t xml:space="preserve"> </w:t>
      </w:r>
      <w:r>
        <w:rPr>
          <w:rFonts w:ascii="Times New Roman" w:hAnsi="Times New Roman"/>
          <w:color w:val="000000"/>
          <w:sz w:val="20"/>
        </w:rPr>
        <w:t>is a caption on our consolidated statements of income which reflects net proceeds received as compared to the net book value related to sales of books of business and other divestiture transactions.</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Mark-to-market of escrow liability</w:t>
      </w:r>
      <w:r>
        <w:rPr>
          <w:color w:val="000000"/>
        </w:rPr>
        <w:t xml:space="preserve">” </w:t>
      </w:r>
      <w:r>
        <w:rPr>
          <w:rFonts w:ascii="Times New Roman" w:hAnsi="Times New Roman"/>
          <w:color w:val="000000"/>
          <w:sz w:val="20"/>
        </w:rPr>
        <w:t>is a caption on our consolidated statements of income which reflects the non-cash change in the fair value associated with certain shares of the Company’s common stock held in escrow. The change is driven by fluctuations in our stock price between the beginning of the period and the end of the period. These escrowed shares represent a portion of the merger consideration payable in connection with our acquisition of Accession. The escrowed shares secure certain indemnification obligations of the Accession equity holders related to businesses that are in run-off or discontinued.</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Litigation-Related Impact”</w:t>
      </w:r>
      <w:r>
        <w:rPr>
          <w:color w:val="000000"/>
        </w:rPr>
        <w:t xml:space="preserve"> </w:t>
      </w:r>
      <w:r>
        <w:rPr>
          <w:rFonts w:ascii="Times New Roman" w:hAnsi="Times New Roman"/>
          <w:color w:val="000000"/>
          <w:sz w:val="20"/>
        </w:rPr>
        <w:t>means the core commissions and fees attributable to (i) the loss of specifically identified customer accounts and (ii) new business generated in the prior year by certain former employees, in each case in connection with the conduct of a competitor that is the subject of pending litigation in multiple jurisdictions.</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0"/>
        </w:rPr>
        <w:t>Organic Contingents”</w:t>
      </w:r>
      <w:r>
        <w:rPr>
          <w:color w:val="000000"/>
        </w:rPr>
        <w:t xml:space="preserve"> </w:t>
      </w:r>
      <w:r>
        <w:rPr>
          <w:rFonts w:ascii="Times New Roman" w:hAnsi="Times New Roman"/>
          <w:color w:val="000000"/>
          <w:sz w:val="20"/>
        </w:rPr>
        <w:t xml:space="preserve">are Contingents, less (i) Contingents earned for the first twelve months by newly acquired stand-alone operations and (ii) Contingents earned from divested stand-alone operations (Contingents generated from stand-alone operations sold or terminated during the comparable period).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sans-serif" w:hAnsi="sans-serif"/>
          <w:color w:val="000000"/>
          <w:sz w:val="20"/>
        </w:rPr>
        <w:t>'</w:t>
      </w:r>
      <w:r>
        <w:rPr>
          <w:rFonts w:ascii="Times New Roman" w:hAnsi="Times New Roman"/>
          <w:color w:val="000000"/>
          <w:sz w:val="20"/>
        </w:rPr>
        <w:t>s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business strategy is to attract high-quality insurance intermediaries and service organizations to join our operations. From 1993 through the second quarter of 2026, we acquired 732 insurance intermediary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had no changes to our Critical Accounting Policies as described in our most recent Form 10-K for the year ended December 31, 2025.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2025 for details regarding our critical and significant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FOR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regarding results of operations and liquidity and capital resources should be considered in conjunction with the accompanying Condensed Consolidated Financial Statements and related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condensed consolidated financial results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7"/>
        <w:gridCol w:w="146"/>
        <w:gridCol w:w="211"/>
        <w:gridCol w:w="571"/>
        <w:gridCol w:w="291"/>
        <w:gridCol w:w="146"/>
        <w:gridCol w:w="211"/>
        <w:gridCol w:w="571"/>
        <w:gridCol w:w="271"/>
        <w:gridCol w:w="146"/>
        <w:gridCol w:w="177"/>
        <w:gridCol w:w="694"/>
        <w:gridCol w:w="271"/>
        <w:gridCol w:w="146"/>
        <w:gridCol w:w="211"/>
        <w:gridCol w:w="571"/>
        <w:gridCol w:w="291"/>
        <w:gridCol w:w="146"/>
        <w:gridCol w:w="211"/>
        <w:gridCol w:w="571"/>
        <w:gridCol w:w="271"/>
        <w:gridCol w:w="146"/>
        <w:gridCol w:w="177"/>
        <w:gridCol w:w="694"/>
        <w:gridCol w:w="517"/>
      </w:tblGrid>
      <w:tr>
        <w:trPr/>
        <w:tc>
          <w:tcPr>
            <w:tcW w:w="2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with Contingents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Contingents and earned premiums, for the three months ended June 30, 2026 increased $405 million to $1,654 million, or 32.4%, over the same period in 2025. Core commissions and fees revenue for the second quarter of 2026 increased $365 million or 30.3%, composed of: (i) $393 million from acquisitions that had no comparable revenues in the same period of 2025; (ii) an increase from the impact of Foreign Currency Translation of $2 million and an offsetting decrease from (iii) $4 million related to commissions and fees revenue from businesses or books of business divested in the preceding twelve months; (iv) $18 million related to the Litigation-Related Impact and (v) $8 million of net new and renewal business, which combined reflected an overall Organic Revenue decrease of 0.7%. Contingents for the second quarter of 2026 increased by $40 million, or 88.9%, compared to the same period in 2025. This increase was driven primarily by (i) improved underwriting results for our carrier partners, growth in premium volume and qualifying for certain Contingents that we did not qualify for in the prior year, (ii) recent acquisitions and (iii) our enhanced carrier engagement model. The Organic Revenue with Contingents growth rate was 0.7%.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Contingents and earned premiums, for the six months ended June 30, 2026, increased $900 million to $3,534 million, or 34.2%, over the same period in 2025. Core commissions and fees revenue for the six months ended June 30, 2026 increased $806 million or 31.7%, composed of: (i) $829 million from acquisitions that had no comparable revenues in the same period of 2025; (ii) an increase from the impact of Foreign Currency Translation of $20 million and an offsetting decrease from (iii) $8 million related to commissions and fees revenue from businesses or books of business divested in the preceding twelve months; (iv) $28 million related to the Litigation-Related Impact and (v) $7 million of net new and renewal business, which combined reflected an overall Organic Revenue growth decrease of 0.3%. Contingents for the six months ended June 30, 2026 increased by $94 million, or 106.8%, compared to the same period in 2025. This increase was driven primarily by (i) improved underwriting results for our carrier partners, (ii) growth in premium volume and qualifying for certain Contingents that we did not qualify for in the prior year, (iii) recent acquisitions and (iv) our enhanced carrier engagement model. The Organic Revenue with Contingents growth rate was 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 and 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and other income for the three months ended June 30, 2026 decreased $14 million from the same period in 2025. Investment and other income for the six months ended June 30, 2026 decreased $12 million, from the same period in 2025. These decreases were driven substantially by $13 million of interest income generated by the proceeds of the Company's follow-on common stock offering and senior notes issuance in June 2025, held in preparation for the closing of the Company's acquisition of Accession, and to a lesser extent lower average interest rates, each partially offset by acquisitions that had no comparable investment and other income in the same period of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50.0% for the three months ended June 30, 2026 as compared to 49.8% for the three months ended June 30, 2025, an increase of 30.9%, or $198 million. This increase included $203 million of compensation costs related to acquisitions that had no comparable costs in the same period of 2025. Therefore, employee compensation and benefits expense attributable to those offices that existed in the same time periods of 2026 and 2025 decreased by $5 million. This underlying employee compensation and benefits expense decrease was primarily related to: (i) lower non-cash stock-based compensation expense driven by the company's performance; (ii) a decrease in claims costs within our self-insured health plan; (iii) a decrease in commissions, base compensation and bonuses resulting from the Litigation-Related Impact; partially offset by (iv) an increase in staff costs attributable to new hires and annual compensation increases.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48.8% for the six months ended June 30, 2026 as compared to 49.2% for the six months ended June 30, 2025, an increase of 31.9%, or $422 million. This increase included $444 million of compensation costs related to acquisitions that had no comparable costs in the same period of 2025. Therefore, employee compensation and benefits expense attributable to those offices that existed in the same time periods of 2026 and 2025 decreased by $22 million. This underlying employee compensation and benefits expense decrease was primarily related to: (i) lower non-cash stock-based compensation expense driven by the Company's performance; (ii) a decrease in claims costs within our self-insured health plan; (iii) a decrease in commissions, base compensation and bonuses resulting from the Litigation-Related Impact; partially offset by (iv) an increase in staff costs attributable to new hires and annual compensation increases.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16.2% of total revenues for the second quarter of 2026, as compared to 16.4% for the second quarter of 2025. Other operating expenses for the second quarter of 2026 increased $60 million, or 28.4%, from the same period of 2025. This change includes: (i) $72 million of other operating expenses related to acquisitions that had no comparable costs in the same period of 2025; and (ii) increased information technology-related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15.7% of total revenues for the six months ended June 30, 2026, as compared to 14.8% for the six months ended June 30, 2025. Other operating expenses for the first six months of 2026 increased $162 million, or 40.7%, from the same period of 2025. This change includes: (i) $150 million of other operating expenses related to acquisitions that had no comparable costs in the same period of 2025; and (ii) increased information technology-related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(Gain)/Loss on Disposal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disposal for the second quarter of 2026 decreased $1 million from the second quarter of 2025. Gain on disposal for the six months ended June 30, 2026 increased $1 million from the six months ended June 30, 2025.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the second quarter of 2026 increased $60 million, or 120.0%, compared to the second quarter of 2025. Amortization expense for the six months ended June 30, 2026 increased $123 million, or 119.4%, compared to the six months ended June 30, 2025. This change reflects the amortization of new intangibles from businesses acquired within the past twelve months, net of certain intangible assets becoming fully amortized or written off in the (Gain)/Loss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the second quarter of 2026 increased $7 million, or 63.6%, compared to the second quarter of 2025. Depreciation expense for the six months ended June 30, 2026 increased $12 million, or 52.2%, compared to the six months ended June 30, 2025. Changes in depreciation expense reflect net additions of fixed assets resulting from businesses acquired in the past twelve months and the addition of fixed assets resulting from business initiatives, partially offset by the impact of fixed assets that became fully depreciated or written off in the gain or 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second quarter of 2026 increased $49 million, or 96.1%, compared to the second quarter of 2025. Interest expense for the six months ended June 30, 2026 increased $103 million, or 107.3%, compared to the first six months of 2025. The increase is due to higher debt resulting from a debt issuance in the second quarter of 2025 to fund the Transaction, which was partially offset by decreases in the floating rate benchmark used on our adjustable-rate debt.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charge or credit to the Condensed Consolidated Statements of Income for the period is the combination of the net change in the estimated acquisition earn-out payables liability, and the accretion of the present value discount on those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2025, the fair values of the estimated acquisition earn-out payables were re-evaluated based upon projected operating results and measured at fair value on a recurring basis using unobservable inputs (Level 3) as defined in ASC 820 - Fair Value Measurement. The resulting net changes, as well as the interest expense accretion on the estimated acquisition earn-out payables were as follows:</w:t>
      </w:r>
    </w:p>
    <w:tbl>
      <w:tblPr>
        <w:tblW w:w="10205" w:type="dxa"/>
        <w:jc w:val="left"/>
        <w:tblInd w:w="0" w:type="dxa"/>
        <w:tblLayout w:type="fixed"/>
        <w:tblCellMar>
          <w:top w:w="28" w:type="dxa"/>
          <w:left w:w="28" w:type="dxa"/>
          <w:bottom w:w="28" w:type="dxa"/>
          <w:right w:w="28" w:type="dxa"/>
        </w:tblCellMar>
      </w:tblPr>
      <w:tblGrid>
        <w:gridCol w:w="5311"/>
        <w:gridCol w:w="146"/>
        <w:gridCol w:w="313"/>
        <w:gridCol w:w="559"/>
        <w:gridCol w:w="246"/>
        <w:gridCol w:w="217"/>
        <w:gridCol w:w="313"/>
        <w:gridCol w:w="470"/>
        <w:gridCol w:w="146"/>
        <w:gridCol w:w="146"/>
        <w:gridCol w:w="309"/>
        <w:gridCol w:w="551"/>
        <w:gridCol w:w="243"/>
        <w:gridCol w:w="213"/>
        <w:gridCol w:w="314"/>
        <w:gridCol w:w="309"/>
        <w:gridCol w:w="399"/>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and six months ended June 30, 2026, the fair value of estimated earn-out payables was re-evaluated and resulted in decreases of $44 million and $45 million, respectively, which resulted in credits to the Condensed Consolidated Statements of Income. These adjustments were primarily related to revised estimates for companies acquired in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estimated acquisition earn-out payables totaled $310 million, of which $136 million was recorded as accounts payable and $174 million was recorded as other non-current liabilities.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on income from operations for the three months ended June 30, 2026 and 2025 was 24.5% and 24.8%, respectively. The effective tax rate on income from operations for the six months ended June 30, 2026 and 2025 was 21.7% and 22.9%, respectively. The decrease for the six months ended June 30, 2026 was driven by the non-taxable treatment of the mark-to-market of escrow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to the Condensed Consolidated Financial Statements, we operate two reportable segments: Retail and Specialty Distribution. On a segmented basis, changes in amortization, depreciation and interest expenses generally result from activity associated with acquisitions. Likewise, other income consists primarily of miscellaneous income; and therefore, it can fluctuate between comparable periods. As such, management primarily focuses on Organic Revenue growth, the growth in Contingents and EBITDAC Margin when evaluating the operational efficiency of a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and Organic Revenue with Contingents, both non-GAAP financial measures, for the three months ended June 30, 2026 and 2025, and the growth rates for Organic Revenue and Organic Revenue with Contingents for the three months ended June 30, 2026 and 2025, including by segment, are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03"/>
        <w:gridCol w:w="146"/>
        <w:gridCol w:w="196"/>
        <w:gridCol w:w="436"/>
        <w:gridCol w:w="286"/>
        <w:gridCol w:w="146"/>
        <w:gridCol w:w="196"/>
        <w:gridCol w:w="376"/>
        <w:gridCol w:w="166"/>
        <w:gridCol w:w="146"/>
        <w:gridCol w:w="205"/>
        <w:gridCol w:w="458"/>
        <w:gridCol w:w="362"/>
        <w:gridCol w:w="152"/>
        <w:gridCol w:w="205"/>
        <w:gridCol w:w="394"/>
        <w:gridCol w:w="166"/>
        <w:gridCol w:w="146"/>
        <w:gridCol w:w="196"/>
        <w:gridCol w:w="511"/>
        <w:gridCol w:w="344"/>
        <w:gridCol w:w="146"/>
        <w:gridCol w:w="196"/>
        <w:gridCol w:w="511"/>
        <w:gridCol w:w="216"/>
      </w:tblGrid>
      <w:tr>
        <w:trPr/>
        <w:tc>
          <w:tcPr>
            <w:tcW w:w="3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Retail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Litigation-Related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growth rate </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(0.7</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Organic 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growth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with Contingents growth rate </w:t>
            </w:r>
            <w:r>
              <w:rPr>
                <w:rFonts w:ascii="Times New Roman" w:hAnsi="Times New Roman"/>
                <w:b/>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0.7</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as “Other” in the Segment Information table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and Organic Revenue with Contingents, both non-GAAP financial measures, for the three months ended June 30, 2025 and 2024, including by segment, and the growth rates for Organic Revenue and Organic Revenue with Contingents for the three months ended June 30, 2025 and 2024, including by segment, are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149" w:type="dxa"/>
        <w:jc w:val="left"/>
        <w:tblInd w:w="0" w:type="dxa"/>
        <w:tblLayout w:type="fixed"/>
        <w:tblCellMar>
          <w:top w:w="28" w:type="dxa"/>
          <w:left w:w="28" w:type="dxa"/>
          <w:bottom w:w="28" w:type="dxa"/>
          <w:right w:w="28" w:type="dxa"/>
        </w:tblCellMar>
      </w:tblPr>
      <w:tblGrid>
        <w:gridCol w:w="3961"/>
        <w:gridCol w:w="146"/>
        <w:gridCol w:w="196"/>
        <w:gridCol w:w="376"/>
        <w:gridCol w:w="286"/>
        <w:gridCol w:w="146"/>
        <w:gridCol w:w="196"/>
        <w:gridCol w:w="376"/>
        <w:gridCol w:w="166"/>
        <w:gridCol w:w="146"/>
        <w:gridCol w:w="222"/>
        <w:gridCol w:w="426"/>
        <w:gridCol w:w="324"/>
        <w:gridCol w:w="165"/>
        <w:gridCol w:w="222"/>
        <w:gridCol w:w="426"/>
        <w:gridCol w:w="166"/>
        <w:gridCol w:w="146"/>
        <w:gridCol w:w="196"/>
        <w:gridCol w:w="511"/>
        <w:gridCol w:w="286"/>
        <w:gridCol w:w="146"/>
        <w:gridCol w:w="196"/>
        <w:gridCol w:w="511"/>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Retail</w:t>
            </w:r>
            <w:r>
              <w:rPr>
                <w:rFonts w:ascii="Times New Roman" w:hAnsi="Times New Roman"/>
                <w:color w:val="000000"/>
                <w:sz w:val="18"/>
              </w:rPr>
              <w:t xml:space="preserve">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Litigation-Related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growth rate </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Organic 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growth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with Contingents growth rate </w:t>
            </w:r>
            <w:r>
              <w:rPr>
                <w:rFonts w:ascii="Times New Roman" w:hAnsi="Times New Roman"/>
                <w:b/>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as “Other” in the Segment Information table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and Organic Revenue with Contingents, both non-GAAP financial measures, for the six months ended June 30, 2026 and 2025, and the growth rates for Organic Revenue and Organic Revenue with Contingents for the six months ended June 30, 2026 and 2025, including by segment,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3"/>
        <w:gridCol w:w="146"/>
        <w:gridCol w:w="196"/>
        <w:gridCol w:w="511"/>
        <w:gridCol w:w="286"/>
        <w:gridCol w:w="146"/>
        <w:gridCol w:w="196"/>
        <w:gridCol w:w="511"/>
        <w:gridCol w:w="166"/>
        <w:gridCol w:w="146"/>
        <w:gridCol w:w="196"/>
        <w:gridCol w:w="511"/>
        <w:gridCol w:w="337"/>
        <w:gridCol w:w="146"/>
        <w:gridCol w:w="196"/>
        <w:gridCol w:w="511"/>
        <w:gridCol w:w="166"/>
        <w:gridCol w:w="146"/>
        <w:gridCol w:w="196"/>
        <w:gridCol w:w="511"/>
        <w:gridCol w:w="337"/>
        <w:gridCol w:w="146"/>
        <w:gridCol w:w="196"/>
        <w:gridCol w:w="511"/>
        <w:gridCol w:w="212"/>
      </w:tblGrid>
      <w:tr>
        <w:trPr/>
        <w:tc>
          <w:tcPr>
            <w:tcW w:w="3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Retail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w:t>
            </w:r>
          </w:p>
        </w:tc>
        <w:tc>
          <w:tcPr>
            <w:tcW w:w="3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3,352</w:t>
            </w:r>
          </w:p>
        </w:tc>
        <w:tc>
          <w:tcPr>
            <w:tcW w:w="3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Litigation-Related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growth rate </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Organic 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growth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with Contingents growth rate </w:t>
            </w:r>
            <w:r>
              <w:rPr>
                <w:rFonts w:ascii="Times New Roman" w:hAnsi="Times New Roman"/>
                <w:b/>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as “Other” in the Segment Information table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and Organic Revenue with Contingents, both non-GAAP financial measure, for the six months ended June 30, 2025 and 2024, and the growth rates for Organic Revenue and Organic Revenue with Contingents for the six months ended June 30, 2025 and 2024, including by segment,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196"/>
        <w:gridCol w:w="511"/>
        <w:gridCol w:w="286"/>
        <w:gridCol w:w="146"/>
        <w:gridCol w:w="196"/>
        <w:gridCol w:w="511"/>
        <w:gridCol w:w="166"/>
        <w:gridCol w:w="146"/>
        <w:gridCol w:w="203"/>
        <w:gridCol w:w="531"/>
        <w:gridCol w:w="297"/>
        <w:gridCol w:w="151"/>
        <w:gridCol w:w="203"/>
        <w:gridCol w:w="390"/>
        <w:gridCol w:w="166"/>
        <w:gridCol w:w="146"/>
        <w:gridCol w:w="196"/>
        <w:gridCol w:w="511"/>
        <w:gridCol w:w="286"/>
        <w:gridCol w:w="146"/>
        <w:gridCol w:w="196"/>
        <w:gridCol w:w="511"/>
        <w:gridCol w:w="214"/>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Retail</w:t>
            </w:r>
            <w:r>
              <w:rPr>
                <w:rFonts w:ascii="Times New Roman" w:hAnsi="Times New Roman"/>
                <w:color w:val="000000"/>
                <w:sz w:val="18"/>
              </w:rPr>
              <w:t xml:space="preserve">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Specialty Distribution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2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Litigation-Related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growth rate </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Organic Contingents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with Contingents growth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Organic Revenue with Contingents growth rate </w:t>
            </w:r>
            <w:r>
              <w:rPr>
                <w:rFonts w:ascii="Times New Roman" w:hAnsi="Times New Roman"/>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as “Other” in the Segment Information table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June 30, 2026, including by segment, is as follows:</w:t>
      </w:r>
    </w:p>
    <w:p>
      <w:pPr>
        <w:pStyle w:val="TextBody"/>
        <w:bidi w:val="0"/>
        <w:jc w:val="left"/>
        <w:rPr/>
      </w:pPr>
      <w:r>
        <w:rPr/>
        <w:t> </w:t>
      </w:r>
    </w:p>
    <w:tbl>
      <w:tblPr>
        <w:tblW w:w="8966"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523"/>
        <w:gridCol w:w="1157"/>
        <w:gridCol w:w="271"/>
        <w:gridCol w:w="146"/>
        <w:gridCol w:w="211"/>
        <w:gridCol w:w="376"/>
        <w:gridCol w:w="166"/>
        <w:gridCol w:w="146"/>
        <w:gridCol w:w="211"/>
        <w:gridCol w:w="571"/>
        <w:gridCol w:w="271"/>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June 30, 2025, including by segment, is as follows:</w:t>
      </w:r>
    </w:p>
    <w:p>
      <w:pPr>
        <w:pStyle w:val="TextBody"/>
        <w:bidi w:val="0"/>
        <w:spacing w:before="40" w:after="283"/>
        <w:jc w:val="left"/>
        <w:rPr/>
      </w:pPr>
      <w:r>
        <w:rPr/>
        <w:t> </w:t>
      </w:r>
    </w:p>
    <w:tbl>
      <w:tblPr>
        <w:tblW w:w="8820"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523"/>
        <w:gridCol w:w="1157"/>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b/>
                <w:color w:val="000000"/>
                <w:sz w:val="11"/>
              </w:rPr>
              <w:t>(1)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Amount reflects the positive impact of approximately $13 million of interest income earned from the proceeds of the Company’s follow-on common stock offering and senior notes issuance in June 2025, held in preparation for the closing of the Company’s acquisition of Accession.</w:t>
      </w:r>
    </w:p>
    <w:p>
      <w:pPr>
        <w:pStyle w:val="TextBody"/>
        <w:bidi w:val="0"/>
        <w:jc w:val="left"/>
        <w:rPr>
          <w:rFonts w:ascii="Times New Roman" w:hAnsi="Times New Roman"/>
          <w:color w:val="000000"/>
          <w:sz w:val="20"/>
        </w:rPr>
      </w:pPr>
      <w:r>
        <w:rPr>
          <w:rFonts w:ascii="Times New Roman" w:hAnsi="Times New Roman"/>
          <w:color w:val="000000"/>
          <w:sz w:val="20"/>
        </w:rPr>
        <w:t>(2)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(3)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six months ended June 30, 2026, including by segment, is as follows:</w:t>
      </w:r>
    </w:p>
    <w:p>
      <w:pPr>
        <w:pStyle w:val="TextBody"/>
        <w:bidi w:val="0"/>
        <w:jc w:val="left"/>
        <w:rPr/>
      </w:pPr>
      <w:r>
        <w:rPr/>
        <w:t> </w:t>
      </w:r>
    </w:p>
    <w:tbl>
      <w:tblPr>
        <w:tblW w:w="9116" w:type="dxa"/>
        <w:jc w:val="left"/>
        <w:tblInd w:w="0" w:type="dxa"/>
        <w:tblLayout w:type="fixed"/>
        <w:tblCellMar>
          <w:top w:w="28" w:type="dxa"/>
          <w:left w:w="28" w:type="dxa"/>
          <w:bottom w:w="28" w:type="dxa"/>
          <w:right w:w="28" w:type="dxa"/>
        </w:tblCellMar>
      </w:tblPr>
      <w:tblGrid>
        <w:gridCol w:w="3286"/>
        <w:gridCol w:w="146"/>
        <w:gridCol w:w="211"/>
        <w:gridCol w:w="571"/>
        <w:gridCol w:w="271"/>
        <w:gridCol w:w="146"/>
        <w:gridCol w:w="452"/>
        <w:gridCol w:w="1228"/>
        <w:gridCol w:w="271"/>
        <w:gridCol w:w="146"/>
        <w:gridCol w:w="211"/>
        <w:gridCol w:w="421"/>
        <w:gridCol w:w="166"/>
        <w:gridCol w:w="146"/>
        <w:gridCol w:w="211"/>
        <w:gridCol w:w="571"/>
        <w:gridCol w:w="271"/>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six months ended June 30, 2025, including by segment, is as follows:</w:t>
      </w:r>
    </w:p>
    <w:tbl>
      <w:tblPr>
        <w:tblW w:w="8925" w:type="dxa"/>
        <w:jc w:val="left"/>
        <w:tblInd w:w="0" w:type="dxa"/>
        <w:tblLayout w:type="fixed"/>
        <w:tblCellMar>
          <w:top w:w="28" w:type="dxa"/>
          <w:left w:w="28" w:type="dxa"/>
          <w:bottom w:w="28" w:type="dxa"/>
          <w:right w:w="28" w:type="dxa"/>
        </w:tblCellMar>
      </w:tblPr>
      <w:tblGrid>
        <w:gridCol w:w="3286"/>
        <w:gridCol w:w="146"/>
        <w:gridCol w:w="211"/>
        <w:gridCol w:w="571"/>
        <w:gridCol w:w="271"/>
        <w:gridCol w:w="146"/>
        <w:gridCol w:w="452"/>
        <w:gridCol w:w="1228"/>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Specialty Distribution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b/>
                <w:color w:val="000000"/>
                <w:sz w:val="11"/>
              </w:rPr>
              <w:t>(1)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Mark-to-market of escrow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Amount reflects the positive impact of approximately $13 million of interest income earned from the proceeds of the Company’s follow-on common stock offering and senior notes issuance in June 2025, held in preparation for the closing of the Company’s acquisition of Accession.</w:t>
      </w:r>
    </w:p>
    <w:p>
      <w:pPr>
        <w:pStyle w:val="TextBody"/>
        <w:bidi w:val="0"/>
        <w:jc w:val="left"/>
        <w:rPr>
          <w:rFonts w:ascii="Times New Roman" w:hAnsi="Times New Roman"/>
          <w:color w:val="000000"/>
          <w:sz w:val="20"/>
        </w:rPr>
      </w:pPr>
      <w:r>
        <w:rPr>
          <w:rFonts w:ascii="Times New Roman" w:hAnsi="Times New Roman"/>
          <w:color w:val="000000"/>
          <w:sz w:val="20"/>
        </w:rPr>
        <w:t>(2)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(3)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Retail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 provides a broad range of insurance products and services to commercial, public and quasi-public, professional and individual insured customers, and non-insurance risk-mitigating products through our F&amp;I businesses. Approximately 77% of the Retail segment’s commissions and fees revenue is commission based.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Financial information relating to our Retail segment is as follows:</w:t>
      </w:r>
    </w:p>
    <w:tbl>
      <w:tblPr>
        <w:tblW w:w="10205" w:type="dxa"/>
        <w:jc w:val="left"/>
        <w:tblInd w:w="0" w:type="dxa"/>
        <w:tblLayout w:type="fixed"/>
        <w:tblCellMar>
          <w:top w:w="28" w:type="dxa"/>
          <w:left w:w="28" w:type="dxa"/>
          <w:bottom w:w="28" w:type="dxa"/>
          <w:right w:w="28" w:type="dxa"/>
        </w:tblCellMar>
      </w:tblPr>
      <w:tblGrid>
        <w:gridCol w:w="2766"/>
        <w:gridCol w:w="146"/>
        <w:gridCol w:w="211"/>
        <w:gridCol w:w="466"/>
        <w:gridCol w:w="271"/>
        <w:gridCol w:w="146"/>
        <w:gridCol w:w="211"/>
        <w:gridCol w:w="466"/>
        <w:gridCol w:w="271"/>
        <w:gridCol w:w="146"/>
        <w:gridCol w:w="177"/>
        <w:gridCol w:w="694"/>
        <w:gridCol w:w="302"/>
        <w:gridCol w:w="146"/>
        <w:gridCol w:w="211"/>
        <w:gridCol w:w="571"/>
        <w:gridCol w:w="271"/>
        <w:gridCol w:w="146"/>
        <w:gridCol w:w="211"/>
        <w:gridCol w:w="571"/>
        <w:gridCol w:w="271"/>
        <w:gridCol w:w="146"/>
        <w:gridCol w:w="177"/>
        <w:gridCol w:w="694"/>
        <w:gridCol w:w="517"/>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with Contingents growth rate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segment’s total revenues for the three months ended June 30, 2026 increased 35.9%, or $250 million, as compared to the same period in 2025, to $947 million. The $227 million increase in core commissions and fees revenue was driven by: (i) approximately $236 million related to the core commissions and fees revenue from acquisitions that had no comparable revenues in the same period of 2025; (ii) an increase of $10 million related to net new and renewal business; (iii) an increase from the impact of Foreign Currency Translation of $1 million; (iv) an offsetting decrease of $2 million related to commissions and fees recorded in 2025 from businesses since divested; and (v) an offsetting decrease of $18 million related to the Litigation-Related Impact. Contingents for the second quarter of 2026 increased $19 million to $26 million, as compared to the same period in 2025. This increase was due to acquisitions completed within the last twelve months and more favorable terms for certain carrier contracts resulting from our enhanced carrier engagement model. The Retail segment’s total commissions and fees increased by 35.4%. The Organic Revenue growth rate was 1.5% and the Organic Revenue with Contingents growth rate was 2.5% for the second quarter of 2026. The Organic Revenue growth rate was driven by net new business written during the preceding twelve months and growth on renewals of existing customers. Growth for renewal business was moderated by slowing rate increases, rate decreases for certain lines of coverage, and a change to the revenue model for our specialty pharmacy consulting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the three months ended June 30, 2026 increased 62.2%, or $79 million, as compared to the same period in 2025, to $206 million. The primary factors driving this increase were: (i) a decrease in intercompany interest expense; (ii) a decrease in estimated acquisition earn-out payables; and (iii) the profit associated with the net increase in revenue as described above, partially offset by (iv) an increase in amortization expense and (v) Acquisition/Integration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June 30, 2026 increased 46.9%, or $90 million, as compared to the same period in 2025, to $282 million. EBITDAC Margin - Adjusted for the three months ended June 30, 2026 increased to 29.8% from 27.5% in the same period in 2025. The change in EBITDAC Margin - Adjusted was primarily driven by: (i) increased Contingents; (ii) leveraging our expense base; and (iii) lower compensation as a result of employee departures associated with the Litigation-Related Impact.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segment’s total revenues for the six months ended June 30, 2026 increased 34.4%, or $552 million, as compared to the same period in 2025, to $2,156 million. The $510 million increase in core commissions and fees revenue was driven by: (i) approximately $507 million related to the core commissions and fees revenue from acquisitions that had no comparable revenues in the same period of 2025; (ii) an increase of $19 million related to net new and renewal business; (iii) an increase from the impact of Foreign Currency Translation of $16 million; (iv) an offsetting decrease of $3 million related to commissions and fees recorded in 2025 from businesses since divested; and (v) an offsetting decrease of $28 million related to the Litigation-Related Impact. Contingents for the six months of 2026 increased 154.5%, or $34 million, as compared to the same period in 2025, to $56 million. This increase was due to acquisitions completed within the last twelve months and qualifying for Contingents this year that we did not qualify for in the prior year. The Retail segment’s total commissions and fees increased by 34.0%. The Organic Revenue growth rate was 1.2% and the Organic Revenue with Contingents growth rate was 1.9% for the first six months of 2026. The Organic Revenue growth rate was driven by net new business written during the preceding twelve months and growth from renewals of existing customers. Growth for renewal business was moderated by slowing rate increases, rate decreases for certain lines of coverage, and a change to the revenue model in our specialty pharmacy consulting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the six months ended June 30, 2026 increased 27.0%, or $111 million, as compared to the same period in 2025, to $522 million. The primary factors driving this increase were: (i) a decrease in intercompany interest expense; (ii) a decrease in estimated acquisition earn-out payables; and (iii) the profit associated with the net increase in revenue as described above, partially offset by (iv) an increase in amortization expense; and (v) Acquisition/Integration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six months ended June 30, 2026 increased 34.9%, or $185 million, as compared to the same period in 2025, to $715 million. EBITDAC Margin - Adjusted for the six months ended June 30, 2026 increased to 33.2% from 33.0% in the same period in 2025. The increase in EBITDAC Margin - Adjusted was primarily driven by: (i) increased Contingents; (ii) leveraging our expense base; and (iii) lower compensation as a result of employee departures associated with the Litigation-Related Impact.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Specialty Distribution Segment</w:t>
      </w:r>
    </w:p>
    <w:p>
      <w:pPr>
        <w:pStyle w:val="TextBody"/>
        <w:bidi w:val="0"/>
        <w:spacing w:before="120" w:after="283"/>
        <w:jc w:val="left"/>
        <w:rPr>
          <w:rFonts w:ascii="Times New Roman" w:hAnsi="Times New Roman"/>
          <w:sz w:val="20"/>
        </w:rPr>
      </w:pPr>
      <w:r>
        <w:rPr>
          <w:rFonts w:ascii="Times New Roman" w:hAnsi="Times New Roman"/>
          <w:color w:val="000000"/>
          <w:sz w:val="20"/>
        </w:rPr>
        <w:t>The Specialty Distribution Segment is composed of three divisions; our programs business, operating as Arrowhead Programs; our wholesale brokerage business, operating as Bridge Specialty Group; and our specialty program business, operating as Arrowhead Specialty</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Arrowhead Programs manages a diverse portfolio of professional liability, personal lines, commercial lines, public entity and specialty programs supported by over 100 well-capitalized insurance carriers. In most cases, the insurance carriers that support these programs have delegated underwriting and, in many instances, claims-handling authority. These programs are generally distributed through a global network of independent agents and brokers, including Brown &amp; Brown retail agents, and offer targeted products and services designed for businesses, individuals, specific industries, trade groups, professions, public entities, municipalities, and niche markets. This division also operates our write-your-own flood insurance carrier, WNFIC and participates in a quota share captive and an excess of loss layer captive. WNFIC’s underwriting business consists of policies written on behalf of and fully ceded to the NFIP, as well as excess flood policies, which are fully reinsured in the private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Bridge Specialty Group offers global wholesale brokerage and delegated binding/underwriting capabilities across multiple lines, to independent agents and brokers, including Brown &amp; Brown retail agents. Our teams across the globe provide deep industry knowledge and expertise, for placements across multiple lines of coverage based on access to admitted, excess and surplus lines carriers, as well as the Lloyd’s markets in the United Kingdom.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Arrowhead Specialty offers solutions across affinity organizations, administrative services, captives, reinsurance, travel/accident, warranty, and life &amp;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Arrowhead Programs' and Arrowhead Specialty's captives businesses provide additional underwriting capacity that enables growth in core commissions and fees and allow us to participate in underwriting results with limited exposure to claims expenses. The Company has traditionally participated in underwriting profits through Contingents. These captives purchase reinsurance or participate in limited tranches of the underwriting risk in order to limit the Company's exposure to claims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81% of the Specialty Distribution segment’s commissions and fees revenue is commission based.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Financial information relating to our Specialty Distribution segment is as follows:</w:t>
      </w:r>
    </w:p>
    <w:tbl>
      <w:tblPr>
        <w:tblW w:w="10205" w:type="dxa"/>
        <w:jc w:val="left"/>
        <w:tblInd w:w="0" w:type="dxa"/>
        <w:tblLayout w:type="fixed"/>
        <w:tblCellMar>
          <w:top w:w="28" w:type="dxa"/>
          <w:left w:w="28" w:type="dxa"/>
          <w:bottom w:w="28" w:type="dxa"/>
          <w:right w:w="28" w:type="dxa"/>
        </w:tblCellMar>
      </w:tblPr>
      <w:tblGrid>
        <w:gridCol w:w="2680"/>
        <w:gridCol w:w="146"/>
        <w:gridCol w:w="211"/>
        <w:gridCol w:w="466"/>
        <w:gridCol w:w="300"/>
        <w:gridCol w:w="146"/>
        <w:gridCol w:w="211"/>
        <w:gridCol w:w="466"/>
        <w:gridCol w:w="271"/>
        <w:gridCol w:w="146"/>
        <w:gridCol w:w="177"/>
        <w:gridCol w:w="694"/>
        <w:gridCol w:w="300"/>
        <w:gridCol w:w="146"/>
        <w:gridCol w:w="211"/>
        <w:gridCol w:w="571"/>
        <w:gridCol w:w="300"/>
        <w:gridCol w:w="146"/>
        <w:gridCol w:w="211"/>
        <w:gridCol w:w="571"/>
        <w:gridCol w:w="271"/>
        <w:gridCol w:w="146"/>
        <w:gridCol w:w="177"/>
        <w:gridCol w:w="694"/>
        <w:gridCol w:w="547"/>
      </w:tblGrid>
      <w:tr>
        <w:trPr/>
        <w:tc>
          <w:tcPr>
            <w:tcW w:w="2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with Contingents growth rate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Specialty Distribution segment’s total revenues for the three months ended June 30, 2026 increased 28.1%, or $158 million, as compared to the same period in 2025, to $721 million. The $138 million increase in core commissions and fees revenue was driven by: (i) approximately $157 million related to the core commissions and fees revenue from acquisitions that had no comparable revenues in the same period of 2025; and (ii) an increase from the impact of Foreign Currency Translation of $1 million; partially offset by: (iii) a $18 million decrease in net new business, renewal business, and fee revenues; and (iv) a $2 million decline in core commission and fees revenue from dispositions that had no comparable revenues in the same period of 2026. Contingents for the second quarter of 2026 increased approximately $21 million as compared to the second quarter of 2025. This increase is a result of acquisitions completed in the past twelve months and favorable loss ratios.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Specialty Distribution segment’s total commissions and fees increased by 28.6%, with Organic Revenue decreasing 3.5% and Organic Revenue with Contingents decreasing 1.6% for the three months ended June 30, 2026. The Organic Revenue with Contingents decline was driven by: (i) increased Contingents; (ii) net new and retained business; and (iii) exposure unit expansion; which were more than offset by (iv) declining rates on catastrophe ("CAT")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June 30, 2026 increased 8.6%, or $20 million, as compared to the same period in 2025, to $253 million due to: (i) the growth of EBITDAC - Adjusted described below; (ii) a decrease in estimated acquisition earn-out payables; partially offset by: (iii) increased amortization expense; (iv) Acquisition/Integration Costs; and (v) increased depreciation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June 30, 2026 increased 17.1%, or $45 million, from the same period in 2025, to $308 million. EBITDAC Margin - Adjusted for the three months ended June 30, 2026 decreased to 42.7% from 46.7% in the same period in 2025. EBITDAC Margin - Adjusted decreased due to: (i) the decline in Organic Revenue; and (ii) investments to increase our capabilities in Europe; partially offset by: (iii) the increase in Contingents.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Specialty Distribution segment’s total revenues for the six months ended June 30, 2026 increased 33.6%, or $353 million, as compared to the same period in 2025, to $1,403 million. The $295 million increase in core commissions and fees revenue was driven by: (i) approximately $322 million related to the core commissions and fees revenue from acquisitions that had no comparable revenues in the same period of 2025; and (ii) an increase from the impact of Foreign Currency Translation of $4 million; partially offset by: (iii) a $26 million decrease in net new business, renewal business, and fee revenues; and (iv) a $5 million decline in core commission and fees revenue from dispositions that had no comparable revenues in the same period of 2026. Contingents for the six months ended June 30, 2026 increased approximately $60 million, or by 90.9%, as compared to the same period in 2025. This increase is a result of favorable loss ratios and to a lesser extent acquisitions completed in the past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Specialty Distribution segment’s total commissions and fees increased by 34.3% with Organic Revenue decreasing 2.7% and Organic Revenue with Contingents increasing 1.2%, for the six months ended June 30, 2026. The Organic Revenue with Contingents growth was driven by: (i) increased Contingents; (ii) net new and retained business; and (iii) exposure unit expansion; which were partially offset by (iv) declining rates on CAT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six months ended June 30, 2026 increased 18.8%, or $75 million to $474 million, from the same period in 2025. Income before income taxes increased due to: (i) the growth of EBITDAC - Adjusted described below; and (ii) a decrease in estimated acquisition earn-out payables; partially offset by: (iii) increased amortization expense; and (iv) Acquisition/Integration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six months ended June 30, 2026 increased 27.8%, or $128 million to $588 million, as compared to the same period in 2025. EBITDAC Margin - Adjusted for the six months ended June 30, 2026 decreased to 41.9% from 43.8% in the same period in 2025. EBITDAC Margin - Adjusted decreased due to: (i) the decline in Organic Revenue; partially offset by: (ii) the increase in Contingents; and (iii) disciplined expense management.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of the Notes to Condensed Consolidated Financial Statements, the “Other” line items in the Segment Information table includes any revenue and expenses not allocated to reportable segments, and corporate-related items, including the intercompany interest expense charges to reporting segments.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under the Third Amended and Restated Credit Agreement (the “Third Amended and Restated Credit Agreement”), which as of June 30, 2026 provided additional capacity for up to $975 million in available cash. 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will be sufficient to satisfy its normal liquidity needs, including principal payments on our long-term debt, for the next twelve months and in the long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an expansion option for up to an additional $1,000 million of borrowing capacity, subject to the approval of participating lenders. Including the expansion options under all existing credit agreements, the Company has access to up to $1,975 million of incremental borrowing capacity as of June 30, 2026.</w:t>
      </w:r>
    </w:p>
    <w:p>
      <w:pPr>
        <w:pStyle w:val="TextBody"/>
        <w:bidi w:val="0"/>
        <w:spacing w:before="120" w:after="283"/>
        <w:jc w:val="left"/>
        <w:rPr>
          <w:rFonts w:ascii="Times New Roman" w:hAnsi="Times New Roman"/>
          <w:sz w:val="20"/>
        </w:rPr>
      </w:pPr>
      <w:r>
        <w:rPr>
          <w:rFonts w:ascii="Times New Roman" w:hAnsi="Times New Roman"/>
          <w:color w:val="000000"/>
          <w:sz w:val="20"/>
        </w:rPr>
        <w:t>Cash and cash equivalents totaled $918 million at June 30, 2026 reflecting a decrease of $161 million from the $1,079 million balance at December 31, 2025. This decrease was primarily driven by share repurchases and deferred contingent consideration payments, partially offset by cash generated from operations</w:t>
      </w:r>
      <w:r>
        <w:rPr>
          <w:rFonts w:ascii="Segoe UI;sans-serif" w:hAnsi="Segoe UI;sans-serif"/>
          <w:color w:val="000000"/>
          <w:sz w:val="21"/>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cash flows are primarily derived from the net income generated during the period adjusted for non-cash expenses, which include depreciation, amortization, changes in estimated earnout payables, mark-to-market escrow liability, non-cash stock-based compensation and deferred income taxes while excluding gains and losses on sales/disposals of investments, businesses, fixed assets and customer accounts, payments on acquisition earn-outs in excess of original estimated payables and changes in working capital which relate primarily to the timing of payments of accrued liabilities and receipts of receivables from commissions and fees related to our revenues. Our ratio of current assets to current liabilities was 1.13 and 1.04 for June 30, 2026 and December 31,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generated from operating activities totaled $608 million and $538 million for the six months ended June 30, 2026 and 2025, respectively, representing an increase of $70 million. Operating cash flows generated in 2026 included $716 million from net income before non-controlling interests with $303 million of non-cash adjustments, offset by $411 million from changes in working capital. The growth in cash from operations is primarily due to recent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flows used for investing activities were $71 million and $187 million for the six months ended June 30, 2026 and 2025, respectively, a decrease of $116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completed 14 acquisitions (including book purchases) and paid $30 million net of cash acquired, and including cash and cash equivalents held in a fiduciary capacity. Net cash paid for acquisitions decreased $131 million in the six months ended June 30, 2026, from $161 million during the same period in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Dispositions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$3 million from the sale of businesses, fixed assets and customer accounts during the six months ended June 30, 2026, compared to $10 million proceeds received in the same period in 2025. The decrease is attributed to smaller sales of businesses in the current period.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amounted to $38 million and $32 million in the six months ended June 30, 2026 and 2025, respectively, and included purchases of furniture and fixtures, leasehold improvements related to office moves and hardware and software purchases related to information technology investments.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Financing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flows used by financing activities totaled $526 million and net cash flows sourced totaled $7,981 million in the six months ended June 30, 2026 and 2025, respectively. The decrease of $8,507 million in sourced financing activities was primarily driven by the proceeds of the Company's follow-on common stock offering and senior notes issuance in June 2025, held in preparation for the closing of the Company's acquisition of Accession, offset by share repurchases and deferred contingent consideration payments in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Fiduciary Receivables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Fiduciary cash represents funds in the Company's possession collected from customers to be remitted to insurance companies and funds from insurance companies to be distributed to insureds for the settlement of claims or refunds. The net change in fiduciary cash is represented by the net change in fiduciary liabilities and fiduciary receivables and is presented as cash flows from financing activities in the statement of cash flows. Financing cash flows reflect an increase of $157 million and $119 million in the six months ended June 30, 2026 and 2025, respectively, related to fiduciary receivables and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 Earn-outs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contingent consideration payments totaled $224 million and $46 million during the six months ended June 30, 2026 and 2025, respectively, including $184 million and $45 million, respectively, classified as financing activities related to acquisition earn-outs associated with original acquisition-date estimates.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the Company paid cash dividends of $112 million and $86 million, respectively, an increase of $26 million, or 30.2%. On July 22, 2026, the Board of Directors approved a quarterly cash dividend of $0.165 per share to be paid on August 19,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proceeds from long term debt totaled $141 million in the six months ended June 30, 2026, compared to net cash proceeds of $3,718 million in the same period of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debt at June 30, 2026 was $7,759 million net of unamortized discount and debt issuance costs, which was an increase of $146 million compared to December 31, 2025. The increase includes the drawdown of $225 million on the Revolving Credit Facility and the amortization of discounted debt related to our various unsecured senior notes and debt issuance cost amortization of $5 million, offset by $81 million of payments on outstanding term loan and Revolving Credit Facility balances and an additional $3 million of deferred financing costs associated with the Third Amended and Restated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2026, the Company entered into the Third Amended and Restated Credit Agreement with the lenders named therein, JPMorgan Chase Bank, N.A. as administrative agent, Bank of America, N.A., Truist Bank and BMO Bank N.A. as co-syndication agents, and U.S. Bank National Association, Fifth Third Bank, National Association, Wells Fargo Bank, National Association, PNC Bank, National Association, HSBC Bank USA, National Association, Citizens Bank, N.A., The Huntington National Bank, and Barclays Bank PLC as co-documentation agents. The Third Amended and Restated Credit Agreement amended and restated the credit agreement dated October 27, 2021, which amended and restated the prior credit agreement, terminated the Company's existing term loan facility, and refinanced the outstanding borrowings thereunder into new term loan facilities. The agreement increased revolving credit commitments from $800 million to $1.25 billion and extended the maturity date to June 5, 2031. The agreement also provides for a $250 million term loan due June 5, 2029 and a $250 million term loan due June 5, 2031. Total borrowings outstanding under the facilities were approximately $775 million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made $6 million of scheduled principal payments on its Second Amended and Restated Credit Agreement term loan. On June 5, 2026, the remaining $163 million outstanding under the term loan was refinanced and consolidated into the Third Amended and Restated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repaid $25 million of principal related to the Term Loans issued under the Term A-2 Loan Commitment (“Term A-2 Loans”). Upon execution of the Third Amended and Restated Credit Agreement on June 5, 2026, the remaining $338 million outstanding was refinanced and consolidated into the new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the Company drew $225 million on the Revolving Credit Facility in connection with a share repurchase program. The Company has repaid $50 million of the balance as of June 30, 2026. There is an outstanding balance of $275 million on the Revolving Credit Facility as of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12, 2026, the Company entered into accelerated share repurchase agreement ("ASR") with an investment bank to purchase an aggregate $250 million of the Company's common stock. The program ended on March 9, 2026 and during the period, the Company received a total of 3,574,890 shares of the Company's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repurchased an additional 4,279,712 shares for $250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the remaining amount authorized by our board of directors for share repurchases was approximately $900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Cash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our contractual cash obligations were as follows:</w:t>
      </w:r>
    </w:p>
    <w:tbl>
      <w:tblPr>
        <w:tblW w:w="10131" w:type="dxa"/>
        <w:jc w:val="left"/>
        <w:tblInd w:w="0" w:type="dxa"/>
        <w:tblLayout w:type="fixed"/>
        <w:tblCellMar>
          <w:top w:w="28" w:type="dxa"/>
          <w:left w:w="28" w:type="dxa"/>
          <w:bottom w:w="28" w:type="dxa"/>
          <w:right w:w="28" w:type="dxa"/>
        </w:tblCellMar>
      </w:tblPr>
      <w:tblGrid>
        <w:gridCol w:w="4411"/>
        <w:gridCol w:w="146"/>
        <w:gridCol w:w="211"/>
        <w:gridCol w:w="676"/>
        <w:gridCol w:w="146"/>
        <w:gridCol w:w="146"/>
        <w:gridCol w:w="211"/>
        <w:gridCol w:w="571"/>
        <w:gridCol w:w="146"/>
        <w:gridCol w:w="146"/>
        <w:gridCol w:w="211"/>
        <w:gridCol w:w="571"/>
        <w:gridCol w:w="146"/>
        <w:gridCol w:w="146"/>
        <w:gridCol w:w="211"/>
        <w:gridCol w:w="571"/>
        <w:gridCol w:w="146"/>
        <w:gridCol w:w="146"/>
        <w:gridCol w:w="211"/>
        <w:gridCol w:w="571"/>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liabilities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Maximum future acquisition contingent payments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Total contractual cash obligations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the escrow liability which is included within “Other Long-Term Liabilities” issued in connection with the Transaction. The liability reflects the fair value of shares and cash held in escrow to secure certain indemnification obligations of the Accession equityholders related to businesses that are in run-off or discontinued. Once all claims related to certain indemnification matters described in the Merger Agreement are resolved, the remaining amount in the escrow account will be released to the equityholders. The Company believes this escrow, plus other available funds, is sufficient to cover any potential costs associated with those specified matters subject to indemnification under the Merger Agreement. The fair value of the escrow liability is remeasured at each reporting date, with changes recognized in earnings. The timing and amount of any future settlement remains subject to the achievement of contractual milestones and may vary from the amounts disclosed. The value as of June 30, 2026, was $552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$310 million of current and non-current estimated acquisition earn-out payables. Earn-out payables for acquisitions not denominated in U.S. dollars are measured at the current foreign exchange rate. Certain acquisition agreements include provisions with no maximum potential earn-out amount. The amount recorded for these acquisitions as of June 30, 2026 is $190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include approximately $55 million of current liability for a dividend of $0.1650 per share approved by the Board of Directors on July 22, 2026 to be paid on August 19,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invested assets are held primarily as cash and cash equivalents, restricted cash, available-for-sale marketable debt securities, non-marketable debt securities, certificates of deposit, U.S. Treasury securities, and professionally managed short duration fixed income funds. These investments are subject to interest rate risk. The fair value of our invested assets at June 30, 2026 and December 31, 2025 approximated their respective carrying values due to their short-term duration and therefore, such market risk is not considered to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actively invest or trade in equity securities. In addition, we generally dispose of any significant equity securities received in conjunction with an acquisition shortly after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$775 million outstanding under the Third Amended and Restated Credit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international operations do not have material transactions in currencies other than their functional currency which would expose the Company to transactional currency rate risk. We are subject to translation exchange rate risk having businesses operating outside of the U.S. in the following functional currencies, British pounds, Canadian dollar, euros and, to a lesser extent, other currencies. Based upon our foreign currency rate exposure as of June 30, 2026, an immediate 10% hypothetical change of foreign currency exchange rates would not have a material effect on our Condensed Consolidated Financial Statements.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June 30, 2026.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not been any change in our internal control over financial reporting identified in connection with the Evaluation that occurred during the quarter ended June 30, 2026,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and CFO Certifications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Item 3 of Part I of the Company’s Annual Report on Form 10-K for its fiscal year ended December 31, 2025, certain information concerning litigation claims arising in the ordinary course of business was disclosed. Such information was current as of the date of filing. During the Company’s fiscal quarter ended June 30, 2026, no new legal proceedings, or material developments with respect to existing legal proceedings, occurred which require disclosure in this Quarterly Report on Form 10-Q.</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in the risk factors previously disclosed in Item 1A, “Risk Factors” of the Company’s Annual Report on Form 10-K for the year ended December 31, 2025.</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of shares of our common stock during the three months ended June 30, 2026:</w:t>
      </w:r>
    </w:p>
    <w:p>
      <w:pPr>
        <w:pStyle w:val="TextBody"/>
        <w:bidi w:val="0"/>
        <w:jc w:val="left"/>
        <w:rPr/>
      </w:pPr>
      <w:r>
        <w:rPr/>
        <w:t> </w:t>
      </w:r>
    </w:p>
    <w:tbl>
      <w:tblPr>
        <w:tblW w:w="9679" w:type="dxa"/>
        <w:jc w:val="left"/>
        <w:tblInd w:w="0" w:type="dxa"/>
        <w:tblLayout w:type="fixed"/>
        <w:tblCellMar>
          <w:top w:w="28" w:type="dxa"/>
          <w:left w:w="28" w:type="dxa"/>
          <w:bottom w:w="28" w:type="dxa"/>
          <w:right w:w="28" w:type="dxa"/>
        </w:tblCellMar>
      </w:tblPr>
      <w:tblGrid>
        <w:gridCol w:w="2641"/>
        <w:gridCol w:w="146"/>
        <w:gridCol w:w="148"/>
        <w:gridCol w:w="947"/>
        <w:gridCol w:w="146"/>
        <w:gridCol w:w="146"/>
        <w:gridCol w:w="307"/>
        <w:gridCol w:w="833"/>
        <w:gridCol w:w="146"/>
        <w:gridCol w:w="146"/>
        <w:gridCol w:w="193"/>
        <w:gridCol w:w="1232"/>
        <w:gridCol w:w="146"/>
        <w:gridCol w:w="146"/>
        <w:gridCol w:w="528"/>
        <w:gridCol w:w="1437"/>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w:t>
              <w:br/>
              <w:t>of shares</w:t>
              <w:br/>
              <w:t xml:space="preserve">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 value of shares</w:t>
              <w:br/>
              <w:t>that may yet be</w:t>
              <w:br/>
              <w:t>purchased</w:t>
              <w:br/>
              <w:t>under the plans</w:t>
              <w:br/>
              <w:t xml:space="preserve">or programs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4,279,712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total of (a) 13,844 shares reported in this column are attributable to shares withheld for taxes in connection with vesting of restricted stock awards and restricted stock units under our 2019 Stock Incentive Plan, and (b) 4,279,712 shares reported in this column were repurchased at an average price per share of $58.40 for a total cost of $250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18, 2014, the board of directors authorized the repurchase of up to $200 million of the Company's shares of common stock, on July 20, 2015, the board of directors authorized the repurchase of an additional $400 million of the Company's shares of common stock, on May 1, 2019, the board of directors approved an additional repurchase authorization amount of $373 million and on October 22, 2025, the board of directors approved an additional $1,251 million increase to our existing share repurchase authorization, bringing the total remaining repurchase capacity at that time to approximately $1,500 million. After completing these open market repurchases, the Company’s outstanding board approved share repurchase authorization as of June 30, 2026, was approximately $900 million. Between January 1, 2014 and June 30, 2026, the Company repurchased a total of approximately 29 million shares for an aggregate cost of approximately $1,348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Dollar values stated in millions.</w:t>
      </w:r>
    </w:p>
    <w:p>
      <w:pPr>
        <w:pStyle w:val="TextBody"/>
        <w:bidi w:val="0"/>
        <w:spacing w:before="240" w:after="283"/>
        <w:jc w:val="left"/>
        <w:rPr>
          <w:rFonts w:ascii="Times New Roman" w:hAnsi="Times New Roman"/>
          <w:b/>
          <w:color w:val="000000"/>
          <w:sz w:val="20"/>
        </w:rPr>
      </w:pPr>
      <w:bookmarkStart w:id="18" w:name="itme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none of the Company’s officers or directors adopted or terminated any “Rule 10b5-1 trading arrangement” or any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a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
        <w:gridCol w:w="176"/>
        <w:gridCol w:w="9377"/>
      </w:tblGrid>
      <w:tr>
        <w:trPr/>
        <w:tc>
          <w:tcPr>
            <w:tcW w:w="6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77" w:type="dxa"/>
            <w:tcBorders/>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Articles of Incorporation of the Company (adopted January 18, 2023) (incorporated by reference to Exhibit 3.1 to Form 8-K filed on January 19, 2023).</w:t>
              </w:r>
            </w:hyperlink>
          </w:p>
        </w:tc>
      </w:tr>
      <w:tr>
        <w:trPr/>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(incorporated by reference to Exhibit 3.2 to Form 8-K filed on January 19, 2023).</w:t>
              </w:r>
            </w:hyperlink>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w:anchor="bro-ex10_1.htm">
              <w:r>
                <w:rPr>
                  <w:rStyle w:val="InternetLink"/>
                  <w:rFonts w:ascii="Times New Roman" w:hAnsi="Times New Roman"/>
                  <w:color w:val="0000FF"/>
                  <w:sz w:val="20"/>
                  <w:u w:val="single"/>
                </w:rPr>
                <w:t>Third Amended and Restated Credit Agreement, dated June 5, 2026, among the Registrant, JPMorgan Chase Bank, N.A., Bank of America, N.A., Truist Bank, BMO Bank N.A. and the other parties thereto.</w:t>
              </w:r>
            </w:hyperlink>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Brown &amp; Brown, Inc. 2019 Stock Incentive Plan (incorporated by reference to Exhibit 10.1 to Form 8-K filed on May 7, 2026).</w:t>
              </w:r>
            </w:hyperlink>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pPr>
            <w:hyperlink w:anchor="bro-ex31_1.htm">
              <w:r>
                <w:rPr>
                  <w:rStyle w:val="InternetLink"/>
                  <w:rFonts w:ascii="Times New Roman" w:hAnsi="Times New Roman"/>
                  <w:color w:val="0000FF"/>
                  <w:sz w:val="20"/>
                  <w:u w:val="single"/>
                </w:rPr>
                <w:t>Rule 13a-14(a)/15d-14(a) Certification by the Chief Executive Officer of the Registrant.</w:t>
              </w:r>
            </w:hyperlink>
          </w:p>
        </w:tc>
      </w:tr>
      <w:tr>
        <w:trPr/>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pPr>
            <w:hyperlink w:anchor="bro-ex31_2.htm">
              <w:r>
                <w:rPr>
                  <w:rStyle w:val="InternetLink"/>
                  <w:rFonts w:ascii="Times New Roman" w:hAnsi="Times New Roman"/>
                  <w:color w:val="0000FF"/>
                  <w:sz w:val="20"/>
                  <w:u w:val="single"/>
                </w:rPr>
                <w:t>Rule 13a-14(a)/15d-14(a) Certification by the Chief Financial Officer of the Registrant.</w:t>
              </w:r>
            </w:hyperlink>
          </w:p>
        </w:tc>
      </w:tr>
      <w:tr>
        <w:trPr/>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pPr>
            <w:hyperlink w:anchor="bro-ex32_1.htm">
              <w:r>
                <w:rPr>
                  <w:rStyle w:val="InternetLink"/>
                  <w:rFonts w:ascii="Times New Roman" w:hAnsi="Times New Roman"/>
                  <w:color w:val="0000FF"/>
                  <w:sz w:val="20"/>
                  <w:u w:val="single"/>
                </w:rPr>
                <w:t>Section 1350 Certification by the Chief Executive Officer of the Registrant.</w:t>
              </w:r>
            </w:hyperlink>
          </w:p>
        </w:tc>
      </w:tr>
      <w:tr>
        <w:trPr/>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32.2</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pPr>
            <w:hyperlink w:anchor="bro-ex32_2.htm">
              <w:r>
                <w:rPr>
                  <w:rStyle w:val="InternetLink"/>
                  <w:rFonts w:ascii="Times New Roman" w:hAnsi="Times New Roman"/>
                  <w:color w:val="0000FF"/>
                  <w:sz w:val="20"/>
                  <w:u w:val="single"/>
                </w:rPr>
                <w:t>Section 1350 Certification by the Chief Financial Officer of the Registrant.</w:t>
              </w:r>
            </w:hyperlink>
          </w:p>
        </w:tc>
      </w:tr>
      <w:tr>
        <w:trPr/>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101</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the Company’s Quarterly Report on Form 10-Q for the quarter ended June 30, 2026,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tc>
      </w:tr>
      <w:tr>
        <w:trPr/>
        <w:tc>
          <w:tcPr>
            <w:tcW w:w="6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104</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93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included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Certain exhibits and schedules have been omitted pursuant to Item 601(a)(5) of Regulation S-K. The Company hereby undertakes to furnish supplemental copies of any of the omitted exhibits and schedules upon request by the SEC; provided, however, that the Company may request confidential treatment pursuant to Rule 24b-2 of the Exchange Act, for any exhibits or schedules so furnished.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63" w:type="dxa"/>
        <w:jc w:val="left"/>
        <w:tblInd w:w="0" w:type="dxa"/>
        <w:tblLayout w:type="fixed"/>
        <w:tblCellMar>
          <w:top w:w="28" w:type="dxa"/>
          <w:left w:w="28" w:type="dxa"/>
          <w:bottom w:w="28" w:type="dxa"/>
          <w:right w:w="28" w:type="dxa"/>
        </w:tblCellMar>
      </w:tblPr>
      <w:tblGrid>
        <w:gridCol w:w="1711"/>
        <w:gridCol w:w="146"/>
        <w:gridCol w:w="460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BROWN &amp; BROWN,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Andrew Watts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and 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(duly authorized officer,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bookmarkStart w:id="21" w:name="bro-ex10_1.htm"/>
      <w:bookmarkStart w:id="22" w:name="ksbroex10_1"/>
      <w:bookmarkEnd w:id="21"/>
      <w:bookmarkEnd w:id="22"/>
      <w:r>
        <w:rPr/>
        <w:t> </w:t>
      </w:r>
      <w:r>
        <w:br w:type="page"/>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EXECUTION COPY</w:t>
      </w:r>
    </w:p>
    <w:tbl>
      <w:tblPr>
        <w:tblW w:w="9361" w:type="dxa"/>
        <w:jc w:val="left"/>
        <w:tblInd w:w="0" w:type="dxa"/>
        <w:tblLayout w:type="fixed"/>
        <w:tblCellMar>
          <w:top w:w="28" w:type="dxa"/>
          <w:left w:w="28" w:type="dxa"/>
          <w:bottom w:w="28" w:type="dxa"/>
          <w:right w:w="28" w:type="dxa"/>
        </w:tblCellMar>
      </w:tblPr>
      <w:tblGrid>
        <w:gridCol w:w="9361"/>
      </w:tblGrid>
      <w:tr>
        <w:trPr/>
        <w:tc>
          <w:tcPr>
            <w:tcW w:w="9361" w:type="dxa"/>
            <w:tcBorders/>
            <w:vAlign w:val="center"/>
          </w:tcPr>
          <w:p>
            <w:pPr>
              <w:pStyle w:val="TableContents"/>
              <w:bidi w:val="0"/>
              <w:spacing w:before="0" w:after="283"/>
              <w:jc w:val="left"/>
              <w:rPr>
                <w:sz w:val="4"/>
                <w:szCs w:val="4"/>
              </w:rPr>
            </w:pPr>
            <w:r>
              <w:rPr>
                <w:sz w:val="4"/>
                <w:szCs w:val="4"/>
              </w:rPr>
            </w:r>
          </w:p>
        </w:tc>
      </w:tr>
      <w:tr>
        <w:trPr/>
        <w:tc>
          <w:tcPr>
            <w:tcW w:w="9361" w:type="dxa"/>
            <w:tcBorders>
              <w:top w:val="double" w:sz="4" w:space="0" w:color="000000"/>
            </w:tcBorders>
            <w:tcMar>
              <w:left w:w="0" w:type="dxa"/>
              <w:bottom w:w="0" w:type="dxa"/>
              <w:right w:w="0" w:type="dxa"/>
            </w:tcMar>
            <w:vAlign w:val="center"/>
          </w:tcPr>
          <w:p>
            <w:pPr>
              <w:pStyle w:val="TableContents"/>
              <w:bidi w:val="0"/>
              <w:jc w:val="center"/>
              <w:rPr>
                <w:rFonts w:ascii="Times New Roman" w:hAnsi="Times New Roman"/>
                <w:sz w:val="22"/>
              </w:rPr>
            </w:pPr>
            <w:r>
              <w:rPr>
                <w:rFonts w:ascii="Times New Roman" w:hAnsi="Times New Roman"/>
                <w:color w:val="000000"/>
                <w:sz w:val="22"/>
              </w:rPr>
              <w:br/>
            </w:r>
            <w:r>
              <w:rPr>
                <w:rFonts w:ascii="Times New Roman" w:hAnsi="Times New Roman"/>
                <w:sz w:val="22"/>
              </w:rPr>
              <w:drawing>
                <wp:inline distT="0" distB="0" distL="0" distR="0">
                  <wp:extent cx="186690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866900" cy="409575"/>
                          </a:xfrm>
                          <a:prstGeom prst="rect">
                            <a:avLst/>
                          </a:prstGeom>
                        </pic:spPr>
                      </pic:pic>
                    </a:graphicData>
                  </a:graphic>
                </wp:inline>
              </w:drawing>
            </w:r>
            <w:r>
              <w:rPr>
                <w:rFonts w:ascii="Times New Roman" w:hAnsi="Times New Roman"/>
                <w:color w:val="000000"/>
                <w:sz w:val="22"/>
              </w:rPr>
              <w:t> </w:t>
            </w:r>
          </w:p>
          <w:p>
            <w:pPr>
              <w:pStyle w:val="TableContents"/>
              <w:bidi w:val="0"/>
              <w:spacing w:before="0" w:after="283"/>
              <w:jc w:val="left"/>
              <w:rPr/>
            </w:pPr>
            <w:r>
              <w:rPr/>
              <w:t> </w:t>
            </w:r>
          </w:p>
        </w:tc>
      </w:tr>
      <w:tr>
        <w:trPr/>
        <w:tc>
          <w:tcPr>
            <w:tcW w:w="93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THIRD AMENDED AND RESTATED CREDIT AGREEMENT</w:t>
            </w:r>
          </w:p>
          <w:p>
            <w:pPr>
              <w:pStyle w:val="TableContents"/>
              <w:bidi w:val="0"/>
              <w:jc w:val="center"/>
              <w:rPr>
                <w:rFonts w:ascii="Times New Roman" w:hAnsi="Times New Roman"/>
                <w:color w:val="000000"/>
                <w:sz w:val="22"/>
              </w:rPr>
            </w:pPr>
            <w:r>
              <w:rPr>
                <w:rFonts w:ascii="Times New Roman" w:hAnsi="Times New Roman"/>
                <w:color w:val="000000"/>
                <w:sz w:val="22"/>
              </w:rPr>
              <w:br/>
              <w:t>dated as of</w:t>
            </w:r>
          </w:p>
          <w:p>
            <w:pPr>
              <w:pStyle w:val="TableContents"/>
              <w:bidi w:val="0"/>
              <w:jc w:val="center"/>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June 5, 2026</w:t>
              <w:br/>
              <w:t> </w:t>
            </w:r>
          </w:p>
          <w:p>
            <w:pPr>
              <w:pStyle w:val="TableContents"/>
              <w:bidi w:val="0"/>
              <w:jc w:val="center"/>
              <w:rPr>
                <w:rFonts w:ascii="Times New Roman" w:hAnsi="Times New Roman"/>
                <w:color w:val="000000"/>
                <w:sz w:val="22"/>
              </w:rPr>
            </w:pPr>
            <w:r>
              <w:rPr>
                <w:rFonts w:ascii="Times New Roman" w:hAnsi="Times New Roman"/>
                <w:color w:val="000000"/>
                <w:sz w:val="22"/>
              </w:rPr>
              <w:t>among</w:t>
              <w:br/>
              <w:t> </w:t>
            </w:r>
          </w:p>
          <w:p>
            <w:pPr>
              <w:pStyle w:val="TableContents"/>
              <w:bidi w:val="0"/>
              <w:jc w:val="center"/>
              <w:rPr>
                <w:rFonts w:ascii="Times New Roman" w:hAnsi="Times New Roman"/>
                <w:color w:val="000000"/>
                <w:sz w:val="22"/>
              </w:rPr>
            </w:pPr>
            <w:r>
              <w:rPr>
                <w:rFonts w:ascii="Times New Roman" w:hAnsi="Times New Roman"/>
                <w:color w:val="000000"/>
                <w:sz w:val="22"/>
              </w:rPr>
              <w:t>BROWN &amp; BROWN, INC.</w:t>
              <w:br/>
              <w:br/>
              <w:t>The Subsidiary Borrowers Party Hereto</w:t>
            </w:r>
          </w:p>
          <w:p>
            <w:pPr>
              <w:pStyle w:val="TableContents"/>
              <w:bidi w:val="0"/>
              <w:jc w:val="center"/>
              <w:rPr>
                <w:rFonts w:ascii="Times New Roman" w:hAnsi="Times New Roman"/>
                <w:color w:val="000000"/>
                <w:sz w:val="22"/>
              </w:rPr>
            </w:pPr>
            <w:r>
              <w:rPr>
                <w:rFonts w:ascii="Times New Roman" w:hAnsi="Times New Roman"/>
                <w:color w:val="000000"/>
                <w:sz w:val="22"/>
              </w:rPr>
              <w:br/>
              <w:t>The Lenders Party Hereto</w:t>
              <w:br/>
              <w:t> </w:t>
            </w:r>
          </w:p>
          <w:p>
            <w:pPr>
              <w:pStyle w:val="TableContents"/>
              <w:bidi w:val="0"/>
              <w:jc w:val="center"/>
              <w:rPr>
                <w:rFonts w:ascii="Times New Roman" w:hAnsi="Times New Roman"/>
                <w:color w:val="000000"/>
                <w:sz w:val="22"/>
              </w:rPr>
            </w:pPr>
            <w:r>
              <w:rPr>
                <w:rFonts w:ascii="Times New Roman" w:hAnsi="Times New Roman"/>
                <w:color w:val="000000"/>
                <w:sz w:val="22"/>
              </w:rPr>
              <w:t xml:space="preserve">JPMORGAN CHASE BANK, N.A. </w:t>
              <w:br/>
              <w:t>as Administrative Agent</w:t>
            </w:r>
          </w:p>
          <w:p>
            <w:pPr>
              <w:pStyle w:val="TableContents"/>
              <w:bidi w:val="0"/>
              <w:jc w:val="center"/>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BANK OF AMERICA, N.A.,</w:t>
            </w:r>
          </w:p>
          <w:p>
            <w:pPr>
              <w:pStyle w:val="TableContents"/>
              <w:bidi w:val="0"/>
              <w:jc w:val="center"/>
              <w:rPr>
                <w:rFonts w:ascii="Times New Roman" w:hAnsi="Times New Roman"/>
                <w:color w:val="000000"/>
                <w:sz w:val="22"/>
              </w:rPr>
            </w:pPr>
            <w:r>
              <w:rPr>
                <w:rFonts w:ascii="Times New Roman" w:hAnsi="Times New Roman"/>
                <w:color w:val="000000"/>
                <w:sz w:val="22"/>
              </w:rPr>
              <w:t>BMO BANK N.A. and</w:t>
            </w:r>
          </w:p>
          <w:p>
            <w:pPr>
              <w:pStyle w:val="TableContents"/>
              <w:bidi w:val="0"/>
              <w:jc w:val="center"/>
              <w:rPr>
                <w:rFonts w:ascii="Times New Roman" w:hAnsi="Times New Roman"/>
                <w:color w:val="000000"/>
                <w:sz w:val="22"/>
              </w:rPr>
            </w:pPr>
            <w:r>
              <w:rPr>
                <w:rFonts w:ascii="Times New Roman" w:hAnsi="Times New Roman"/>
                <w:color w:val="000000"/>
                <w:sz w:val="22"/>
              </w:rPr>
              <w:t>TRUIST BANK</w:t>
            </w:r>
          </w:p>
          <w:p>
            <w:pPr>
              <w:pStyle w:val="TableContents"/>
              <w:bidi w:val="0"/>
              <w:jc w:val="center"/>
              <w:rPr>
                <w:rFonts w:ascii="Times New Roman" w:hAnsi="Times New Roman"/>
                <w:color w:val="000000"/>
                <w:sz w:val="22"/>
              </w:rPr>
            </w:pPr>
            <w:r>
              <w:rPr>
                <w:rFonts w:ascii="Times New Roman" w:hAnsi="Times New Roman"/>
                <w:color w:val="000000"/>
                <w:sz w:val="22"/>
              </w:rPr>
              <w:t>as Co-Syndication Agents</w:t>
            </w:r>
          </w:p>
          <w:p>
            <w:pPr>
              <w:pStyle w:val="TableContents"/>
              <w:bidi w:val="0"/>
              <w:jc w:val="left"/>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and</w:t>
            </w:r>
          </w:p>
          <w:p>
            <w:pPr>
              <w:pStyle w:val="TableContents"/>
              <w:bidi w:val="0"/>
              <w:jc w:val="center"/>
              <w:rPr>
                <w:rFonts w:ascii="Times New Roman" w:hAnsi="Times New Roman"/>
                <w:color w:val="000000"/>
                <w:sz w:val="22"/>
              </w:rPr>
            </w:pPr>
            <w:r>
              <w:rPr>
                <w:rFonts w:ascii="Times New Roman" w:hAnsi="Times New Roman"/>
                <w:color w:val="000000"/>
                <w:sz w:val="22"/>
              </w:rPr>
              <w:br/>
              <w:t>FIFTH THIRD BANK, NATIONAL ASSOCIATION,</w:t>
            </w:r>
          </w:p>
          <w:p>
            <w:pPr>
              <w:pStyle w:val="TableContents"/>
              <w:bidi w:val="0"/>
              <w:jc w:val="center"/>
              <w:rPr>
                <w:rFonts w:ascii="Times New Roman" w:hAnsi="Times New Roman"/>
                <w:color w:val="000000"/>
                <w:sz w:val="22"/>
              </w:rPr>
            </w:pPr>
            <w:r>
              <w:rPr>
                <w:rFonts w:ascii="Times New Roman" w:hAnsi="Times New Roman"/>
                <w:color w:val="000000"/>
                <w:sz w:val="22"/>
              </w:rPr>
              <w:t>HSBC BANK USA, NATIONAL ASSOCIATION, PNC BANK, NATIONAL ASSOCIATION,</w:t>
            </w:r>
          </w:p>
          <w:p>
            <w:pPr>
              <w:pStyle w:val="TableContents"/>
              <w:bidi w:val="0"/>
              <w:jc w:val="center"/>
              <w:rPr>
                <w:rFonts w:ascii="Times New Roman" w:hAnsi="Times New Roman"/>
                <w:color w:val="000000"/>
                <w:sz w:val="22"/>
              </w:rPr>
            </w:pPr>
            <w:r>
              <w:rPr>
                <w:rFonts w:ascii="Times New Roman" w:hAnsi="Times New Roman"/>
                <w:color w:val="000000"/>
                <w:sz w:val="22"/>
              </w:rPr>
              <w:t>U.S. BANK NATIONAL ASSOCIATION, WELLS FARGO BANK, NATIONAL ASSOCIATION,</w:t>
            </w:r>
          </w:p>
          <w:p>
            <w:pPr>
              <w:pStyle w:val="TableContents"/>
              <w:bidi w:val="0"/>
              <w:jc w:val="center"/>
              <w:rPr>
                <w:rFonts w:ascii="Times New Roman" w:hAnsi="Times New Roman"/>
                <w:color w:val="000000"/>
                <w:sz w:val="22"/>
              </w:rPr>
            </w:pPr>
            <w:r>
              <w:rPr>
                <w:rFonts w:ascii="Times New Roman" w:hAnsi="Times New Roman"/>
                <w:color w:val="000000"/>
                <w:sz w:val="22"/>
              </w:rPr>
              <w:t>BARCLAYS BANK PLC, CITIZENS BANK, N.A. and</w:t>
            </w:r>
          </w:p>
          <w:p>
            <w:pPr>
              <w:pStyle w:val="TableContents"/>
              <w:bidi w:val="0"/>
              <w:jc w:val="center"/>
              <w:rPr>
                <w:rFonts w:ascii="Times New Roman" w:hAnsi="Times New Roman"/>
                <w:color w:val="000000"/>
                <w:sz w:val="22"/>
              </w:rPr>
            </w:pPr>
            <w:r>
              <w:rPr>
                <w:rFonts w:ascii="Times New Roman" w:hAnsi="Times New Roman"/>
                <w:color w:val="000000"/>
                <w:sz w:val="22"/>
              </w:rPr>
              <w:t>THE HUNTINGTON NATIONAL BANK</w:t>
            </w:r>
          </w:p>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as Co-Documentation Agents</w:t>
              <w:br/>
              <w:t> </w:t>
            </w:r>
          </w:p>
        </w:tc>
      </w:tr>
      <w:tr>
        <w:trPr/>
        <w:tc>
          <w:tcPr>
            <w:tcW w:w="936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9361" w:type="dxa"/>
            <w:tcBorders>
              <w:bottom w:val="doub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JPMORGAN CHASE BANK, N.A.,</w:t>
              <w:br/>
              <w:t>BofA SECURITIES, INC.,</w:t>
            </w:r>
          </w:p>
          <w:p>
            <w:pPr>
              <w:pStyle w:val="TableContents"/>
              <w:bidi w:val="0"/>
              <w:jc w:val="center"/>
              <w:rPr>
                <w:rFonts w:ascii="Times New Roman" w:hAnsi="Times New Roman"/>
                <w:color w:val="000000"/>
                <w:sz w:val="22"/>
              </w:rPr>
            </w:pPr>
            <w:r>
              <w:rPr>
                <w:rFonts w:ascii="Times New Roman" w:hAnsi="Times New Roman"/>
                <w:color w:val="000000"/>
                <w:sz w:val="22"/>
              </w:rPr>
              <w:t>BMO CAPITAL MARKETS CORP. and</w:t>
            </w:r>
          </w:p>
          <w:p>
            <w:pPr>
              <w:pStyle w:val="TableContents"/>
              <w:bidi w:val="0"/>
              <w:jc w:val="center"/>
              <w:rPr>
                <w:rFonts w:ascii="Times New Roman" w:hAnsi="Times New Roman"/>
                <w:color w:val="000000"/>
                <w:sz w:val="22"/>
              </w:rPr>
            </w:pPr>
            <w:r>
              <w:rPr>
                <w:rFonts w:ascii="Times New Roman" w:hAnsi="Times New Roman"/>
                <w:color w:val="000000"/>
                <w:sz w:val="22"/>
              </w:rPr>
              <w:t>TRUIST SECURITIES, INC.</w:t>
            </w:r>
          </w:p>
          <w:p>
            <w:pPr>
              <w:pStyle w:val="TableContents"/>
              <w:bidi w:val="0"/>
              <w:jc w:val="center"/>
              <w:rPr>
                <w:rFonts w:ascii="Times New Roman" w:hAnsi="Times New Roman"/>
                <w:color w:val="000000"/>
                <w:sz w:val="22"/>
              </w:rPr>
            </w:pPr>
            <w:r>
              <w:rPr>
                <w:rFonts w:ascii="Times New Roman" w:hAnsi="Times New Roman"/>
                <w:color w:val="000000"/>
                <w:sz w:val="22"/>
              </w:rPr>
              <w:t>as Joint Bookrunners and Joint Lead Arrangers</w:t>
            </w:r>
          </w:p>
          <w:p>
            <w:pPr>
              <w:pStyle w:val="TableContents"/>
              <w:bidi w:val="0"/>
              <w:jc w:val="center"/>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and</w:t>
            </w:r>
          </w:p>
          <w:p>
            <w:pPr>
              <w:pStyle w:val="TableContents"/>
              <w:bidi w:val="0"/>
              <w:jc w:val="center"/>
              <w:rPr/>
            </w:pPr>
            <w:r>
              <w:rPr/>
              <w:t> </w:t>
            </w:r>
          </w:p>
          <w:p>
            <w:pPr>
              <w:pStyle w:val="TableContents"/>
              <w:bidi w:val="0"/>
              <w:jc w:val="center"/>
              <w:rPr>
                <w:rFonts w:ascii="Times New Roman" w:hAnsi="Times New Roman"/>
                <w:color w:val="000000"/>
                <w:sz w:val="22"/>
              </w:rPr>
            </w:pPr>
            <w:r>
              <w:rPr>
                <w:rFonts w:ascii="Times New Roman" w:hAnsi="Times New Roman"/>
                <w:color w:val="000000"/>
                <w:sz w:val="22"/>
              </w:rPr>
              <w:t>FIFTH THIRD BANK, NATIONAL ASSOCIATION,</w:t>
            </w:r>
          </w:p>
          <w:p>
            <w:pPr>
              <w:pStyle w:val="TableContents"/>
              <w:bidi w:val="0"/>
              <w:jc w:val="center"/>
              <w:rPr>
                <w:rFonts w:ascii="Times New Roman" w:hAnsi="Times New Roman"/>
                <w:color w:val="000000"/>
                <w:sz w:val="22"/>
              </w:rPr>
            </w:pPr>
            <w:r>
              <w:rPr>
                <w:rFonts w:ascii="Times New Roman" w:hAnsi="Times New Roman"/>
                <w:color w:val="000000"/>
                <w:sz w:val="22"/>
              </w:rPr>
              <w:t>HSBC BANK USA, NATIONAL ASSOCIATION, PNC CAPITAL MARKETS LLC,</w:t>
            </w:r>
          </w:p>
          <w:p>
            <w:pPr>
              <w:pStyle w:val="TableContents"/>
              <w:bidi w:val="0"/>
              <w:jc w:val="center"/>
              <w:rPr>
                <w:rFonts w:ascii="Times New Roman" w:hAnsi="Times New Roman"/>
                <w:color w:val="000000"/>
                <w:sz w:val="22"/>
              </w:rPr>
            </w:pPr>
            <w:r>
              <w:rPr>
                <w:rFonts w:ascii="Times New Roman" w:hAnsi="Times New Roman"/>
                <w:color w:val="000000"/>
                <w:sz w:val="22"/>
              </w:rPr>
              <w:t>U.S. BANK NATIONAL ASSOCIATION and WELLS FARGO SECURITIES, LLC,</w:t>
            </w:r>
          </w:p>
          <w:p>
            <w:pPr>
              <w:pStyle w:val="TableContents"/>
              <w:bidi w:val="0"/>
              <w:jc w:val="center"/>
              <w:rPr>
                <w:rFonts w:ascii="Times New Roman" w:hAnsi="Times New Roman"/>
                <w:color w:val="000000"/>
                <w:sz w:val="22"/>
              </w:rPr>
            </w:pPr>
            <w:r>
              <w:rPr>
                <w:rFonts w:ascii="Times New Roman" w:hAnsi="Times New Roman"/>
                <w:color w:val="000000"/>
                <w:sz w:val="22"/>
              </w:rPr>
              <w:t>as Joint Lead Arrangers</w:t>
            </w:r>
          </w:p>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2"/>
        </w:rPr>
      </w:pPr>
      <w:bookmarkStart w:id="23" w:name="tocheading"/>
      <w:bookmarkEnd w:id="23"/>
      <w:r>
        <w:rPr>
          <w:rFonts w:ascii="Times New Roman" w:hAnsi="Times New Roman"/>
          <w:caps/>
          <w:color w:val="000000"/>
          <w:sz w:val="22"/>
        </w:rPr>
        <w:t>Table of Contents</w:t>
      </w:r>
    </w:p>
    <w:p>
      <w:pPr>
        <w:pStyle w:val="TextBody"/>
        <w:bidi w:val="0"/>
        <w:spacing w:before="0" w:after="240"/>
        <w:jc w:val="right"/>
        <w:rPr>
          <w:rFonts w:ascii="Times New Roman" w:hAnsi="Times New Roman"/>
          <w:color w:val="000000"/>
          <w:sz w:val="22"/>
          <w:u w:val="single"/>
        </w:rPr>
      </w:pPr>
      <w:bookmarkStart w:id="24" w:name="tocpage"/>
      <w:bookmarkEnd w:id="24"/>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3185"/>
        <w:gridCol w:w="4918"/>
        <w:gridCol w:w="2102"/>
      </w:tblGrid>
      <w:tr>
        <w:trPr/>
        <w:tc>
          <w:tcPr>
            <w:tcW w:w="3185" w:type="dxa"/>
            <w:tcBorders/>
            <w:vAlign w:val="center"/>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r>
      <w:tr>
        <w:trPr/>
        <w:tc>
          <w:tcPr>
            <w:tcW w:w="810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I</w:t>
            </w:r>
            <w:r>
              <w:rPr>
                <w:rFonts w:ascii="Times New Roman" w:hAnsi="Times New Roman"/>
                <w:color w:val="000000"/>
                <w:sz w:val="22"/>
              </w:rPr>
              <w:t> Definitions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1.01.</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Defined Terms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1.02.</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Classification of Loans and Borrowings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37</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1.03.</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Terms Generally</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37</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1.04.</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Accounting Terms; GAAP; Pro Forma Calculations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37</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1.05.</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Status of Obligations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38</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1.06.</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Amendment and Restatement of the Existing Credit Agreement</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39</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1.07.</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Interest Rates; Benchmark Notification</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40</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1.08.</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Divisions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40</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1.09.</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Letter of Credit Amounts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40</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1.10.</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Exchange Rates; Currency Equivalents</w:t>
            </w:r>
          </w:p>
        </w:tc>
        <w:tc>
          <w:tcPr>
            <w:tcW w:w="210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40</w:t>
            </w:r>
          </w:p>
        </w:tc>
      </w:tr>
      <w:tr>
        <w:trPr/>
        <w:tc>
          <w:tcPr>
            <w:tcW w:w="810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II</w:t>
            </w:r>
            <w:r>
              <w:rPr>
                <w:rFonts w:ascii="Times New Roman" w:hAnsi="Times New Roman"/>
                <w:color w:val="000000"/>
                <w:sz w:val="22"/>
              </w:rPr>
              <w:t> The Credits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2.01.</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Commitments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2.02.</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Loans and Borrowings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2.03.</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Requests for Borrowings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42</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2.04.</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Determination of Dollar Amounts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43</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2.05.</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[Intentionally Omitted]</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43</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2.06.</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Letters of Credit</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43</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2.07.</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Funding of Borrowings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49</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2.08.</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Interest Elections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49</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2.09.</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Termination and Reduction of Commitments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2.10.</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Repayment and Amortization of Loans; Evidence of Debt</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2.11.</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Prepayment of Loans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52</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2.12.</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Fees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53</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2.13.</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Interest</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55</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2.14.</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Alternate Rate of Interest</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55</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2.15.</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Increased Costs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59</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2.16.</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Break Funding Payments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60</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2.17.</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Taxes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60</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2.18.</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Payments Generally; Pro Rata Treatment; Sharing of Set-offs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64</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2.19.</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Mitigation Obligations; Replacement of Lenders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66</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2.20.</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Expansion Option</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67</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2.21.</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Judgment Currency</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68</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2.22.</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Defaulting Lenders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69</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2.23.</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Designation of Subsidiary Borrowers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71</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2.24.</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Extension of Maturity Date</w:t>
            </w:r>
          </w:p>
        </w:tc>
        <w:tc>
          <w:tcPr>
            <w:tcW w:w="210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71</w:t>
            </w:r>
          </w:p>
        </w:tc>
      </w:tr>
      <w:tr>
        <w:trPr/>
        <w:tc>
          <w:tcPr>
            <w:tcW w:w="810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III</w:t>
            </w:r>
            <w:r>
              <w:rPr>
                <w:rFonts w:ascii="Times New Roman" w:hAnsi="Times New Roman"/>
                <w:color w:val="000000"/>
                <w:sz w:val="22"/>
              </w:rPr>
              <w:t> Representations and Warranties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74</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3.01.</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Organization; Powers; Subsidiaries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74</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3.02.</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Authorization; Enforceability</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74</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3.03.</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Governmental Approvals; No Conflicts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74</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3.04.</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Financial Condition; No Material Adverse Change</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74</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3.05.</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Properties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75</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3.06.</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Litigation and Environmental</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75</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3.07.</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Compliance with Laws and Agreements</w:t>
            </w:r>
          </w:p>
        </w:tc>
        <w:tc>
          <w:tcPr>
            <w:tcW w:w="210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75</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3.08.</w:t>
            </w:r>
          </w:p>
        </w:tc>
        <w:tc>
          <w:tcPr>
            <w:tcW w:w="4918"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Investment Company Status</w:t>
            </w:r>
          </w:p>
        </w:tc>
        <w:tc>
          <w:tcPr>
            <w:tcW w:w="210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75</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9"/>
        <w:gridCol w:w="4804"/>
        <w:gridCol w:w="2222"/>
      </w:tblGrid>
      <w:tr>
        <w:trPr/>
        <w:tc>
          <w:tcPr>
            <w:tcW w:w="3179" w:type="dxa"/>
            <w:tcBorders/>
            <w:vAlign w:val="center"/>
          </w:tcPr>
          <w:p>
            <w:pPr>
              <w:pStyle w:val="TableContents"/>
              <w:bidi w:val="0"/>
              <w:spacing w:before="0" w:after="283"/>
              <w:jc w:val="left"/>
              <w:rPr>
                <w:sz w:val="4"/>
                <w:szCs w:val="4"/>
              </w:rPr>
            </w:pPr>
            <w:r>
              <w:rPr>
                <w:sz w:val="4"/>
                <w:szCs w:val="4"/>
              </w:rPr>
            </w:r>
          </w:p>
        </w:tc>
        <w:tc>
          <w:tcPr>
            <w:tcW w:w="480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ind w:left="0" w:right="0" w:firstLine="1710"/>
              <w:jc w:val="left"/>
              <w:rPr>
                <w:sz w:val="4"/>
                <w:szCs w:val="4"/>
              </w:rPr>
            </w:pPr>
            <w:r>
              <w:rPr>
                <w:sz w:val="4"/>
                <w:szCs w:val="4"/>
              </w:rPr>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3.09.</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Taxes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75</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3.10.</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ERISA</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3.11.</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Disclosure</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3.12.</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Federal Reserve Regulations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3.13.</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 Default</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3.14.</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Anti-Corruption Laws and Sanctions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3.15.</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Affected Financial Institutions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3.16.</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Outbound Investment Rules</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77</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IV</w:t>
            </w:r>
            <w:r>
              <w:rPr>
                <w:rFonts w:ascii="Times New Roman" w:hAnsi="Times New Roman"/>
                <w:color w:val="000000"/>
                <w:sz w:val="22"/>
              </w:rPr>
              <w:t> Conditions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77</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4.01.</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Effective Date</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77</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4.02.</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Each Credit Event</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78</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4.03.</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Designation of a Subsidiary Borrower</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78</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V</w:t>
            </w:r>
            <w:r>
              <w:rPr>
                <w:rFonts w:ascii="Times New Roman" w:hAnsi="Times New Roman"/>
                <w:color w:val="000000"/>
                <w:sz w:val="22"/>
              </w:rPr>
              <w:t> Affirmative Covenants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79</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5.01.</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Financial Statements and Other Information</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79</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5.02.</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Notices of Material Events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81</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5.03.</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Existence; Conduct of Business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81</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5.04.</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Payment of Taxes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81</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5.05.</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Maintenance of Properties; Insurance</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81</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5.06.</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Books and Records; Inspection Rights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82</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5.07.</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Compliance with Laws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82</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5.08.</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Use of Proceeds</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82</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VI</w:t>
            </w:r>
            <w:r>
              <w:rPr>
                <w:rFonts w:ascii="Times New Roman" w:hAnsi="Times New Roman"/>
                <w:color w:val="000000"/>
                <w:sz w:val="22"/>
              </w:rPr>
              <w:t> Negative Covenants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82</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6.01.</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Indebtedness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83</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6.02.</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Liens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84</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6.03.</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Fundamental Changes and Asset Sales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85</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6.04.</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Transactions with Affiliates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85</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6.05.</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Financial Covenants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86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6.06.</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Outbound Investment Rules</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86</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VII</w:t>
            </w:r>
            <w:r>
              <w:rPr>
                <w:rFonts w:ascii="Times New Roman" w:hAnsi="Times New Roman"/>
                <w:color w:val="000000"/>
                <w:sz w:val="22"/>
              </w:rPr>
              <w:t> Events of Default</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87</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VIII</w:t>
            </w:r>
            <w:r>
              <w:rPr>
                <w:rFonts w:ascii="Times New Roman" w:hAnsi="Times New Roman"/>
                <w:color w:val="000000"/>
                <w:sz w:val="22"/>
              </w:rPr>
              <w:t> The Administrative Agent</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89</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IX</w:t>
            </w:r>
            <w:r>
              <w:rPr>
                <w:rFonts w:ascii="Times New Roman" w:hAnsi="Times New Roman"/>
                <w:color w:val="000000"/>
                <w:sz w:val="22"/>
              </w:rPr>
              <w:t> Miscellaneous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92</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9.01.</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Notices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92</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9.02.</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Waivers; Amendments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95</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9.03.</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Expenses; Indemnity; Damage Waiver</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98</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9.04.</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Successors and Assigns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100</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9.05.</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Survival</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103</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9.06.</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Counterparts; Integration; Effectiveness; Electronic Execution</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103</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9.07.</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Severability</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104</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9.08.</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Right of Setoff</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105</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9.09.</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Governing Law; Jurisdiction; Consent to Service of Process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105</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9.10.</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WAIVER OF JURY TRIAL</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9.11.</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Headings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9.12.</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Confidentiality</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106</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9.13.</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USA PATRIOT Act</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108</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9.14.</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Interest Rate Limitation</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108</w:t>
            </w:r>
          </w:p>
        </w:tc>
      </w:tr>
      <w:tr>
        <w:trPr/>
        <w:tc>
          <w:tcPr>
            <w:tcW w:w="3179"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9.15.</w:t>
            </w:r>
          </w:p>
        </w:tc>
        <w:tc>
          <w:tcPr>
            <w:tcW w:w="4804"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 Advisory or Fiduciary Responsibility</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108</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83"/>
        <w:gridCol w:w="4900"/>
        <w:gridCol w:w="2222"/>
      </w:tblGrid>
      <w:tr>
        <w:trPr/>
        <w:tc>
          <w:tcPr>
            <w:tcW w:w="3083" w:type="dxa"/>
            <w:tcBorders/>
            <w:vAlign w:val="center"/>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ind w:left="0" w:right="0" w:firstLine="1710"/>
              <w:jc w:val="left"/>
              <w:rPr>
                <w:sz w:val="4"/>
                <w:szCs w:val="4"/>
              </w:rPr>
            </w:pPr>
            <w:r>
              <w:rPr>
                <w:sz w:val="4"/>
                <w:szCs w:val="4"/>
              </w:rPr>
            </w:r>
          </w:p>
        </w:tc>
      </w:tr>
      <w:tr>
        <w:trPr/>
        <w:tc>
          <w:tcPr>
            <w:tcW w:w="3083"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9.16.</w:t>
            </w:r>
          </w:p>
        </w:tc>
        <w:tc>
          <w:tcPr>
            <w:tcW w:w="490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Prepayment of Loans under the Existing Credit Agreement</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109</w:t>
            </w:r>
          </w:p>
        </w:tc>
      </w:tr>
      <w:tr>
        <w:trPr/>
        <w:tc>
          <w:tcPr>
            <w:tcW w:w="3083"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9.17.</w:t>
            </w:r>
          </w:p>
        </w:tc>
        <w:tc>
          <w:tcPr>
            <w:tcW w:w="490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Acknowledgement and Consent to Bail-In of Affected Financial Institutions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109</w:t>
            </w:r>
          </w:p>
        </w:tc>
      </w:tr>
      <w:tr>
        <w:trPr/>
        <w:tc>
          <w:tcPr>
            <w:tcW w:w="3083"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9.18.</w:t>
            </w:r>
          </w:p>
        </w:tc>
        <w:tc>
          <w:tcPr>
            <w:tcW w:w="490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Acknowledgement Regarding Any Supported QFCs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109</w:t>
            </w:r>
          </w:p>
        </w:tc>
      </w:tr>
      <w:tr>
        <w:trPr/>
        <w:tc>
          <w:tcPr>
            <w:tcW w:w="3083"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9.19.</w:t>
            </w:r>
          </w:p>
        </w:tc>
        <w:tc>
          <w:tcPr>
            <w:tcW w:w="490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Certain ERISA Matters</w:t>
            </w:r>
          </w:p>
        </w:tc>
        <w:tc>
          <w:tcPr>
            <w:tcW w:w="2222"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right"/>
              <w:rPr>
                <w:rFonts w:ascii="Times New Roman" w:hAnsi="Times New Roman"/>
                <w:color w:val="000000"/>
                <w:sz w:val="22"/>
              </w:rPr>
            </w:pPr>
            <w:r>
              <w:rPr>
                <w:rFonts w:ascii="Times New Roman" w:hAnsi="Times New Roman"/>
                <w:color w:val="000000"/>
                <w:sz w:val="22"/>
              </w:rPr>
              <w:t>110</w:t>
            </w:r>
          </w:p>
        </w:tc>
      </w:tr>
      <w:tr>
        <w:trPr/>
        <w:tc>
          <w:tcPr>
            <w:tcW w:w="3083" w:type="dxa"/>
            <w:tcBorders/>
            <w:shd w:fill="FFFFFF" w:val="clear"/>
            <w:tcMar>
              <w:top w:w="0" w:type="dxa"/>
              <w:left w:w="0" w:type="dxa"/>
              <w:bottom w:w="0" w:type="dxa"/>
              <w:right w:w="0" w:type="dxa"/>
            </w:tcMar>
            <w:vAlign w:val="center"/>
          </w:tcPr>
          <w:p>
            <w:pPr>
              <w:pStyle w:val="TableContents"/>
              <w:bidi w:val="0"/>
              <w:spacing w:before="0" w:after="240"/>
              <w:ind w:left="0" w:right="0" w:firstLine="1710"/>
              <w:jc w:val="left"/>
              <w:rPr>
                <w:rFonts w:ascii="Times New Roman" w:hAnsi="Times New Roman"/>
                <w:color w:val="010000"/>
                <w:sz w:val="22"/>
              </w:rPr>
            </w:pPr>
            <w:r>
              <w:rPr>
                <w:rFonts w:ascii="Times New Roman" w:hAnsi="Times New Roman"/>
                <w:color w:val="010000"/>
                <w:sz w:val="22"/>
              </w:rPr>
              <w:t>SECTION 9.20.</w:t>
            </w:r>
          </w:p>
        </w:tc>
        <w:tc>
          <w:tcPr>
            <w:tcW w:w="4900"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Erroneous Payments</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111</w:t>
            </w:r>
          </w:p>
        </w:tc>
      </w:tr>
      <w:tr>
        <w:trPr/>
        <w:tc>
          <w:tcPr>
            <w:tcW w:w="7983" w:type="dxa"/>
            <w:gridSpan w:val="2"/>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10000"/>
                <w:sz w:val="22"/>
              </w:rPr>
              <w:t>ARTICLE X</w:t>
            </w:r>
            <w:r>
              <w:rPr>
                <w:rFonts w:ascii="Times New Roman" w:hAnsi="Times New Roman"/>
                <w:color w:val="000000"/>
                <w:sz w:val="22"/>
              </w:rPr>
              <w:t> Company Guarantee</w:t>
            </w:r>
          </w:p>
        </w:tc>
        <w:tc>
          <w:tcPr>
            <w:tcW w:w="222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112</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16" w:type="dxa"/>
        <w:jc w:val="left"/>
        <w:tblInd w:w="0" w:type="dxa"/>
        <w:tblLayout w:type="fixed"/>
        <w:tblCellMar>
          <w:top w:w="28" w:type="dxa"/>
          <w:left w:w="28" w:type="dxa"/>
          <w:bottom w:w="28" w:type="dxa"/>
          <w:right w:w="28" w:type="dxa"/>
        </w:tblCellMar>
      </w:tblPr>
      <w:tblGrid>
        <w:gridCol w:w="8716"/>
      </w:tblGrid>
      <w:tr>
        <w:trPr/>
        <w:tc>
          <w:tcPr>
            <w:tcW w:w="8716" w:type="dxa"/>
            <w:tcBorders/>
            <w:vAlign w:val="center"/>
          </w:tcPr>
          <w:p>
            <w:pPr>
              <w:pStyle w:val="TableContents"/>
              <w:bidi w:val="0"/>
              <w:spacing w:before="0" w:after="283"/>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u w:val="single"/>
              </w:rPr>
              <w:t>SCHEDULES</w:t>
            </w:r>
            <w:r>
              <w:rPr>
                <w:rFonts w:ascii="Times New Roman" w:hAnsi="Times New Roman"/>
                <w:color w:val="000000"/>
                <w:sz w:val="22"/>
              </w:rPr>
              <w:t>:</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2.01 – Commitments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2.06 – Existing Letters of Credit</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3.01 – Subsidiaries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6.01 – Existing Indebtedness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6.02 – Existing Liens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u w:val="single"/>
              </w:rPr>
              <w:t>EXHIBITS</w:t>
            </w:r>
            <w:r>
              <w:rPr>
                <w:rFonts w:ascii="Times New Roman" w:hAnsi="Times New Roman"/>
                <w:color w:val="000000"/>
                <w:sz w:val="22"/>
              </w:rPr>
              <w:t>:</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A – Form of Assignment and Assumption</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B – Form of Compliance Certificate</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C – Form of Increasing Lender Supplement</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D – Form of Augmenting Lender Supplement</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E – List of Closing Documents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F-1 – Form of Borrowing Subsidiary Agreement</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F-2 – Form of Borrowing Subsidiary Termination</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G-1 – Form of U.S. Tax Certificate (Foreign Lenders That Are Not Partnerships)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G-2 – Form of U.S. Tax Certificate (Foreign Participants That Are Not Partnerships)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G-3 – Form of U.S. Tax Certificate (Foreign Participants That Are Partnerships)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G-4 – Form of U.S. Tax Certificate (Foreign Lenders That Are Partnerships)</w:t>
            </w:r>
          </w:p>
        </w:tc>
      </w:tr>
      <w:tr>
        <w:trPr/>
        <w:tc>
          <w:tcPr>
            <w:tcW w:w="87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THIRD AMENDED AND RESTATED CREDIT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dated as of June 5, 2026 among BROWN &amp; BROWN, INC., the SUBSIDIARY BORROWERS from time to time party hereto, the LENDERS from time to time party hereto and JPMORGAN CHASE BANK, N.A.,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WHEREAS, the Borrowers, the lenders party thereto and JPMorgan Chase Bank, N.A., as administrative agent thereunder, are currently party to the Second Amended and Restated Credit Agreement, dated as of October 27, 2021 (as amended, supplemented or otherwise modified prior to the Effective Date, the “</w:t>
      </w:r>
      <w:r>
        <w:rPr>
          <w:rFonts w:ascii="Times New Roman" w:hAnsi="Times New Roman"/>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the Borrowers, the Lenders party hereto and the Administrative Agent have entered into this Agreement in order to (i) amend and restate the Existing Credit Agreement in its entirety; (ii) extend the applicable maturity date in respect of the existing revolving credit facility under the Existing Credit Agreement; (iii) re-evidence certain of the “Obligations” under, and as defined in, the Existing Credit Agreement, which shall be repayable in accordance with the terms of this Agreement; (iv) add two additional tranches of term loans; and (v) set forth the terms and conditions under which the Lenders will, from time to time, make loans and extend other financial accommodations to or for the benefit of the Borrowers;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Borrowers and the Subsidiaries outstanding thereunder, which shall be payable in accordance with the terms 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it is also the intent of the Borrowers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premises and the mutual covenants contained herein, the parties hereto agree that the Existing Credit Agreement is hereby amended and restated as follows:</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I</w:t>
      </w:r>
      <w:r>
        <w:rPr>
          <w:rFonts w:ascii="Times New Roman" w:hAnsi="Times New Roman"/>
          <w:b w:val="false"/>
          <w:color w:val="000000"/>
          <w:sz w:val="22"/>
          <w:u w:val="single"/>
        </w:rPr>
        <w:br/>
        <w:br/>
        <w:t>Definitions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1.01. </w:t>
      </w:r>
      <w:r>
        <w:rPr>
          <w:rFonts w:ascii="Times New Roman" w:hAnsi="Times New Roman"/>
          <w:b w:val="false"/>
          <w:color w:val="000000"/>
          <w:sz w:val="22"/>
          <w:u w:val="single"/>
        </w:rPr>
        <w:t>Defined Terms</w:t>
      </w:r>
      <w:r>
        <w:rPr>
          <w:rFonts w:ascii="Times New Roman" w:hAnsi="Times New Roman"/>
          <w:b w:val="false"/>
          <w:color w:val="000000"/>
          <w:sz w:val="22"/>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color w:val="000000"/>
          <w:sz w:val="22"/>
          <w:u w:val="single"/>
        </w:rPr>
        <w:t>ABR</w:t>
      </w:r>
      <w:r>
        <w:rPr>
          <w:rFonts w:ascii="Times New Roman" w:hAnsi="Times New Roman"/>
          <w:color w:val="000000"/>
          <w:sz w:val="20"/>
        </w:rPr>
        <w:t>”</w:t>
      </w:r>
      <w:r>
        <w:rPr>
          <w:rFonts w:ascii="Times New Roman" w:hAnsi="Times New Roman"/>
          <w:color w:val="000000"/>
          <w:sz w:val="22"/>
        </w:rPr>
        <w:t>, when used in reference to any Loan or Borrowing, refers to such Loan, or the Loans comprising such Borrowing, bearing interest at a rate determined by reference to the Alternate Base Rate. All ABR Loans shall be denominated in Dollars.</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by which the Company or any Subsidiary directly or indirectly (i) acquires any ongoing business or all or substantially all of the assets or any Person or any division or operating unit thereof (whether by purchase, merger, consolidation or otherwise), (ii) acquires (in one transaction or as the most recent transaction in a series of</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transactions) Control of at least a majority in ordinary voting power of the securities of a Person which have ordinary voting power for the election of the directors or (iii) otherwise acquires Control or more than 50% ownership interest in any Person.</w:t>
      </w:r>
    </w:p>
    <w:p>
      <w:pPr>
        <w:pStyle w:val="TextBody"/>
        <w:bidi w:val="0"/>
        <w:spacing w:before="0" w:after="240"/>
        <w:jc w:val="both"/>
        <w:rPr/>
      </w:pPr>
      <w:r>
        <w:rPr>
          <w:color w:val="000000"/>
        </w:rPr>
        <w:t>“</w:t>
      </w:r>
      <w:r>
        <w:rPr>
          <w:rFonts w:ascii="Times New Roman" w:hAnsi="Times New Roman"/>
          <w:color w:val="000000"/>
          <w:sz w:val="22"/>
          <w:u w:val="single"/>
        </w:rPr>
        <w:t>Adjusted Daily Simple RFR</w:t>
      </w:r>
      <w:r>
        <w:rPr>
          <w:rFonts w:ascii="Times New Roman" w:hAnsi="Times New Roman"/>
          <w:color w:val="000000"/>
          <w:sz w:val="20"/>
        </w:rPr>
        <w:t xml:space="preserve">” </w:t>
      </w:r>
      <w:r>
        <w:rPr>
          <w:rFonts w:ascii="Times New Roman" w:hAnsi="Times New Roman"/>
          <w:color w:val="000000"/>
          <w:sz w:val="22"/>
        </w:rPr>
        <w:t xml:space="preserve">means, (i) with respect to any RFR Borrowing denominated in Pounds Sterling, an interest rate per annum equal to the Daily Simple RFR for Pounds Sterling, (ii) with respect to any RFR Borrowing denominated in Dollars, an interest rate per annum equal to the Daily Simple RFR for Dollars, and (iii) with respect to any RFR Borrowing denominated in Canadian Dollars, an interest rate per annum equal to the Daily Simple RFR for Canadian Dollars;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Daily Simple RFR as so determined would be less than the Floor, such rate shall be deemed to be equal to the Floor for the purposes of this Agreement.</w:t>
      </w:r>
    </w:p>
    <w:p>
      <w:pPr>
        <w:pStyle w:val="TextBody"/>
        <w:bidi w:val="0"/>
        <w:spacing w:before="0" w:after="240"/>
        <w:jc w:val="both"/>
        <w:rPr/>
      </w:pPr>
      <w:bookmarkStart w:id="25" w:name="docxtextref1"/>
      <w:bookmarkEnd w:id="25"/>
      <w:r>
        <w:rPr>
          <w:color w:val="000000"/>
        </w:rPr>
        <w:t>“</w:t>
      </w:r>
      <w:r>
        <w:rPr>
          <w:rFonts w:ascii="Times New Roman" w:hAnsi="Times New Roman"/>
          <w:color w:val="000000"/>
          <w:sz w:val="22"/>
          <w:u w:val="single"/>
        </w:rPr>
        <w:t>Adjusted EURIBO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euro for any Interest Period, an interest rate per annum equal to (a)</w:t>
      </w:r>
      <w:r>
        <w:rPr>
          <w:rFonts w:ascii="Times New Roman" w:hAnsi="Times New Roman"/>
          <w:color w:val="000000"/>
          <w:sz w:val="20"/>
        </w:rPr>
        <w:t xml:space="preserve"> </w:t>
      </w:r>
      <w:r>
        <w:rPr>
          <w:rFonts w:ascii="Times New Roman" w:hAnsi="Times New Roman"/>
          <w:color w:val="000000"/>
          <w:sz w:val="22"/>
        </w:rPr>
        <w:t xml:space="preserve">the EURIBO Rate for such Interest Period multiplied by </w:t>
      </w:r>
      <w:bookmarkStart w:id="26" w:name="docxtextref2"/>
      <w:bookmarkEnd w:id="26"/>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Statutory Reserve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EURIBO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Adjusted Term CORRA Rate</w:t>
      </w:r>
      <w:r>
        <w:rPr>
          <w:rFonts w:ascii="Times New Roman" w:hAnsi="Times New Roman"/>
          <w:color w:val="000000"/>
          <w:sz w:val="20"/>
        </w:rPr>
        <w:t xml:space="preserve">” </w:t>
      </w:r>
      <w:r>
        <w:rPr>
          <w:rFonts w:ascii="Times New Roman" w:hAnsi="Times New Roman"/>
          <w:color w:val="000000"/>
          <w:sz w:val="22"/>
        </w:rPr>
        <w:t xml:space="preserve">means, for purposes of any calculation, the rate per annum equal to Term CORRA for such calculation;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Term CORRA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Adjusted Term SOFR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Dollars for any Interest Period, an interest rate per annum equal to the Term SOFR Rate for such Interest Period;</w:t>
      </w:r>
      <w:r>
        <w:rPr>
          <w:rFonts w:ascii="Times New Roman" w:hAnsi="Times New Roman"/>
          <w:color w:val="000000"/>
          <w:sz w:val="20"/>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Term SOFR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means JPMorgan Chase Bank, N.A. (including its branches and affiliates), in its capacity as administrative agent for the Lenders hereunder.</w:t>
      </w:r>
    </w:p>
    <w:p>
      <w:pPr>
        <w:pStyle w:val="TextBody"/>
        <w:bidi w:val="0"/>
        <w:spacing w:before="0" w:after="240"/>
        <w:jc w:val="both"/>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means an Administrative Questionnaire in a form supplied by the Administrative Agent to the Company or any Lender, as the context requires.</w:t>
      </w:r>
    </w:p>
    <w:p>
      <w:pPr>
        <w:pStyle w:val="TextBody"/>
        <w:bidi w:val="0"/>
        <w:spacing w:before="0" w:after="240"/>
        <w:jc w:val="both"/>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240"/>
        <w:jc w:val="both"/>
        <w:rPr/>
      </w:pPr>
      <w:r>
        <w:rPr>
          <w:color w:val="000000"/>
        </w:rPr>
        <w:t>“</w:t>
      </w:r>
      <w:r>
        <w:rPr>
          <w:rFonts w:ascii="Times New Roman" w:hAnsi="Times New Roman"/>
          <w:color w:val="000000"/>
          <w:sz w:val="22"/>
          <w:u w:val="single"/>
        </w:rPr>
        <w:t>Agent-Related Person</w:t>
      </w:r>
      <w:r>
        <w:rPr>
          <w:rFonts w:ascii="Times New Roman" w:hAnsi="Times New Roman"/>
          <w:color w:val="000000"/>
          <w:sz w:val="20"/>
        </w:rPr>
        <w:t xml:space="preserve">” </w:t>
      </w:r>
      <w:r>
        <w:rPr>
          <w:rFonts w:ascii="Times New Roman" w:hAnsi="Times New Roman"/>
          <w:color w:val="000000"/>
          <w:sz w:val="22"/>
        </w:rPr>
        <w:t>has the meaning assigned to such term in Section 9.03(c).</w:t>
      </w:r>
    </w:p>
    <w:p>
      <w:pPr>
        <w:pStyle w:val="TextBody"/>
        <w:bidi w:val="0"/>
        <w:spacing w:before="0" w:after="240"/>
        <w:jc w:val="both"/>
        <w:rPr/>
      </w:pPr>
      <w:r>
        <w:rPr>
          <w:color w:val="000000"/>
        </w:rPr>
        <w:t>“</w:t>
      </w:r>
      <w:r>
        <w:rPr>
          <w:rFonts w:ascii="Times New Roman" w:hAnsi="Times New Roman"/>
          <w:color w:val="000000"/>
          <w:sz w:val="22"/>
          <w:u w:val="single"/>
        </w:rPr>
        <w:t>Agreed Currencies</w:t>
      </w:r>
      <w:r>
        <w:rPr>
          <w:rFonts w:ascii="Times New Roman" w:hAnsi="Times New Roman"/>
          <w:color w:val="000000"/>
          <w:sz w:val="20"/>
        </w:rPr>
        <w:t xml:space="preserve">” </w:t>
      </w:r>
      <w:r>
        <w:rPr>
          <w:rFonts w:ascii="Times New Roman" w:hAnsi="Times New Roman"/>
          <w:color w:val="000000"/>
          <w:sz w:val="22"/>
        </w:rPr>
        <w:t>means (i) Dollars, (ii) euro, (iii) Pounds Sterling, (iv) Canadian Dollars and (v) any other currency (x) that is a lawful currency (other than Dollars) that is readily available and freely transferable and not restricted and able to be converted into Dollars and (y) that is agreed to by the Administrative Agent and each of the Revolving Lenders.</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has the meaning assigned to such term in the introductory paragraph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27" w:name="docxtextref10"/>
      <w:bookmarkEnd w:id="27"/>
      <w:r>
        <w:rPr>
          <w:color w:val="000000"/>
        </w:rPr>
        <w:t>“</w:t>
      </w:r>
      <w:r>
        <w:rPr>
          <w:rFonts w:ascii="Times New Roman" w:hAnsi="Times New Roman"/>
          <w:color w:val="000000"/>
          <w:sz w:val="22"/>
          <w:u w:val="single"/>
        </w:rPr>
        <w:t>Alternate Base Rate</w:t>
      </w:r>
      <w:r>
        <w:rPr>
          <w:rFonts w:ascii="Times New Roman" w:hAnsi="Times New Roman"/>
          <w:color w:val="000000"/>
          <w:sz w:val="20"/>
        </w:rPr>
        <w:t xml:space="preserve">” </w:t>
      </w:r>
      <w:r>
        <w:rPr>
          <w:rFonts w:ascii="Times New Roman" w:hAnsi="Times New Roman"/>
          <w:color w:val="000000"/>
          <w:sz w:val="22"/>
        </w:rPr>
        <w:t>means, for any day, a rate per annum equal to the greatest of (a)</w:t>
      </w:r>
      <w:r>
        <w:rPr>
          <w:rFonts w:ascii="Times New Roman" w:hAnsi="Times New Roman"/>
          <w:color w:val="000000"/>
          <w:sz w:val="20"/>
        </w:rPr>
        <w:t xml:space="preserve"> </w:t>
      </w:r>
      <w:r>
        <w:rPr>
          <w:rFonts w:ascii="Times New Roman" w:hAnsi="Times New Roman"/>
          <w:color w:val="000000"/>
          <w:sz w:val="22"/>
        </w:rPr>
        <w:t xml:space="preserve">the Prime Rate in effect on such day, </w:t>
      </w:r>
      <w:bookmarkStart w:id="28" w:name="docxtextref11"/>
      <w:bookmarkEnd w:id="2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NYFRB Rate in effect on such day plus ½ of 1% and </w:t>
      </w:r>
      <w:bookmarkStart w:id="29" w:name="docxtextref12"/>
      <w:bookmarkEnd w:id="29"/>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w:t>
      </w:r>
      <w:bookmarkStart w:id="30" w:name="docxtextref13"/>
      <w:bookmarkEnd w:id="3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above and shall be determined without reference to </w:t>
      </w:r>
      <w:bookmarkStart w:id="31" w:name="docxtextref16"/>
      <w:bookmarkEnd w:id="31"/>
      <w:r>
        <w:rPr>
          <w:rFonts w:ascii="Times New Roman" w:hAnsi="Times New Roman"/>
          <w:color w:val="000000"/>
          <w:sz w:val="22"/>
        </w:rPr>
        <w:t>clause (c)</w:t>
      </w:r>
      <w:r>
        <w:rPr>
          <w:rFonts w:ascii="Times New Roman" w:hAnsi="Times New Roman"/>
          <w:color w:val="000000"/>
          <w:sz w:val="20"/>
        </w:rPr>
        <w:t xml:space="preserve"> </w:t>
      </w:r>
      <w:r>
        <w:rPr>
          <w:rFonts w:ascii="Times New Roman" w:hAnsi="Times New Roman"/>
          <w:color w:val="000000"/>
          <w:sz w:val="22"/>
        </w:rPr>
        <w:t>above. For the avoidance of doubt, if the Alternate Base Rate as determined pursuant to the foregoing would be less than 1.00%, such rate shall be deemed to be 1.00%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Ancillary Document</w:t>
      </w:r>
      <w:r>
        <w:rPr>
          <w:rFonts w:ascii="Times New Roman" w:hAnsi="Times New Roman"/>
          <w:color w:val="000000"/>
          <w:sz w:val="20"/>
        </w:rPr>
        <w:t xml:space="preserve">” </w:t>
      </w:r>
      <w:r>
        <w:rPr>
          <w:rFonts w:ascii="Times New Roman" w:hAnsi="Times New Roman"/>
          <w:color w:val="000000"/>
          <w:sz w:val="22"/>
        </w:rPr>
        <w:t>has the meaning assigned to such term in Section 9.06.</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the Company or its Subsidiaries from time to time concerning or relating to bribery or corruption.</w:t>
      </w:r>
    </w:p>
    <w:p>
      <w:pPr>
        <w:pStyle w:val="TextBody"/>
        <w:bidi w:val="0"/>
        <w:spacing w:before="0" w:after="240"/>
        <w:jc w:val="both"/>
        <w:rPr/>
      </w:pPr>
      <w:r>
        <w:rPr>
          <w:color w:val="000000"/>
        </w:rPr>
        <w:t>“</w:t>
      </w:r>
      <w:r>
        <w:rPr>
          <w:rFonts w:ascii="Times New Roman" w:hAnsi="Times New Roman"/>
          <w:color w:val="000000"/>
          <w:sz w:val="22"/>
          <w:u w:val="single"/>
        </w:rPr>
        <w:t>Applicable Party</w:t>
      </w:r>
      <w:r>
        <w:rPr>
          <w:rFonts w:ascii="Times New Roman" w:hAnsi="Times New Roman"/>
          <w:color w:val="000000"/>
          <w:sz w:val="20"/>
        </w:rPr>
        <w:t xml:space="preserve">” </w:t>
      </w:r>
      <w:r>
        <w:rPr>
          <w:rFonts w:ascii="Times New Roman" w:hAnsi="Times New Roman"/>
          <w:color w:val="000000"/>
          <w:sz w:val="22"/>
        </w:rPr>
        <w:t>has the meaning assigned to such term in Section 9.01(e).</w:t>
      </w:r>
    </w:p>
    <w:p>
      <w:pPr>
        <w:pStyle w:val="TextBody"/>
        <w:bidi w:val="0"/>
        <w:spacing w:before="0" w:after="240"/>
        <w:jc w:val="both"/>
        <w:rPr/>
      </w:pPr>
      <w:r>
        <w:rPr>
          <w:color w:val="000000"/>
        </w:rPr>
        <w:t>“</w:t>
      </w:r>
      <w:r>
        <w:rPr>
          <w:rFonts w:ascii="Times New Roman" w:hAnsi="Times New Roman"/>
          <w:color w:val="000000"/>
          <w:sz w:val="22"/>
          <w:u w:val="single"/>
        </w:rPr>
        <w:t>Applicable Percentage</w:t>
      </w:r>
      <w:r>
        <w:rPr>
          <w:rFonts w:ascii="Times New Roman" w:hAnsi="Times New Roman"/>
          <w:color w:val="000000"/>
          <w:sz w:val="20"/>
        </w:rPr>
        <w:t xml:space="preserve">” </w:t>
      </w:r>
      <w:r>
        <w:rPr>
          <w:rFonts w:ascii="Times New Roman" w:hAnsi="Times New Roman"/>
          <w:color w:val="000000"/>
          <w:sz w:val="22"/>
        </w:rPr>
        <w:t xml:space="preserve">means, with respect to any Lender, (a) with respect to Revolving Loans or LC Exposure,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most recently in effect, giving effect to any assignments), (b) with respect to the Term A-1 Loans, a percentage equal to a fraction the numerator of which is such Lender’s outstanding principal amount of the Term A-1 Loans and the denominator of which is the aggregate outstanding principal amount of the Term A-1 Loans of all Term A-1 Lenders and (c) with respect to the Term A-2 Loans, a percentage equal to a fraction the numerator of which is such Lender’s outstanding principal amount of the Term A-2 Loans and the denominator of which is the aggregate outstanding principal amount of the Term A-2 Loans of all Term A-2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case of the foregoing clauses (a), (b) and (c), in the case of Section 2.22 when a Defaulting Lender shall exist, any such Defaulting Lender’s Revolving Commitment, Term A-1 Loan Commitment and Term A-2 Loan Commitment shall be disregarded in the calculation.</w:t>
      </w:r>
    </w:p>
    <w:p>
      <w:pPr>
        <w:pStyle w:val="TextBody"/>
        <w:bidi w:val="0"/>
        <w:spacing w:before="0" w:after="240"/>
        <w:jc w:val="both"/>
        <w:rPr/>
      </w:pPr>
      <w:r>
        <w:rPr>
          <w:color w:val="000000"/>
        </w:rPr>
        <w:t>“</w:t>
      </w:r>
      <w:r>
        <w:rPr>
          <w:rFonts w:ascii="Times New Roman" w:hAnsi="Times New Roman"/>
          <w:color w:val="000000"/>
          <w:sz w:val="22"/>
          <w:u w:val="single"/>
        </w:rPr>
        <w:t>Applicable Rate</w:t>
      </w:r>
      <w:r>
        <w:rPr>
          <w:rFonts w:ascii="Times New Roman" w:hAnsi="Times New Roman"/>
          <w:color w:val="000000"/>
          <w:sz w:val="20"/>
        </w:rPr>
        <w:t xml:space="preserve">” </w:t>
      </w:r>
      <w:r>
        <w:rPr>
          <w:rFonts w:ascii="Times New Roman" w:hAnsi="Times New Roman"/>
          <w:color w:val="000000"/>
          <w:sz w:val="22"/>
        </w:rPr>
        <w:t>means, for any day, with respect to any Term Benchmark Revolving Loan, any Term Benchmark Term A-1 Loan, any Term Benchmark Term A-2 Loan, any ABR Revolving Loan, any ABR Term A-1 Loan, any ABR Term A-2 Loan, any RFR Revolving Loan, any RFR Term A-1 Loan, any RFR Term A-2 Loan, or with respect to the facility fees payable hereunder, as the case may be, the applicable rate per annum set forth below under the caption “Term Benchmark / RFR Spread for Revolving Loans”, “Term Benchmark / RFR Spread for Term A-1 Loans”, “Term Benchmark / RFR Spread for Term A-2 Loans”, “ABR Spread for Revolving Loans”, “ABR Spread for Term A-1 Loans”, “ABR Spread for Term A-2 Loans”, or “Facility Fee Rate”, as the case may be, based upon the Pricing Level applicable on such date: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10"/>
        <w:gridCol w:w="4676"/>
        <w:gridCol w:w="2588"/>
        <w:gridCol w:w="1631"/>
      </w:tblGrid>
      <w:tr>
        <w:trPr/>
        <w:tc>
          <w:tcPr>
            <w:tcW w:w="1310" w:type="dxa"/>
            <w:tcBorders/>
            <w:vAlign w:val="center"/>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1310" w:type="dxa"/>
            <w:tcBorders>
              <w:top w:val="double" w:sz="4" w:space="0" w:color="000000"/>
              <w:left w:val="doub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Pricing Level</w:t>
            </w:r>
          </w:p>
        </w:tc>
        <w:tc>
          <w:tcPr>
            <w:tcW w:w="4676" w:type="dxa"/>
            <w:tcBorders>
              <w:top w:val="doub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Term Benchmark / RFR Spread for Revolving Loans</w:t>
            </w:r>
          </w:p>
        </w:tc>
        <w:tc>
          <w:tcPr>
            <w:tcW w:w="2588" w:type="dxa"/>
            <w:tcBorders>
              <w:top w:val="doub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 xml:space="preserve">ABR </w:t>
              <w:br/>
              <w:t>Spread for Revolving Loans</w:t>
            </w:r>
          </w:p>
        </w:tc>
        <w:tc>
          <w:tcPr>
            <w:tcW w:w="1631" w:type="dxa"/>
            <w:tcBorders>
              <w:top w:val="double" w:sz="4" w:space="0" w:color="000000"/>
              <w:bottom w:val="single" w:sz="4" w:space="0" w:color="000000"/>
              <w:right w:val="doub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Facility Fee Rate</w:t>
            </w:r>
          </w:p>
        </w:tc>
      </w:tr>
      <w:tr>
        <w:trPr/>
        <w:tc>
          <w:tcPr>
            <w:tcW w:w="1310" w:type="dxa"/>
            <w:tcBorders>
              <w:left w:val="doub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00"/>
              <w:jc w:val="center"/>
              <w:rPr>
                <w:rFonts w:ascii="Times New Roman" w:hAnsi="Times New Roman"/>
                <w:sz w:val="22"/>
              </w:rPr>
            </w:pPr>
            <w:r>
              <w:rPr>
                <w:rFonts w:ascii="Times New Roman" w:hAnsi="Times New Roman"/>
                <w:color w:val="000000"/>
                <w:sz w:val="22"/>
                <w:u w:val="single"/>
              </w:rPr>
              <w:t>Level I</w:t>
            </w:r>
            <w:r>
              <w:rPr>
                <w:rFonts w:ascii="Times New Roman" w:hAnsi="Times New Roman"/>
                <w:color w:val="000000"/>
                <w:sz w:val="22"/>
              </w:rPr>
              <w:t>:</w:t>
            </w:r>
          </w:p>
        </w:tc>
        <w:tc>
          <w:tcPr>
            <w:tcW w:w="467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0.90%</w:t>
            </w:r>
          </w:p>
          <w:p>
            <w:pPr>
              <w:pStyle w:val="TableContents"/>
              <w:bidi w:val="0"/>
              <w:spacing w:before="0" w:after="283"/>
              <w:jc w:val="center"/>
              <w:rPr/>
            </w:pPr>
            <w:r>
              <w:rPr/>
              <w:t> </w:t>
            </w:r>
          </w:p>
        </w:tc>
        <w:tc>
          <w:tcPr>
            <w:tcW w:w="258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w:t>
            </w:r>
          </w:p>
          <w:p>
            <w:pPr>
              <w:pStyle w:val="TableContents"/>
              <w:bidi w:val="0"/>
              <w:spacing w:before="0" w:after="283"/>
              <w:jc w:val="center"/>
              <w:rPr/>
            </w:pPr>
            <w:r>
              <w:rPr/>
              <w:t> </w:t>
            </w:r>
          </w:p>
        </w:tc>
        <w:tc>
          <w:tcPr>
            <w:tcW w:w="1631" w:type="dxa"/>
            <w:tcBorders>
              <w:bottom w:val="sing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0.10%</w:t>
            </w:r>
          </w:p>
        </w:tc>
      </w:tr>
      <w:tr>
        <w:trPr/>
        <w:tc>
          <w:tcPr>
            <w:tcW w:w="1310" w:type="dxa"/>
            <w:tcBorders>
              <w:left w:val="doub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u w:val="single"/>
              </w:rPr>
              <w:t>Level II</w:t>
            </w:r>
            <w:r>
              <w:rPr>
                <w:rFonts w:ascii="Times New Roman" w:hAnsi="Times New Roman"/>
                <w:color w:val="000000"/>
                <w:sz w:val="22"/>
              </w:rPr>
              <w:t>:</w:t>
            </w:r>
          </w:p>
        </w:tc>
        <w:tc>
          <w:tcPr>
            <w:tcW w:w="467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1.00%</w:t>
            </w:r>
          </w:p>
          <w:p>
            <w:pPr>
              <w:pStyle w:val="TableContents"/>
              <w:bidi w:val="0"/>
              <w:spacing w:before="0" w:after="283"/>
              <w:jc w:val="center"/>
              <w:rPr/>
            </w:pPr>
            <w:r>
              <w:rPr/>
              <w:t> </w:t>
            </w:r>
          </w:p>
        </w:tc>
        <w:tc>
          <w:tcPr>
            <w:tcW w:w="258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w:t>
            </w:r>
          </w:p>
          <w:p>
            <w:pPr>
              <w:pStyle w:val="TableContents"/>
              <w:bidi w:val="0"/>
              <w:spacing w:before="0" w:after="283"/>
              <w:jc w:val="center"/>
              <w:rPr/>
            </w:pPr>
            <w:r>
              <w:rPr/>
              <w:t> </w:t>
            </w:r>
          </w:p>
        </w:tc>
        <w:tc>
          <w:tcPr>
            <w:tcW w:w="1631" w:type="dxa"/>
            <w:tcBorders>
              <w:bottom w:val="sing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0.125%</w:t>
            </w:r>
          </w:p>
        </w:tc>
      </w:tr>
      <w:tr>
        <w:trPr/>
        <w:tc>
          <w:tcPr>
            <w:tcW w:w="1310" w:type="dxa"/>
            <w:tcBorders>
              <w:left w:val="doub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u w:val="single"/>
              </w:rPr>
              <w:t>Level III</w:t>
            </w:r>
            <w:r>
              <w:rPr>
                <w:rFonts w:ascii="Times New Roman" w:hAnsi="Times New Roman"/>
                <w:color w:val="000000"/>
                <w:sz w:val="22"/>
              </w:rPr>
              <w:t>:</w:t>
            </w:r>
          </w:p>
        </w:tc>
        <w:tc>
          <w:tcPr>
            <w:tcW w:w="467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1.10%</w:t>
            </w:r>
          </w:p>
          <w:p>
            <w:pPr>
              <w:pStyle w:val="TableContents"/>
              <w:bidi w:val="0"/>
              <w:spacing w:before="0" w:after="283"/>
              <w:jc w:val="center"/>
              <w:rPr/>
            </w:pPr>
            <w:r>
              <w:rPr/>
              <w:t> </w:t>
            </w:r>
          </w:p>
        </w:tc>
        <w:tc>
          <w:tcPr>
            <w:tcW w:w="2588"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0.10%</w:t>
            </w:r>
          </w:p>
          <w:p>
            <w:pPr>
              <w:pStyle w:val="TableContents"/>
              <w:bidi w:val="0"/>
              <w:spacing w:before="0" w:after="283"/>
              <w:jc w:val="center"/>
              <w:rPr/>
            </w:pPr>
            <w:r>
              <w:rPr/>
              <w:t> </w:t>
            </w:r>
          </w:p>
        </w:tc>
        <w:tc>
          <w:tcPr>
            <w:tcW w:w="1631" w:type="dxa"/>
            <w:tcBorders>
              <w:bottom w:val="sing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0.15%</w:t>
            </w:r>
          </w:p>
        </w:tc>
      </w:tr>
      <w:tr>
        <w:trPr/>
        <w:tc>
          <w:tcPr>
            <w:tcW w:w="1310" w:type="dxa"/>
            <w:tcBorders>
              <w:left w:val="double" w:sz="4" w:space="0" w:color="000000"/>
              <w:bottom w:val="double" w:sz="4" w:space="0" w:color="000000"/>
              <w:right w:val="single" w:sz="4" w:space="0" w:color="000000"/>
            </w:tcBorders>
            <w:tcMar>
              <w:top w:w="0" w:type="dxa"/>
              <w:left w:w="108" w:type="dxa"/>
              <w:right w:w="108" w:type="dxa"/>
            </w:tcMar>
            <w:vAlign w:val="center"/>
          </w:tcPr>
          <w:p>
            <w:pPr>
              <w:pStyle w:val="TableContents"/>
              <w:bidi w:val="0"/>
              <w:spacing w:before="0" w:after="200"/>
              <w:jc w:val="center"/>
              <w:rPr>
                <w:rFonts w:ascii="Times New Roman" w:hAnsi="Times New Roman"/>
                <w:sz w:val="22"/>
              </w:rPr>
            </w:pPr>
            <w:r>
              <w:rPr>
                <w:rFonts w:ascii="Times New Roman" w:hAnsi="Times New Roman"/>
                <w:color w:val="000000"/>
                <w:sz w:val="22"/>
                <w:u w:val="single"/>
              </w:rPr>
              <w:t>Level IV</w:t>
            </w:r>
            <w:r>
              <w:rPr>
                <w:rFonts w:ascii="Times New Roman" w:hAnsi="Times New Roman"/>
                <w:color w:val="000000"/>
                <w:sz w:val="22"/>
              </w:rPr>
              <w:t>:</w:t>
            </w:r>
          </w:p>
        </w:tc>
        <w:tc>
          <w:tcPr>
            <w:tcW w:w="4676" w:type="dxa"/>
            <w:tcBorders>
              <w:bottom w:val="doub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1.30%</w:t>
            </w:r>
          </w:p>
          <w:p>
            <w:pPr>
              <w:pStyle w:val="TableContents"/>
              <w:bidi w:val="0"/>
              <w:spacing w:before="0" w:after="283"/>
              <w:jc w:val="center"/>
              <w:rPr/>
            </w:pPr>
            <w:r>
              <w:rPr/>
              <w:t> </w:t>
            </w:r>
          </w:p>
        </w:tc>
        <w:tc>
          <w:tcPr>
            <w:tcW w:w="2588" w:type="dxa"/>
            <w:tcBorders>
              <w:bottom w:val="doub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0.30%</w:t>
            </w:r>
          </w:p>
          <w:p>
            <w:pPr>
              <w:pStyle w:val="TableContents"/>
              <w:bidi w:val="0"/>
              <w:spacing w:before="0" w:after="283"/>
              <w:jc w:val="center"/>
              <w:rPr/>
            </w:pPr>
            <w:r>
              <w:rPr/>
              <w:t> </w:t>
            </w:r>
          </w:p>
        </w:tc>
        <w:tc>
          <w:tcPr>
            <w:tcW w:w="1631" w:type="dxa"/>
            <w:tcBorders>
              <w:bottom w:val="doub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0.20%</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8"/>
        <w:gridCol w:w="2920"/>
        <w:gridCol w:w="1635"/>
        <w:gridCol w:w="2920"/>
        <w:gridCol w:w="1682"/>
      </w:tblGrid>
      <w:tr>
        <w:trPr/>
        <w:tc>
          <w:tcPr>
            <w:tcW w:w="1048"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1048" w:type="dxa"/>
            <w:tcBorders>
              <w:top w:val="double" w:sz="4" w:space="0" w:color="000000"/>
              <w:left w:val="doub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Pricing Level</w:t>
            </w:r>
          </w:p>
        </w:tc>
        <w:tc>
          <w:tcPr>
            <w:tcW w:w="2920" w:type="dxa"/>
            <w:tcBorders>
              <w:top w:val="doub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Term Benchmark / RFR Spread for Term A-1 Loans</w:t>
            </w:r>
          </w:p>
        </w:tc>
        <w:tc>
          <w:tcPr>
            <w:tcW w:w="1635" w:type="dxa"/>
            <w:tcBorders>
              <w:top w:val="doub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 xml:space="preserve">ABR </w:t>
              <w:br/>
              <w:t>Spread for Term A-1 Loans</w:t>
            </w:r>
          </w:p>
        </w:tc>
        <w:tc>
          <w:tcPr>
            <w:tcW w:w="2920" w:type="dxa"/>
            <w:tcBorders>
              <w:top w:val="doub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Term Benchmark / RFR Spread for Term A-2 Loans</w:t>
            </w:r>
          </w:p>
        </w:tc>
        <w:tc>
          <w:tcPr>
            <w:tcW w:w="1682" w:type="dxa"/>
            <w:tcBorders>
              <w:top w:val="double" w:sz="4" w:space="0" w:color="000000"/>
              <w:bottom w:val="single" w:sz="4" w:space="0" w:color="000000"/>
              <w:right w:val="double" w:sz="4" w:space="0" w:color="000000"/>
            </w:tcBorders>
            <w:tcMar>
              <w:left w:w="0" w:type="dxa"/>
              <w:right w:w="108" w:type="dxa"/>
            </w:tcMar>
            <w:vAlign w:val="center"/>
          </w:tcPr>
          <w:p>
            <w:pPr>
              <w:pStyle w:val="TableContents"/>
              <w:bidi w:val="0"/>
              <w:spacing w:before="0" w:after="200"/>
              <w:jc w:val="center"/>
              <w:rPr>
                <w:rFonts w:ascii="Times New Roman" w:hAnsi="Times New Roman"/>
                <w:color w:val="000000"/>
                <w:sz w:val="22"/>
                <w:u w:val="single"/>
              </w:rPr>
            </w:pPr>
            <w:r>
              <w:rPr>
                <w:rFonts w:ascii="Times New Roman" w:hAnsi="Times New Roman"/>
                <w:color w:val="000000"/>
                <w:sz w:val="22"/>
                <w:u w:val="single"/>
              </w:rPr>
              <w:t xml:space="preserve">ABR </w:t>
              <w:br/>
              <w:t>Spread for Term A-2 Loans</w:t>
            </w:r>
          </w:p>
        </w:tc>
      </w:tr>
      <w:tr>
        <w:trPr/>
        <w:tc>
          <w:tcPr>
            <w:tcW w:w="1048" w:type="dxa"/>
            <w:tcBorders>
              <w:left w:val="doub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00"/>
              <w:jc w:val="center"/>
              <w:rPr>
                <w:rFonts w:ascii="Times New Roman" w:hAnsi="Times New Roman"/>
                <w:sz w:val="22"/>
              </w:rPr>
            </w:pPr>
            <w:r>
              <w:rPr>
                <w:rFonts w:ascii="Times New Roman" w:hAnsi="Times New Roman"/>
                <w:color w:val="000000"/>
                <w:sz w:val="22"/>
                <w:u w:val="single"/>
              </w:rPr>
              <w:t>Level I</w:t>
            </w:r>
            <w:r>
              <w:rPr>
                <w:rFonts w:ascii="Times New Roman" w:hAnsi="Times New Roman"/>
                <w:color w:val="000000"/>
                <w:sz w:val="22"/>
              </w:rPr>
              <w:t>:</w:t>
            </w:r>
          </w:p>
        </w:tc>
        <w:tc>
          <w:tcPr>
            <w:tcW w:w="2920"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0.875%</w:t>
            </w:r>
          </w:p>
          <w:p>
            <w:pPr>
              <w:pStyle w:val="TableContents"/>
              <w:bidi w:val="0"/>
              <w:spacing w:before="0" w:after="283"/>
              <w:jc w:val="center"/>
              <w:rPr/>
            </w:pPr>
            <w:r>
              <w:rPr/>
              <w:t> </w:t>
            </w:r>
          </w:p>
        </w:tc>
        <w:tc>
          <w:tcPr>
            <w:tcW w:w="1635"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w:t>
            </w:r>
          </w:p>
          <w:p>
            <w:pPr>
              <w:pStyle w:val="TableContents"/>
              <w:bidi w:val="0"/>
              <w:spacing w:before="0" w:after="283"/>
              <w:jc w:val="center"/>
              <w:rPr/>
            </w:pPr>
            <w:r>
              <w:rPr/>
              <w:t> </w:t>
            </w:r>
          </w:p>
        </w:tc>
        <w:tc>
          <w:tcPr>
            <w:tcW w:w="29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w:t>
            </w:r>
          </w:p>
        </w:tc>
        <w:tc>
          <w:tcPr>
            <w:tcW w:w="1682" w:type="dxa"/>
            <w:tcBorders>
              <w:bottom w:val="sing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w:t>
            </w:r>
          </w:p>
        </w:tc>
      </w:tr>
      <w:tr>
        <w:trPr/>
        <w:tc>
          <w:tcPr>
            <w:tcW w:w="1048" w:type="dxa"/>
            <w:tcBorders>
              <w:left w:val="doub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u w:val="single"/>
              </w:rPr>
              <w:t>Level II</w:t>
            </w:r>
            <w:r>
              <w:rPr>
                <w:rFonts w:ascii="Times New Roman" w:hAnsi="Times New Roman"/>
                <w:color w:val="000000"/>
                <w:sz w:val="22"/>
              </w:rPr>
              <w:t>:</w:t>
            </w:r>
          </w:p>
        </w:tc>
        <w:tc>
          <w:tcPr>
            <w:tcW w:w="2920"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1.00%</w:t>
            </w:r>
          </w:p>
          <w:p>
            <w:pPr>
              <w:pStyle w:val="TableContents"/>
              <w:bidi w:val="0"/>
              <w:spacing w:before="0" w:after="283"/>
              <w:jc w:val="center"/>
              <w:rPr/>
            </w:pPr>
            <w:r>
              <w:rPr/>
              <w:t> </w:t>
            </w:r>
          </w:p>
        </w:tc>
        <w:tc>
          <w:tcPr>
            <w:tcW w:w="1635"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w:t>
            </w:r>
          </w:p>
          <w:p>
            <w:pPr>
              <w:pStyle w:val="TableContents"/>
              <w:bidi w:val="0"/>
              <w:spacing w:before="0" w:after="283"/>
              <w:jc w:val="center"/>
              <w:rPr/>
            </w:pPr>
            <w:r>
              <w:rPr/>
              <w:t> </w:t>
            </w:r>
          </w:p>
        </w:tc>
        <w:tc>
          <w:tcPr>
            <w:tcW w:w="29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1.125%</w:t>
            </w:r>
          </w:p>
        </w:tc>
        <w:tc>
          <w:tcPr>
            <w:tcW w:w="1682" w:type="dxa"/>
            <w:tcBorders>
              <w:bottom w:val="sing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0.125%</w:t>
            </w:r>
          </w:p>
        </w:tc>
      </w:tr>
      <w:tr>
        <w:trPr/>
        <w:tc>
          <w:tcPr>
            <w:tcW w:w="1048" w:type="dxa"/>
            <w:tcBorders>
              <w:left w:val="doub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u w:val="single"/>
              </w:rPr>
              <w:t>Level III</w:t>
            </w:r>
            <w:r>
              <w:rPr>
                <w:rFonts w:ascii="Times New Roman" w:hAnsi="Times New Roman"/>
                <w:color w:val="000000"/>
                <w:sz w:val="22"/>
              </w:rPr>
              <w:t>:</w:t>
            </w:r>
          </w:p>
        </w:tc>
        <w:tc>
          <w:tcPr>
            <w:tcW w:w="2920"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1.125%</w:t>
            </w:r>
          </w:p>
          <w:p>
            <w:pPr>
              <w:pStyle w:val="TableContents"/>
              <w:bidi w:val="0"/>
              <w:spacing w:before="0" w:after="283"/>
              <w:jc w:val="center"/>
              <w:rPr/>
            </w:pPr>
            <w:r>
              <w:rPr/>
              <w:t> </w:t>
            </w:r>
          </w:p>
        </w:tc>
        <w:tc>
          <w:tcPr>
            <w:tcW w:w="1635"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0.125%</w:t>
            </w:r>
          </w:p>
          <w:p>
            <w:pPr>
              <w:pStyle w:val="TableContents"/>
              <w:bidi w:val="0"/>
              <w:spacing w:before="0" w:after="283"/>
              <w:jc w:val="center"/>
              <w:rPr/>
            </w:pPr>
            <w:r>
              <w:rPr/>
              <w:t> </w:t>
            </w:r>
          </w:p>
        </w:tc>
        <w:tc>
          <w:tcPr>
            <w:tcW w:w="29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w:t>
            </w:r>
          </w:p>
        </w:tc>
        <w:tc>
          <w:tcPr>
            <w:tcW w:w="1682" w:type="dxa"/>
            <w:tcBorders>
              <w:bottom w:val="sing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0.25%</w:t>
            </w:r>
          </w:p>
        </w:tc>
      </w:tr>
      <w:tr>
        <w:trPr/>
        <w:tc>
          <w:tcPr>
            <w:tcW w:w="1048" w:type="dxa"/>
            <w:tcBorders>
              <w:left w:val="double" w:sz="4" w:space="0" w:color="000000"/>
              <w:bottom w:val="double" w:sz="4" w:space="0" w:color="000000"/>
              <w:right w:val="single" w:sz="4" w:space="0" w:color="000000"/>
            </w:tcBorders>
            <w:tcMar>
              <w:top w:w="0" w:type="dxa"/>
              <w:left w:w="108" w:type="dxa"/>
              <w:right w:w="108" w:type="dxa"/>
            </w:tcMar>
            <w:vAlign w:val="center"/>
          </w:tcPr>
          <w:p>
            <w:pPr>
              <w:pStyle w:val="TableContents"/>
              <w:bidi w:val="0"/>
              <w:spacing w:before="0" w:after="200"/>
              <w:jc w:val="center"/>
              <w:rPr>
                <w:rFonts w:ascii="Times New Roman" w:hAnsi="Times New Roman"/>
                <w:sz w:val="22"/>
              </w:rPr>
            </w:pPr>
            <w:r>
              <w:rPr>
                <w:rFonts w:ascii="Times New Roman" w:hAnsi="Times New Roman"/>
                <w:color w:val="000000"/>
                <w:sz w:val="22"/>
                <w:u w:val="single"/>
              </w:rPr>
              <w:t>Level IV</w:t>
            </w:r>
            <w:r>
              <w:rPr>
                <w:rFonts w:ascii="Times New Roman" w:hAnsi="Times New Roman"/>
                <w:color w:val="000000"/>
                <w:sz w:val="22"/>
              </w:rPr>
              <w:t>:</w:t>
            </w:r>
          </w:p>
        </w:tc>
        <w:tc>
          <w:tcPr>
            <w:tcW w:w="2920" w:type="dxa"/>
            <w:tcBorders>
              <w:bottom w:val="doub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1.375%</w:t>
            </w:r>
          </w:p>
          <w:p>
            <w:pPr>
              <w:pStyle w:val="TableContents"/>
              <w:bidi w:val="0"/>
              <w:spacing w:before="0" w:after="283"/>
              <w:jc w:val="center"/>
              <w:rPr/>
            </w:pPr>
            <w:r>
              <w:rPr/>
              <w:t> </w:t>
            </w:r>
          </w:p>
        </w:tc>
        <w:tc>
          <w:tcPr>
            <w:tcW w:w="1635" w:type="dxa"/>
            <w:tcBorders>
              <w:bottom w:val="doub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0.375%</w:t>
            </w:r>
          </w:p>
          <w:p>
            <w:pPr>
              <w:pStyle w:val="TableContents"/>
              <w:bidi w:val="0"/>
              <w:spacing w:before="0" w:after="283"/>
              <w:jc w:val="center"/>
              <w:rPr/>
            </w:pPr>
            <w:r>
              <w:rPr/>
              <w:t> </w:t>
            </w:r>
          </w:p>
        </w:tc>
        <w:tc>
          <w:tcPr>
            <w:tcW w:w="2920" w:type="dxa"/>
            <w:tcBorders>
              <w:bottom w:val="doub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w:t>
            </w:r>
          </w:p>
        </w:tc>
        <w:tc>
          <w:tcPr>
            <w:tcW w:w="1682" w:type="dxa"/>
            <w:tcBorders>
              <w:bottom w:val="double" w:sz="4" w:space="0" w:color="000000"/>
              <w:right w:val="doub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0.50%</w:t>
            </w:r>
          </w:p>
        </w:tc>
      </w:tr>
    </w:tbl>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and notwithstanding,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Pricing Level I, Leverage Level 1 and Ratings Level A are equivalent and correspond to each other, and Pricing Level I shall be the lowest Pricing Level for purposes of this definition, (b) Pricing Level II, Leverage Level 2 and Ratings Level B are equivalent and correspond to each other, (c) Pricing Level III, Leverage Level 3 and Ratings Level C are equivalent and correspond to each other, and (d) Pricing Level IV, Leverage Level 4 and Ratings Level D are equivalent and correspond to each other, and Pricing Level IV shall be the highest Pricing Level for purposes of this definition;</w:t>
      </w:r>
    </w:p>
    <w:p>
      <w:pPr>
        <w:pStyle w:val="TextBody"/>
        <w:bidi w:val="0"/>
        <w:jc w:val="both"/>
        <w:rPr>
          <w:rFonts w:ascii="Times New Roman" w:hAnsi="Times New Roman"/>
          <w:color w:val="000000"/>
          <w:sz w:val="22"/>
        </w:rPr>
      </w:pPr>
      <w:r>
        <w:rPr>
          <w:rFonts w:ascii="Times New Roman" w:hAnsi="Times New Roman"/>
          <w:color w:val="000000"/>
          <w:sz w:val="22"/>
        </w:rPr>
        <w:t>(ii) at any time of determination, the Pricing Level shall be determined by reference to the Leverage Level or the Ratings Level then in effect which would result in the lower corresponding Pricing Level;</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(iii) if at any time the Company fails to deliver the Financials on or before the date the Financials are due pursuant to Section 5.01, at the option of the Administrative Agent or at the request of the Required Lenders, Pricing Level IV shall be deemed applicable for the period commencing three (3) Business Days after the required date of delivery and ending on the date which is three (3) Business Days after the Financials are actually delivered, after which the Pricing Level shall be determined in accordance with the table above as applicable;</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(iv) notwithstanding the foregoing, Pricing Level III shall be deemed to be applicable until the Administrative Agent’s receipt of the applicable Financials for the Company’s first fiscal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quarter ending after the Effective Date and adjustments to the Pricing Level then in effect shall thereafter be effected in accordance with this definition;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at any time of determination, the “Leverage Level” shall be based upon the Net Leverage Ratio applicable at such time:</w:t>
      </w:r>
    </w:p>
    <w:tbl>
      <w:tblPr>
        <w:tblW w:w="3107" w:type="dxa"/>
        <w:jc w:val="left"/>
        <w:tblInd w:w="0" w:type="dxa"/>
        <w:tblLayout w:type="fixed"/>
        <w:tblCellMar>
          <w:top w:w="28" w:type="dxa"/>
          <w:left w:w="28" w:type="dxa"/>
          <w:bottom w:w="28" w:type="dxa"/>
          <w:right w:w="28" w:type="dxa"/>
        </w:tblCellMar>
      </w:tblPr>
      <w:tblGrid>
        <w:gridCol w:w="1381"/>
        <w:gridCol w:w="1726"/>
      </w:tblGrid>
      <w:tr>
        <w:trPr/>
        <w:tc>
          <w:tcPr>
            <w:tcW w:w="138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Leverage Level</w:t>
            </w:r>
          </w:p>
        </w:tc>
        <w:tc>
          <w:tcPr>
            <w:tcW w:w="17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Net Leverage Ratio</w:t>
              <w:br/>
              <w:t> </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Level 1</w:t>
            </w:r>
          </w:p>
          <w:p>
            <w:pPr>
              <w:pStyle w:val="TableContents"/>
              <w:bidi w:val="0"/>
              <w:spacing w:before="0" w:after="283"/>
              <w:jc w:val="center"/>
              <w:rPr/>
            </w:pPr>
            <w:r>
              <w:rPr/>
              <w:t> </w:t>
            </w:r>
          </w:p>
        </w:tc>
        <w:tc>
          <w:tcPr>
            <w:tcW w:w="17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1.00 to 1.00</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72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20"/>
              </w:rPr>
            </w:pPr>
            <w:r>
              <w:rPr>
                <w:rFonts w:ascii="Times New Roman" w:hAnsi="Times New Roman"/>
                <w:color w:val="000000"/>
                <w:sz w:val="20"/>
              </w:rPr>
              <w:t xml:space="preserve">&gt; 1.00 to 1.00 but </w:t>
              <w:br/>
            </w:r>
            <w:r>
              <w:rPr>
                <w:rFonts w:ascii="Times New Roman" w:hAnsi="Times New Roman"/>
                <w:color w:val="000000"/>
                <w:sz w:val="20"/>
                <w:u w:val="single"/>
              </w:rPr>
              <w:t>&lt;</w:t>
            </w:r>
            <w:r>
              <w:rPr>
                <w:rFonts w:ascii="Times New Roman" w:hAnsi="Times New Roman"/>
                <w:color w:val="000000"/>
                <w:sz w:val="20"/>
              </w:rPr>
              <w:t> 2.00 to 1.00</w:t>
            </w:r>
          </w:p>
          <w:p>
            <w:pPr>
              <w:pStyle w:val="TableContents"/>
              <w:bidi w:val="0"/>
              <w:spacing w:before="0" w:after="283"/>
              <w:jc w:val="center"/>
              <w:rPr/>
            </w:pPr>
            <w:r>
              <w:rPr/>
              <w:t> </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3</w:t>
            </w:r>
          </w:p>
        </w:tc>
        <w:tc>
          <w:tcPr>
            <w:tcW w:w="172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sz w:val="20"/>
              </w:rPr>
            </w:pPr>
            <w:r>
              <w:rPr>
                <w:rFonts w:ascii="Times New Roman" w:hAnsi="Times New Roman"/>
                <w:color w:val="000000"/>
                <w:sz w:val="20"/>
              </w:rPr>
              <w:t xml:space="preserve">&gt; 2.00 to 1.00 but </w:t>
              <w:br/>
            </w:r>
            <w:r>
              <w:rPr>
                <w:rFonts w:ascii="Times New Roman" w:hAnsi="Times New Roman"/>
                <w:b/>
                <w:color w:val="000000"/>
                <w:sz w:val="20"/>
                <w:u w:val="single"/>
              </w:rPr>
              <w:t>&lt;</w:t>
            </w:r>
            <w:r>
              <w:rPr>
                <w:rFonts w:ascii="Times New Roman" w:hAnsi="Times New Roman"/>
                <w:color w:val="000000"/>
                <w:sz w:val="20"/>
              </w:rPr>
              <w:t> 3.00 to 1.00</w:t>
            </w:r>
          </w:p>
          <w:p>
            <w:pPr>
              <w:pStyle w:val="TableContents"/>
              <w:bidi w:val="0"/>
              <w:spacing w:before="0" w:after="283"/>
              <w:jc w:val="center"/>
              <w:rPr/>
            </w:pPr>
            <w:r>
              <w:rPr/>
              <w:t> </w:t>
            </w:r>
          </w:p>
        </w:tc>
      </w:tr>
      <w:tr>
        <w:trPr/>
        <w:tc>
          <w:tcPr>
            <w:tcW w:w="13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Level 4</w:t>
            </w:r>
          </w:p>
          <w:p>
            <w:pPr>
              <w:pStyle w:val="TableContents"/>
              <w:bidi w:val="0"/>
              <w:spacing w:before="0" w:after="283"/>
              <w:jc w:val="left"/>
              <w:rPr/>
            </w:pPr>
            <w:r>
              <w:rPr/>
              <w:t> </w:t>
            </w:r>
          </w:p>
        </w:tc>
        <w:tc>
          <w:tcPr>
            <w:tcW w:w="172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&gt; 3.00 to 1.00</w:t>
            </w:r>
          </w:p>
          <w:p>
            <w:pPr>
              <w:pStyle w:val="TableContents"/>
              <w:bidi w:val="0"/>
              <w:spacing w:before="0" w:after="283"/>
              <w:jc w:val="center"/>
              <w:rPr/>
            </w:pPr>
            <w:r>
              <w:rPr/>
              <w:t> </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Except as otherwise provided in the paragraph above,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(vi) at any time of determination, the “Ratings Level” shall be based upon the long-term debt ratings by Moody’s, S&amp;P and Fitch, respectively, applicable at such time to the Index Debt:</w:t>
      </w:r>
    </w:p>
    <w:p>
      <w:pPr>
        <w:pStyle w:val="TextBody"/>
        <w:bidi w:val="0"/>
        <w:jc w:val="left"/>
        <w:rPr/>
      </w:pPr>
      <w:r>
        <w:rPr/>
        <w:t> </w:t>
      </w:r>
    </w:p>
    <w:tbl>
      <w:tblPr>
        <w:tblW w:w="3452" w:type="dxa"/>
        <w:jc w:val="left"/>
        <w:tblInd w:w="0" w:type="dxa"/>
        <w:tblLayout w:type="fixed"/>
        <w:tblCellMar>
          <w:top w:w="28" w:type="dxa"/>
          <w:left w:w="28" w:type="dxa"/>
          <w:bottom w:w="28" w:type="dxa"/>
          <w:right w:w="28" w:type="dxa"/>
        </w:tblCellMar>
      </w:tblPr>
      <w:tblGrid>
        <w:gridCol w:w="1261"/>
        <w:gridCol w:w="2191"/>
      </w:tblGrid>
      <w:tr>
        <w:trPr/>
        <w:tc>
          <w:tcPr>
            <w:tcW w:w="12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2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Ratings Level</w:t>
            </w:r>
          </w:p>
        </w:tc>
        <w:tc>
          <w:tcPr>
            <w:tcW w:w="2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color w:val="000000"/>
                <w:sz w:val="20"/>
                <w:u w:val="single"/>
              </w:rPr>
            </w:pPr>
            <w:r>
              <w:rPr>
                <w:rFonts w:ascii="Times New Roman" w:hAnsi="Times New Roman"/>
                <w:color w:val="000000"/>
                <w:sz w:val="20"/>
                <w:u w:val="single"/>
              </w:rPr>
              <w:t>Index Debt Ratings</w:t>
            </w:r>
          </w:p>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(Moody’s/S&amp;P/Fitch)</w:t>
              <w:br/>
              <w:t> </w:t>
            </w:r>
          </w:p>
        </w:tc>
      </w:tr>
      <w:tr>
        <w:trPr/>
        <w:tc>
          <w:tcPr>
            <w:tcW w:w="1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Level A</w:t>
            </w:r>
          </w:p>
          <w:p>
            <w:pPr>
              <w:pStyle w:val="TableContents"/>
              <w:bidi w:val="0"/>
              <w:spacing w:before="0" w:after="283"/>
              <w:jc w:val="center"/>
              <w:rPr/>
            </w:pPr>
            <w:r>
              <w:rPr/>
              <w:t> </w:t>
            </w:r>
          </w:p>
        </w:tc>
        <w:tc>
          <w:tcPr>
            <w:tcW w:w="2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xml:space="preserve"> Baa1 / </w:t>
            </w:r>
            <w:r>
              <w:rPr>
                <w:rFonts w:ascii="Times New Roman" w:hAnsi="Times New Roman"/>
                <w:color w:val="000000"/>
                <w:sz w:val="20"/>
                <w:u w:val="single"/>
              </w:rPr>
              <w:t>&gt;</w:t>
            </w:r>
            <w:r>
              <w:rPr>
                <w:rFonts w:ascii="Times New Roman" w:hAnsi="Times New Roman"/>
                <w:color w:val="000000"/>
                <w:sz w:val="20"/>
              </w:rPr>
              <w:t> BBB+ / BBB+</w:t>
            </w:r>
          </w:p>
        </w:tc>
      </w:tr>
      <w:tr>
        <w:trPr/>
        <w:tc>
          <w:tcPr>
            <w:tcW w:w="1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Level B</w:t>
            </w:r>
          </w:p>
          <w:p>
            <w:pPr>
              <w:pStyle w:val="TableContents"/>
              <w:bidi w:val="0"/>
              <w:spacing w:before="0" w:after="283"/>
              <w:jc w:val="center"/>
              <w:rPr/>
            </w:pPr>
            <w:r>
              <w:rPr/>
              <w:t> </w:t>
            </w:r>
          </w:p>
        </w:tc>
        <w:tc>
          <w:tcPr>
            <w:tcW w:w="2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Baa2 / BBB / BBB</w:t>
            </w:r>
          </w:p>
        </w:tc>
      </w:tr>
      <w:tr>
        <w:trPr/>
        <w:tc>
          <w:tcPr>
            <w:tcW w:w="1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Level C</w:t>
            </w:r>
          </w:p>
          <w:p>
            <w:pPr>
              <w:pStyle w:val="TableContents"/>
              <w:bidi w:val="0"/>
              <w:spacing w:before="0" w:after="283"/>
              <w:jc w:val="center"/>
              <w:rPr/>
            </w:pPr>
            <w:r>
              <w:rPr/>
              <w:t> </w:t>
            </w:r>
          </w:p>
        </w:tc>
        <w:tc>
          <w:tcPr>
            <w:tcW w:w="2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Baa3 / BBB- / BBB-</w:t>
            </w:r>
          </w:p>
        </w:tc>
      </w:tr>
      <w:tr>
        <w:trPr/>
        <w:tc>
          <w:tcPr>
            <w:tcW w:w="1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Level D</w:t>
            </w:r>
          </w:p>
          <w:p>
            <w:pPr>
              <w:pStyle w:val="TableContents"/>
              <w:bidi w:val="0"/>
              <w:spacing w:before="0" w:after="283"/>
              <w:jc w:val="center"/>
              <w:rPr/>
            </w:pPr>
            <w:r>
              <w:rPr/>
              <w:t> </w:t>
            </w:r>
          </w:p>
        </w:tc>
        <w:tc>
          <w:tcPr>
            <w:tcW w:w="2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&lt; Baa3 / &lt; BBB- / BBB-</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the foregoing, (i) if the ratings established by two or more of Moody’s, S&amp;P and Fitch for the Index Debt shall within the same Ratings Level, that Ratings Level shall be in effect, (ii) if none of Moody’s, S&amp;P and Fitch shall have in effect a rating for the Index Debt (other than by reason of the circumstances referred to in the last sentence of this definition), then a Ratings Level in Level D shall be in effect; (iii) if only one of Moody’s, S&amp;P and Fitch provides a rating for the Index Debt, the Ratings Level corresponding to such rating shall be in effect; (iv) if only two of Moody’s, S&amp;P and Fitch shall have in effect a rating for the Index Debt and the ratings established or deemed to have been established by such two rating agencies for the Index Debt shall fall within different Ratings Levels, the Ratings Level then in effect shall be based on the better of the two ratings (i.e., the rating which corresponds to the Ratings Level that corresponds to the lowest Pricing Level) unless one of the two ratings is two or more Ratings Levels lower than the other, in which case the Ratings Level then in effect shall be determined by reference to the Ratings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Level next below that of the better of the two ratings; (v) if the ratings established or deemed to have been established by Moody’s, S&amp;P and Fitch for the Index Debt shall each fall within different Ratings Levels, the Ratings Level then in effect shall be based on the middle of the three ratings; and (vi) if the ratings established or deemed to have been established by Moody’s, S&amp;P and Fitch for the Index Debt shall be changed (other than as a result of a change in the rating system of Moody’s, S&amp;P or Fitch), such change shall be effective as of the date that is three (3) Business Days after the date on which it is first announced by the applicable rating agency, irrespective of when notice of such change shall have been furnished by the Company to the Administrative Agent and the Lenders pursuant to Section 5.01 or otherwise. Each change in the Ratings Level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pStyle w:val="TextBody"/>
        <w:bidi w:val="0"/>
        <w:spacing w:before="0" w:after="240"/>
        <w:jc w:val="both"/>
        <w:rPr/>
      </w:pPr>
      <w:r>
        <w:rPr>
          <w:color w:val="000000"/>
        </w:rPr>
        <w:t>“</w:t>
      </w:r>
      <w:r>
        <w:rPr>
          <w:rFonts w:ascii="Times New Roman" w:hAnsi="Times New Roman"/>
          <w:color w:val="000000"/>
          <w:sz w:val="22"/>
          <w:u w:val="single"/>
        </w:rPr>
        <w:t>Applicable Time</w:t>
      </w:r>
      <w:r>
        <w:rPr>
          <w:rFonts w:ascii="Times New Roman" w:hAnsi="Times New Roman"/>
          <w:color w:val="000000"/>
          <w:sz w:val="20"/>
        </w:rPr>
        <w:t xml:space="preserve">” </w:t>
      </w:r>
      <w:r>
        <w:rPr>
          <w:rFonts w:ascii="Times New Roman" w:hAnsi="Times New Roman"/>
          <w:color w:val="000000"/>
          <w:sz w:val="22"/>
        </w:rPr>
        <w:t>means, with respect to any Borrowings and payments in any Foreign Currency, the local time in the place of settlement for such Foreign Currency as may be determined by the Administrative Agent or the relevant Issuing Bank, as the case may be, to be necessary for timely settlement on the relevant date in accordance with normal banking procedures in the place of payment.</w:t>
      </w:r>
    </w:p>
    <w:p>
      <w:pPr>
        <w:pStyle w:val="TextBody"/>
        <w:bidi w:val="0"/>
        <w:spacing w:before="0" w:after="240"/>
        <w:jc w:val="both"/>
        <w:rPr/>
      </w:pPr>
      <w:r>
        <w:rPr>
          <w:color w:val="000000"/>
        </w:rPr>
        <w:t>“</w:t>
      </w:r>
      <w:r>
        <w:rPr>
          <w:rFonts w:ascii="Times New Roman" w:hAnsi="Times New Roman"/>
          <w:color w:val="000000"/>
          <w:sz w:val="22"/>
          <w:u w:val="single"/>
        </w:rPr>
        <w:t>Approved Borrower Portal</w:t>
      </w:r>
      <w:r>
        <w:rPr>
          <w:rFonts w:ascii="Times New Roman" w:hAnsi="Times New Roman"/>
          <w:color w:val="000000"/>
          <w:sz w:val="20"/>
        </w:rPr>
        <w:t xml:space="preserve">” </w:t>
      </w:r>
      <w:r>
        <w:rPr>
          <w:rFonts w:ascii="Times New Roman" w:hAnsi="Times New Roman"/>
          <w:color w:val="000000"/>
          <w:sz w:val="22"/>
        </w:rPr>
        <w:t>has the meaning assigned to such term in Section 9.01(f)(i).</w:t>
      </w:r>
    </w:p>
    <w:p>
      <w:pPr>
        <w:pStyle w:val="TextBody"/>
        <w:bidi w:val="0"/>
        <w:spacing w:before="0" w:after="240"/>
        <w:jc w:val="both"/>
        <w:rPr/>
      </w:pPr>
      <w:r>
        <w:rPr>
          <w:color w:val="000000"/>
        </w:rPr>
        <w:t>“</w:t>
      </w:r>
      <w:r>
        <w:rPr>
          <w:rFonts w:ascii="Times New Roman" w:hAnsi="Times New Roman"/>
          <w:color w:val="000000"/>
          <w:sz w:val="22"/>
          <w:u w:val="single"/>
        </w:rPr>
        <w:t>Approved Electronic Platform</w:t>
      </w:r>
      <w:r>
        <w:rPr>
          <w:rFonts w:ascii="Times New Roman" w:hAnsi="Times New Roman"/>
          <w:color w:val="000000"/>
          <w:sz w:val="20"/>
        </w:rPr>
        <w:t xml:space="preserve">” </w:t>
      </w:r>
      <w:r>
        <w:rPr>
          <w:rFonts w:ascii="Times New Roman" w:hAnsi="Times New Roman"/>
          <w:color w:val="000000"/>
          <w:sz w:val="22"/>
        </w:rPr>
        <w:t>has the meaning assigned to such term in Section 9.01(e)(i).</w:t>
      </w:r>
    </w:p>
    <w:p>
      <w:pPr>
        <w:pStyle w:val="TextBody"/>
        <w:bidi w:val="0"/>
        <w:spacing w:before="0" w:after="24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has the meaning assigned to such term in Section 9.04(b).</w:t>
      </w:r>
    </w:p>
    <w:p>
      <w:pPr>
        <w:pStyle w:val="TextBody"/>
        <w:bidi w:val="0"/>
        <w:spacing w:before="0" w:after="240"/>
        <w:jc w:val="both"/>
        <w:rPr/>
      </w:pPr>
      <w:r>
        <w:rPr>
          <w:color w:val="000000"/>
        </w:rPr>
        <w:t>“</w:t>
      </w:r>
      <w:r>
        <w:rPr>
          <w:rFonts w:ascii="Times New Roman" w:hAnsi="Times New Roman"/>
          <w:color w:val="000000"/>
          <w:sz w:val="22"/>
          <w:u w:val="single"/>
        </w:rPr>
        <w:t>Assignment and Assumption</w:t>
      </w:r>
      <w:r>
        <w:rPr>
          <w:rFonts w:ascii="Times New Roman" w:hAnsi="Times New Roman"/>
          <w:color w:val="000000"/>
          <w:sz w:val="20"/>
        </w:rPr>
        <w:t xml:space="preserve">” </w:t>
      </w:r>
      <w:r>
        <w:rPr>
          <w:rFonts w:ascii="Times New Roman" w:hAnsi="Times New Roman"/>
          <w:color w:val="000000"/>
          <w:sz w:val="22"/>
        </w:rPr>
        <w:t xml:space="preserve">means an assignment and assumption agreement entered into by a Lender and an assignee (with the consent of any party whose consent is required by Section 9.04), and accepted by the Administrative Agent, in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or any other form (including electronic records generated by the use of an electronic platform) approved by the Administrative Agent and, to the extent the consent of the Company is required pursuant to Section 9.04 hereof, the Company.</w:t>
      </w:r>
    </w:p>
    <w:p>
      <w:pPr>
        <w:pStyle w:val="TextBody"/>
        <w:bidi w:val="0"/>
        <w:spacing w:before="0" w:after="240"/>
        <w:jc w:val="both"/>
        <w:rPr/>
      </w:pPr>
      <w:r>
        <w:rPr>
          <w:color w:val="000000"/>
        </w:rPr>
        <w:t>“</w:t>
      </w:r>
      <w:r>
        <w:rPr>
          <w:rFonts w:ascii="Times New Roman" w:hAnsi="Times New Roman"/>
          <w:color w:val="000000"/>
          <w:sz w:val="22"/>
          <w:u w:val="single"/>
        </w:rPr>
        <w:t>Augmenting Lender</w:t>
      </w:r>
      <w:r>
        <w:rPr>
          <w:rFonts w:ascii="Times New Roman" w:hAnsi="Times New Roman"/>
          <w:color w:val="000000"/>
          <w:sz w:val="20"/>
        </w:rPr>
        <w:t xml:space="preserve">” </w:t>
      </w:r>
      <w:r>
        <w:rPr>
          <w:rFonts w:ascii="Times New Roman" w:hAnsi="Times New Roman"/>
          <w:color w:val="000000"/>
          <w:sz w:val="22"/>
        </w:rPr>
        <w:t>has the meaning assigned to such term in Section 2.20.</w:t>
      </w:r>
    </w:p>
    <w:p>
      <w:pPr>
        <w:pStyle w:val="TextBody"/>
        <w:bidi w:val="0"/>
        <w:spacing w:before="0" w:after="240"/>
        <w:jc w:val="both"/>
        <w:rPr/>
      </w:pPr>
      <w:r>
        <w:rPr>
          <w:color w:val="000000"/>
        </w:rPr>
        <w:t>“</w:t>
      </w:r>
      <w:r>
        <w:rPr>
          <w:rFonts w:ascii="Times New Roman" w:hAnsi="Times New Roman"/>
          <w:color w:val="000000"/>
          <w:sz w:val="22"/>
          <w:u w:val="single"/>
        </w:rPr>
        <w:t>Availability Period</w:t>
      </w:r>
      <w:r>
        <w:rPr>
          <w:rFonts w:ascii="Times New Roman" w:hAnsi="Times New Roman"/>
          <w:color w:val="000000"/>
          <w:sz w:val="20"/>
        </w:rPr>
        <w:t xml:space="preserve">” </w:t>
      </w:r>
      <w:r>
        <w:rPr>
          <w:rFonts w:ascii="Times New Roman" w:hAnsi="Times New Roman"/>
          <w:color w:val="000000"/>
          <w:sz w:val="22"/>
        </w:rPr>
        <w:t>means the period from and including the Effective Date to but excluding the earlier of the Revolving Credit Maturity Date and the date of termination of the Revolving Commitments.</w:t>
      </w:r>
    </w:p>
    <w:p>
      <w:pPr>
        <w:pStyle w:val="TextBody"/>
        <w:bidi w:val="0"/>
        <w:spacing w:before="0" w:after="240"/>
        <w:jc w:val="both"/>
        <w:rPr/>
      </w:pPr>
      <w:r>
        <w:rPr>
          <w:color w:val="000000"/>
        </w:rPr>
        <w:t>“</w:t>
      </w:r>
      <w:r>
        <w:rPr>
          <w:rFonts w:ascii="Times New Roman" w:hAnsi="Times New Roman"/>
          <w:color w:val="000000"/>
          <w:sz w:val="22"/>
          <w:u w:val="single"/>
        </w:rPr>
        <w:t>Available Tenor</w:t>
      </w:r>
      <w:r>
        <w:rPr>
          <w:rFonts w:ascii="Times New Roman" w:hAnsi="Times New Roman"/>
          <w:color w:val="000000"/>
          <w:sz w:val="20"/>
        </w:rPr>
        <w:t xml:space="preserve">” </w:t>
      </w:r>
      <w:r>
        <w:rPr>
          <w:rFonts w:ascii="Times New Roman" w:hAnsi="Times New Roman"/>
          <w:color w:val="000000"/>
          <w:sz w:val="22"/>
        </w:rPr>
        <w:t>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pStyle w:val="TextBody"/>
        <w:bidi w:val="0"/>
        <w:spacing w:before="0" w:after="240"/>
        <w:jc w:val="both"/>
        <w:rPr/>
      </w:pPr>
      <w:r>
        <w:rPr>
          <w:color w:val="000000"/>
        </w:rPr>
        <w:t>“</w:t>
      </w:r>
      <w:r>
        <w:rPr>
          <w:rFonts w:ascii="Times New Roman" w:hAnsi="Times New Roman"/>
          <w:color w:val="000000"/>
          <w:sz w:val="22"/>
          <w:u w:val="single"/>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2"/>
          <w:u w:val="single"/>
        </w:rPr>
        <w:t>Bankruptcy Event</w:t>
      </w:r>
      <w:r>
        <w:rPr>
          <w:rFonts w:ascii="Times New Roman" w:hAnsi="Times New Roman"/>
          <w:color w:val="000000"/>
          <w:sz w:val="20"/>
        </w:rPr>
        <w:t xml:space="preserve">” </w:t>
      </w:r>
      <w:r>
        <w:rPr>
          <w:rFonts w:ascii="Times New Roman" w:hAnsi="Times New Roman"/>
          <w:color w:val="000000"/>
          <w:sz w:val="22"/>
        </w:rPr>
        <w:t>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240"/>
        <w:jc w:val="both"/>
        <w:rPr/>
      </w:pPr>
      <w:r>
        <w:rPr>
          <w:color w:val="000000"/>
        </w:rPr>
        <w:t>“</w:t>
      </w:r>
      <w:r>
        <w:rPr>
          <w:rFonts w:ascii="Times New Roman" w:hAnsi="Times New Roman"/>
          <w:color w:val="000000"/>
          <w:sz w:val="22"/>
          <w:u w:val="single"/>
        </w:rPr>
        <w:t>Benchmark</w:t>
      </w:r>
      <w:r>
        <w:rPr>
          <w:rFonts w:ascii="Times New Roman" w:hAnsi="Times New Roman"/>
          <w:color w:val="000000"/>
          <w:sz w:val="20"/>
        </w:rPr>
        <w:t xml:space="preserve">” </w:t>
      </w:r>
      <w:r>
        <w:rPr>
          <w:rFonts w:ascii="Times New Roman" w:hAnsi="Times New Roman"/>
          <w:color w:val="000000"/>
          <w:sz w:val="22"/>
        </w:rPr>
        <w:t xml:space="preserve">means, initially, with respect to any (i) RFR Loan in any Agreed Currency, the applicable Relevant Rate for such Agreed Currency or (ii) Term Benchmark Loan in any Agreed Currency, the Relevant Rate for such Agreed Currency;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 Benchmark Transition Event or a Term CORRA Reelection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w:t>
      </w:r>
    </w:p>
    <w:p>
      <w:pPr>
        <w:pStyle w:val="TextBody"/>
        <w:bidi w:val="0"/>
        <w:spacing w:before="0" w:after="240"/>
        <w:jc w:val="both"/>
        <w:rPr/>
      </w:pPr>
      <w:bookmarkStart w:id="32" w:name="docxtextref44"/>
      <w:bookmarkEnd w:id="32"/>
      <w:r>
        <w:rPr>
          <w:color w:val="000000"/>
        </w:rPr>
        <w:t>“</w:t>
      </w:r>
      <w:r>
        <w:rPr>
          <w:rFonts w:ascii="Times New Roman" w:hAnsi="Times New Roman"/>
          <w:color w:val="000000"/>
          <w:sz w:val="22"/>
          <w:u w:val="single"/>
        </w:rPr>
        <w:t>Benchmark Replacement</w:t>
      </w:r>
      <w:r>
        <w:rPr>
          <w:rFonts w:ascii="Times New Roman" w:hAnsi="Times New Roman"/>
          <w:color w:val="000000"/>
          <w:sz w:val="20"/>
        </w:rPr>
        <w:t xml:space="preserve">” </w:t>
      </w:r>
      <w:r>
        <w:rPr>
          <w:rFonts w:ascii="Times New Roman" w:hAnsi="Times New Roman"/>
          <w:color w:val="000000"/>
          <w:sz w:val="22"/>
        </w:rPr>
        <w:t>means, for any Available Tenor, the sum of: (a)</w:t>
      </w:r>
      <w:r>
        <w:rPr>
          <w:rFonts w:ascii="Times New Roman" w:hAnsi="Times New Roman"/>
          <w:color w:val="000000"/>
          <w:sz w:val="20"/>
        </w:rPr>
        <w:t xml:space="preserve"> </w:t>
      </w:r>
      <w:r>
        <w:rPr>
          <w:rFonts w:ascii="Times New Roman" w:hAnsi="Times New Roman"/>
          <w:color w:val="000000"/>
          <w:sz w:val="22"/>
        </w:rPr>
        <w:t xml:space="preserve">the alternate benchmark rate that has been selected by the Administrative Agent and the Company as the replacement for the then-current Benchmark for the applicable Corresponding Tenor giving due consideration to </w:t>
      </w:r>
      <w:bookmarkStart w:id="33" w:name="docxtextref45"/>
      <w:bookmarkEnd w:id="33"/>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w:t>
      </w:r>
      <w:bookmarkStart w:id="34" w:name="docxtextref46"/>
      <w:bookmarkEnd w:id="3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related Benchmark Replacement Adjustment;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 If the Benchmark Replacement as determined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240"/>
        <w:jc w:val="both"/>
        <w:rPr/>
      </w:pPr>
      <w:r>
        <w:rPr>
          <w:color w:val="000000"/>
        </w:rPr>
        <w:t>“</w:t>
      </w:r>
      <w:r>
        <w:rPr>
          <w:rFonts w:ascii="Times New Roman" w:hAnsi="Times New Roman"/>
          <w:color w:val="000000"/>
          <w:sz w:val="22"/>
          <w:u w:val="single"/>
        </w:rPr>
        <w:t>Benchmark Replacement Conforming Changes</w:t>
      </w:r>
      <w:r>
        <w:rPr>
          <w:rFonts w:ascii="Times New Roman" w:hAnsi="Times New Roman"/>
          <w:color w:val="000000"/>
          <w:sz w:val="20"/>
        </w:rPr>
        <w:t xml:space="preserve">” </w:t>
      </w:r>
      <w:r>
        <w:rPr>
          <w:rFonts w:ascii="Times New Roman" w:hAnsi="Times New Roman"/>
          <w:color w:val="000000"/>
          <w:sz w:val="22"/>
        </w:rPr>
        <w:t>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consultation with the Company)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(in consultation with the Company) that no market practice for the administration of such Benchmark exists, in such other manner of administration as the Administrative Agent decides (in consultation with the Company)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Benchmark Replacement Date</w:t>
      </w:r>
      <w:r>
        <w:rPr>
          <w:rFonts w:ascii="Times New Roman" w:hAnsi="Times New Roman"/>
          <w:color w:val="000000"/>
          <w:sz w:val="20"/>
        </w:rPr>
        <w:t xml:space="preserve">” </w:t>
      </w:r>
      <w:r>
        <w:rPr>
          <w:rFonts w:ascii="Times New Roman" w:hAnsi="Times New Roman"/>
          <w:color w:val="000000"/>
          <w:sz w:val="22"/>
        </w:rPr>
        <w:t>means, with respect to any Benchmark, the earliest to occur of the following events with respect to such then-current Benchmark:</w:t>
      </w:r>
    </w:p>
    <w:p>
      <w:pPr>
        <w:pStyle w:val="TextBody"/>
        <w:bidi w:val="0"/>
        <w:spacing w:before="0" w:after="240"/>
        <w:jc w:val="both"/>
        <w:rPr>
          <w:rFonts w:ascii="Times New Roman" w:hAnsi="Times New Roman"/>
          <w:sz w:val="20"/>
        </w:rPr>
      </w:pPr>
      <w:bookmarkStart w:id="35" w:name="docxtextref58"/>
      <w:bookmarkEnd w:id="35"/>
      <w:r>
        <w:rPr>
          <w:rFonts w:ascii="Times New Roman" w:hAnsi="Times New Roman"/>
          <w:color w:val="000000"/>
          <w:sz w:val="22"/>
        </w:rPr>
        <w:t>(1) in the case of clause (1)</w:t>
      </w:r>
      <w:r>
        <w:rPr>
          <w:rFonts w:ascii="Times New Roman" w:hAnsi="Times New Roman"/>
          <w:color w:val="000000"/>
          <w:sz w:val="20"/>
        </w:rPr>
        <w:t xml:space="preserve"> </w:t>
      </w:r>
      <w:r>
        <w:rPr>
          <w:rFonts w:ascii="Times New Roman" w:hAnsi="Times New Roman"/>
          <w:color w:val="000000"/>
          <w:sz w:val="22"/>
        </w:rPr>
        <w:t xml:space="preserve">or (2) of the definition of “Benchmark Transition Event,” the later of </w:t>
      </w:r>
      <w:bookmarkStart w:id="36" w:name="docxtextref56"/>
      <w:bookmarkEnd w:id="36"/>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the date of the public statement or publication of information referenced therein and </w:t>
      </w:r>
      <w:bookmarkStart w:id="37" w:name="docxtextref57"/>
      <w:bookmarkEnd w:id="37"/>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before="0" w:after="240"/>
        <w:jc w:val="both"/>
        <w:rPr>
          <w:rFonts w:ascii="Times New Roman" w:hAnsi="Times New Roman"/>
          <w:sz w:val="20"/>
        </w:rPr>
      </w:pPr>
      <w:bookmarkStart w:id="38" w:name="docxtextref59"/>
      <w:bookmarkEnd w:id="38"/>
      <w:r>
        <w:rPr>
          <w:rFonts w:ascii="Times New Roman" w:hAnsi="Times New Roman"/>
          <w:color w:val="000000"/>
          <w:sz w:val="22"/>
        </w:rPr>
        <w:t>(2) in the case of clause (3)</w:t>
      </w:r>
      <w:r>
        <w:rPr>
          <w:rFonts w:ascii="Times New Roman" w:hAnsi="Times New Roman"/>
          <w:color w:val="000000"/>
          <w:sz w:val="20"/>
        </w:rPr>
        <w:t xml:space="preserve"> </w:t>
      </w:r>
      <w:r>
        <w:rPr>
          <w:rFonts w:ascii="Times New Roman" w:hAnsi="Times New Roman"/>
          <w:color w:val="000000"/>
          <w:sz w:val="22"/>
        </w:rPr>
        <w:t>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in the case of a Term CORRA Reelection Event, the date that is thirty (30) days after the date a Term CORRA Notice (if any) is provided to the Lenders and the Company pursuant to Section 2.14(c).</w:t>
      </w:r>
    </w:p>
    <w:p>
      <w:pPr>
        <w:pStyle w:val="TextBody"/>
        <w:bidi w:val="0"/>
        <w:spacing w:before="0" w:after="240"/>
        <w:jc w:val="both"/>
        <w:rPr>
          <w:rFonts w:ascii="Times New Roman" w:hAnsi="Times New Roman"/>
          <w:sz w:val="20"/>
        </w:rPr>
      </w:pPr>
      <w:bookmarkStart w:id="39" w:name="docxtextref61"/>
      <w:bookmarkEnd w:id="39"/>
      <w:r>
        <w:rPr>
          <w:rFonts w:ascii="Times New Roman" w:hAnsi="Times New Roman"/>
          <w:color w:val="000000"/>
          <w:sz w:val="22"/>
        </w:rPr>
        <w:t>For the avoidance of doubt, (i)</w:t>
      </w:r>
      <w:r>
        <w:rPr>
          <w:rFonts w:ascii="Times New Roman" w:hAnsi="Times New Roman"/>
          <w:color w:val="000000"/>
          <w:sz w:val="20"/>
        </w:rPr>
        <w:t xml:space="preserve"> </w:t>
      </w:r>
      <w:r>
        <w:rPr>
          <w:rFonts w:ascii="Times New Roman" w:hAnsi="Times New Roman"/>
          <w:color w:val="000000"/>
          <w:sz w:val="22"/>
        </w:rPr>
        <w:t xml:space="preserve">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bookmarkStart w:id="40" w:name="docxtextref62"/>
      <w:bookmarkEnd w:id="40"/>
      <w:r>
        <w:rPr>
          <w:rFonts w:ascii="Times New Roman" w:hAnsi="Times New Roman"/>
          <w:color w:val="000000"/>
          <w:sz w:val="22"/>
        </w:rPr>
        <w:t>clause (1)</w:t>
      </w:r>
      <w:r>
        <w:rPr>
          <w:rFonts w:ascii="Times New Roman" w:hAnsi="Times New Roman"/>
          <w:color w:val="000000"/>
          <w:sz w:val="20"/>
        </w:rPr>
        <w:t xml:space="preserve"> </w:t>
      </w:r>
      <w:r>
        <w:rPr>
          <w:rFonts w:ascii="Times New Roman" w:hAnsi="Times New Roman"/>
          <w:color w:val="000000"/>
          <w:sz w:val="22"/>
        </w:rPr>
        <w:t>or (2) with respect to any Benchmark upon the occurrence of the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2"/>
          <w:u w:val="single"/>
        </w:rPr>
        <w:t>Benchmark Transition Event</w:t>
      </w:r>
      <w:r>
        <w:rPr>
          <w:rFonts w:ascii="Times New Roman" w:hAnsi="Times New Roman"/>
          <w:color w:val="000000"/>
          <w:sz w:val="20"/>
        </w:rPr>
        <w:t xml:space="preserve">” </w:t>
      </w:r>
      <w:r>
        <w:rPr>
          <w:rFonts w:ascii="Times New Roman" w:hAnsi="Times New Roman"/>
          <w:color w:val="000000"/>
          <w:sz w:val="22"/>
        </w:rPr>
        <w:t>means, with respect to any Benchmark, the occurrence of one or more of the following events with respect to such then-current Benchmark: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a public statement or publication of information by the regulatory supervisor for the administrator of such Benchmark (or the published component used in the calculation thereof), the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2"/>
          <w:u w:val="single"/>
        </w:rPr>
        <w:t>Benchmark Unavailability Period</w:t>
      </w:r>
      <w:r>
        <w:rPr>
          <w:rFonts w:ascii="Times New Roman" w:hAnsi="Times New Roman"/>
          <w:color w:val="000000"/>
          <w:sz w:val="20"/>
        </w:rPr>
        <w:t xml:space="preserve">” </w:t>
      </w:r>
      <w:r>
        <w:rPr>
          <w:rFonts w:ascii="Times New Roman" w:hAnsi="Times New Roman"/>
          <w:color w:val="000000"/>
          <w:sz w:val="22"/>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pStyle w:val="TextBody"/>
        <w:bidi w:val="0"/>
        <w:spacing w:before="0" w:after="240"/>
        <w:jc w:val="both"/>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or control as required by the Beneficial Ownership Regulation.</w:t>
      </w:r>
    </w:p>
    <w:p>
      <w:pPr>
        <w:pStyle w:val="TextBody"/>
        <w:bidi w:val="0"/>
        <w:spacing w:before="0" w:after="240"/>
        <w:jc w:val="both"/>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means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2"/>
          <w:u w:val="single"/>
        </w:rPr>
        <w:t>Board</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 of America.</w:t>
      </w:r>
    </w:p>
    <w:p>
      <w:pPr>
        <w:pStyle w:val="TextBody"/>
        <w:bidi w:val="0"/>
        <w:spacing w:before="0" w:after="240"/>
        <w:jc w:val="both"/>
        <w:rPr/>
      </w:pPr>
      <w:r>
        <w:rPr>
          <w:color w:val="000000"/>
        </w:rPr>
        <w:t>“</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means the Company or any Subsidiary Borrower.</w:t>
      </w:r>
    </w:p>
    <w:p>
      <w:pPr>
        <w:pStyle w:val="TextBody"/>
        <w:bidi w:val="0"/>
        <w:spacing w:before="0" w:after="240"/>
        <w:jc w:val="both"/>
        <w:rPr/>
      </w:pPr>
      <w:r>
        <w:rPr>
          <w:color w:val="000000"/>
        </w:rPr>
        <w:t>“</w:t>
      </w:r>
      <w:r>
        <w:rPr>
          <w:rFonts w:ascii="Times New Roman" w:hAnsi="Times New Roman"/>
          <w:color w:val="000000"/>
          <w:sz w:val="22"/>
          <w:u w:val="single"/>
        </w:rPr>
        <w:t>Borrower Communications</w:t>
      </w:r>
      <w:r>
        <w:rPr>
          <w:rFonts w:ascii="Times New Roman" w:hAnsi="Times New Roman"/>
          <w:color w:val="000000"/>
          <w:sz w:val="20"/>
        </w:rPr>
        <w:t xml:space="preserve">” </w:t>
      </w:r>
      <w:r>
        <w:rPr>
          <w:rFonts w:ascii="Times New Roman" w:hAnsi="Times New Roman"/>
          <w:color w:val="000000"/>
          <w:sz w:val="22"/>
        </w:rPr>
        <w:t>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pStyle w:val="TextBody"/>
        <w:bidi w:val="0"/>
        <w:spacing w:before="0" w:after="240"/>
        <w:jc w:val="both"/>
        <w:rPr/>
      </w:pPr>
      <w:r>
        <w:rPr>
          <w:color w:val="000000"/>
        </w:rPr>
        <w:t>“</w:t>
      </w:r>
      <w:r>
        <w:rPr>
          <w:rFonts w:ascii="Times New Roman" w:hAnsi="Times New Roman"/>
          <w:color w:val="000000"/>
          <w:sz w:val="22"/>
          <w:u w:val="single"/>
        </w:rPr>
        <w:t>Borrowing</w:t>
      </w:r>
      <w:r>
        <w:rPr>
          <w:rFonts w:ascii="Times New Roman" w:hAnsi="Times New Roman"/>
          <w:color w:val="000000"/>
          <w:sz w:val="20"/>
        </w:rPr>
        <w:t xml:space="preserve">” </w:t>
      </w:r>
      <w:r>
        <w:rPr>
          <w:rFonts w:ascii="Times New Roman" w:hAnsi="Times New Roman"/>
          <w:color w:val="000000"/>
          <w:sz w:val="22"/>
        </w:rPr>
        <w:t>means (a) Revolving Loans of the same Type, made, converted or continued on the same date and, in the case of Term Benchmark Loans, as to which a single Interest Period is in effect or (b) a Term Loan of the same Type and Class, made, converted or continued on the same date and, in the case of Term Benchmark Loans, as to which a single Interest Period is in effect.</w:t>
      </w:r>
    </w:p>
    <w:p>
      <w:pPr>
        <w:pStyle w:val="TextBody"/>
        <w:bidi w:val="0"/>
        <w:spacing w:before="0" w:after="240"/>
        <w:jc w:val="both"/>
        <w:rPr/>
      </w:pPr>
      <w:r>
        <w:rPr>
          <w:color w:val="000000"/>
        </w:rPr>
        <w:t>“</w:t>
      </w:r>
      <w:r>
        <w:rPr>
          <w:rFonts w:ascii="Times New Roman" w:hAnsi="Times New Roman"/>
          <w:color w:val="000000"/>
          <w:sz w:val="22"/>
          <w:u w:val="single"/>
        </w:rPr>
        <w:t>Borrowing Request</w:t>
      </w:r>
      <w:r>
        <w:rPr>
          <w:rFonts w:ascii="Times New Roman" w:hAnsi="Times New Roman"/>
          <w:color w:val="000000"/>
          <w:sz w:val="20"/>
        </w:rPr>
        <w:t xml:space="preserve">” </w:t>
      </w:r>
      <w:r>
        <w:rPr>
          <w:rFonts w:ascii="Times New Roman" w:hAnsi="Times New Roman"/>
          <w:color w:val="000000"/>
          <w:sz w:val="22"/>
        </w:rPr>
        <w:t>means a request by any Borrower for a Borrowing in accordance with Section 2.03, which shall be substantially in the form approved by the Administrative Agent and separately provided to the Company.</w:t>
      </w:r>
    </w:p>
    <w:p>
      <w:pPr>
        <w:pStyle w:val="TextBody"/>
        <w:bidi w:val="0"/>
        <w:spacing w:before="0" w:after="240"/>
        <w:jc w:val="both"/>
        <w:rPr/>
      </w:pPr>
      <w:r>
        <w:rPr>
          <w:color w:val="000000"/>
        </w:rPr>
        <w:t>“</w:t>
      </w:r>
      <w:r>
        <w:rPr>
          <w:rFonts w:ascii="Times New Roman" w:hAnsi="Times New Roman"/>
          <w:color w:val="000000"/>
          <w:sz w:val="22"/>
          <w:u w:val="single"/>
        </w:rPr>
        <w:t>Borrowing Subsidiary Agreement</w:t>
      </w:r>
      <w:r>
        <w:rPr>
          <w:rFonts w:ascii="Times New Roman" w:hAnsi="Times New Roman"/>
          <w:color w:val="000000"/>
          <w:sz w:val="20"/>
        </w:rPr>
        <w:t xml:space="preserve">” </w:t>
      </w:r>
      <w:r>
        <w:rPr>
          <w:rFonts w:ascii="Times New Roman" w:hAnsi="Times New Roman"/>
          <w:color w:val="000000"/>
          <w:sz w:val="22"/>
        </w:rPr>
        <w:t xml:space="preserve">means a Borrowing Subsidiary Agreement substantially in the form of </w:t>
      </w:r>
      <w:r>
        <w:rPr>
          <w:rFonts w:ascii="Times New Roman" w:hAnsi="Times New Roman"/>
          <w:color w:val="000000"/>
          <w:sz w:val="22"/>
          <w:u w:val="single"/>
        </w:rPr>
        <w:t>Exhibit F-1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Borrowing Subsidiary Termination</w:t>
      </w:r>
      <w:r>
        <w:rPr>
          <w:rFonts w:ascii="Times New Roman" w:hAnsi="Times New Roman"/>
          <w:color w:val="000000"/>
          <w:sz w:val="20"/>
        </w:rPr>
        <w:t xml:space="preserve">” </w:t>
      </w:r>
      <w:r>
        <w:rPr>
          <w:rFonts w:ascii="Times New Roman" w:hAnsi="Times New Roman"/>
          <w:color w:val="000000"/>
          <w:sz w:val="22"/>
        </w:rPr>
        <w:t xml:space="preserve">means a Borrowing Subsidiary Termination substantially in the form of </w:t>
      </w:r>
      <w:r>
        <w:rPr>
          <w:rFonts w:ascii="Times New Roman" w:hAnsi="Times New Roman"/>
          <w:color w:val="000000"/>
          <w:sz w:val="22"/>
          <w:u w:val="single"/>
        </w:rPr>
        <w:t>Exhibit F-2</w:t>
      </w:r>
      <w:r>
        <w:rPr>
          <w:rFonts w:ascii="Times New Roman" w:hAnsi="Times New Roman"/>
          <w:color w:val="000000"/>
          <w:sz w:val="22"/>
        </w:rPr>
        <w:t>.</w:t>
      </w:r>
    </w:p>
    <w:p>
      <w:pPr>
        <w:pStyle w:val="TextBody"/>
        <w:bidi w:val="0"/>
        <w:spacing w:before="0" w:after="240"/>
        <w:jc w:val="both"/>
        <w:rPr/>
      </w:pPr>
      <w:bookmarkStart w:id="41" w:name="docxtextref81"/>
      <w:bookmarkEnd w:id="41"/>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 xml:space="preserve">means, any day (other than a Saturday or a Sunday) on which banks are open for business in New York City;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addition to the foregoing, a Business Day shall be (i)</w:t>
      </w:r>
      <w:r>
        <w:rPr>
          <w:rFonts w:ascii="Times New Roman" w:hAnsi="Times New Roman"/>
          <w:color w:val="000000"/>
          <w:sz w:val="20"/>
        </w:rPr>
        <w:t xml:space="preserve"> </w:t>
      </w:r>
      <w:r>
        <w:rPr>
          <w:rFonts w:ascii="Times New Roman" w:hAnsi="Times New Roman"/>
          <w:color w:val="000000"/>
          <w:sz w:val="22"/>
        </w:rPr>
        <w:t>in relation to Loans denominated in euro and in relation to the calculation or computation of the EURIBO Rate, any day which is a TARGET Day, (ii) in relation to Loans denominated in Canadian Dollars and in relation to the calculation or computation of CORRA or the Canadian Prime Rate, any day (other than a Saturday or a Sunday) on which banks are open for business in Toronto</w:t>
      </w:r>
      <w:bookmarkStart w:id="42" w:name="docxtextref84"/>
      <w:bookmarkEnd w:id="42"/>
      <w:r>
        <w:rPr>
          <w:rFonts w:ascii="Times New Roman" w:hAnsi="Times New Roman"/>
          <w:color w:val="000000"/>
          <w:sz w:val="22"/>
        </w:rPr>
        <w:t>, (iii)</w:t>
      </w:r>
      <w:r>
        <w:rPr>
          <w:rFonts w:ascii="Times New Roman" w:hAnsi="Times New Roman"/>
          <w:color w:val="000000"/>
          <w:sz w:val="20"/>
        </w:rPr>
        <w:t xml:space="preserve"> </w:t>
      </w:r>
      <w:r>
        <w:rPr>
          <w:rFonts w:ascii="Times New Roman" w:hAnsi="Times New Roman"/>
          <w:color w:val="000000"/>
          <w:sz w:val="22"/>
        </w:rPr>
        <w:t>in relation to RFR Loans and any interest rate settings, fundings, disbursements, settlements or payments of any such RFR Loan, or any other dealings in the applicable Agreed Currency of such RFR Loan, any such day that is only a RFR Business Day and (iv)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pStyle w:val="TextBody"/>
        <w:bidi w:val="0"/>
        <w:spacing w:before="0" w:after="240"/>
        <w:jc w:val="both"/>
        <w:rPr/>
      </w:pPr>
      <w:r>
        <w:rPr>
          <w:color w:val="000000"/>
        </w:rPr>
        <w:t>“</w:t>
      </w:r>
      <w:r>
        <w:rPr>
          <w:rFonts w:ascii="Times New Roman" w:hAnsi="Times New Roman"/>
          <w:color w:val="000000"/>
          <w:sz w:val="22"/>
          <w:u w:val="single"/>
        </w:rPr>
        <w:t>Canadian Dollars</w:t>
      </w:r>
      <w:r>
        <w:rPr>
          <w:rFonts w:ascii="Times New Roman" w:hAnsi="Times New Roman"/>
          <w:color w:val="000000"/>
          <w:sz w:val="20"/>
        </w:rPr>
        <w:t xml:space="preserve">” </w:t>
      </w:r>
      <w:r>
        <w:rPr>
          <w:rFonts w:ascii="Times New Roman" w:hAnsi="Times New Roman"/>
          <w:color w:val="000000"/>
          <w:sz w:val="22"/>
        </w:rPr>
        <w:t>means the lawful currency of Canada.</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Canadian Prime Rate</w:t>
      </w:r>
      <w:r>
        <w:rPr>
          <w:rFonts w:ascii="Times New Roman" w:hAnsi="Times New Roman"/>
          <w:color w:val="000000"/>
          <w:sz w:val="20"/>
        </w:rPr>
        <w:t xml:space="preserve">” </w:t>
      </w:r>
      <w:r>
        <w:rPr>
          <w:rFonts w:ascii="Times New Roman" w:hAnsi="Times New Roman"/>
          <w:color w:val="000000"/>
          <w:sz w:val="22"/>
        </w:rPr>
        <w:t xml:space="preserve">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hAnsi="Times New Roman"/>
          <w:color w:val="000000"/>
          <w:sz w:val="22"/>
          <w:u w:val="single"/>
        </w:rPr>
        <w:t>provided</w:t>
      </w:r>
      <w:r>
        <w:rPr>
          <w:rFonts w:ascii="Times New Roman" w:hAnsi="Times New Roman"/>
          <w:color w:val="000000"/>
          <w:sz w:val="22"/>
        </w:rPr>
        <w:t>, that if any of the above rates shall be less than 1.00%, such rate shall be deemed to be 1.00% for purposes of this Agreement. Any change in the Canadian Prime Rate due to a change in the PRIMCAN Index shall be effective from and including the effective date of such change in the PRIMCAN Index.</w:t>
      </w:r>
    </w:p>
    <w:p>
      <w:pPr>
        <w:pStyle w:val="TextBody"/>
        <w:bidi w:val="0"/>
        <w:spacing w:before="0" w:after="240"/>
        <w:jc w:val="both"/>
        <w:rPr/>
      </w:pPr>
      <w:r>
        <w:rPr>
          <w:color w:val="000000"/>
        </w:rPr>
        <w:t>“</w:t>
      </w:r>
      <w:r>
        <w:rPr>
          <w:rFonts w:ascii="Times New Roman" w:hAnsi="Times New Roman"/>
          <w:color w:val="000000"/>
          <w:sz w:val="22"/>
          <w:u w:val="single"/>
        </w:rPr>
        <w:t>Capital Lease Obligations</w:t>
      </w:r>
      <w:r>
        <w:rPr>
          <w:rFonts w:ascii="Times New Roman" w:hAnsi="Times New Roman"/>
          <w:color w:val="000000"/>
          <w:sz w:val="20"/>
        </w:rPr>
        <w:t xml:space="preserve">” </w:t>
      </w:r>
      <w:r>
        <w:rPr>
          <w:rFonts w:ascii="Times New Roman" w:hAnsi="Times New Roman"/>
          <w:color w:val="000000"/>
          <w:sz w:val="22"/>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financing lease obligations on a balance sheet of such Person under GAAP, and the amount of such obligations shall be the capitalized amount thereof determined in accordance with GAAP; provided that any obligations under leases (or other arrangement conveying the right to use) that were, as of December 31, 2015, treated as operating leases but were later treated as capital leases under GAAP as a result of a change thereto (including as a result of Financial Accounting Standards Board Accounting Standards Codification 842) shall not be considered to be Capital Lease Obligations hereunder.</w:t>
      </w:r>
    </w:p>
    <w:p>
      <w:pPr>
        <w:pStyle w:val="TextBody"/>
        <w:bidi w:val="0"/>
        <w:spacing w:before="0" w:after="240"/>
        <w:jc w:val="both"/>
        <w:rPr/>
      </w:pPr>
      <w:r>
        <w:rPr>
          <w:color w:val="000000"/>
        </w:rPr>
        <w:t>“</w:t>
      </w:r>
      <w:r>
        <w:rPr>
          <w:rFonts w:ascii="Times New Roman" w:hAnsi="Times New Roman"/>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investments in commercial paper maturing within 270 days from the date of acquisition thereof and having, at such date of acquisition, the highest credit rating obtainable from S&amp;P or from Moody’s;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fully collateralized repurchase agreements with a term of not more than thirty (30) days for securities described in clause (a) above and entered into with a financial institution satisfying the criteria described in clause (c) above;</w:t>
      </w:r>
    </w:p>
    <w:p>
      <w:pPr>
        <w:pStyle w:val="TextBody"/>
        <w:bidi w:val="0"/>
        <w:spacing w:before="0" w:after="240"/>
        <w:jc w:val="both"/>
        <w:rPr>
          <w:rFonts w:ascii="Times New Roman" w:hAnsi="Times New Roman"/>
          <w:sz w:val="20"/>
        </w:rPr>
      </w:pPr>
      <w:r>
        <w:rPr>
          <w:rFonts w:ascii="Times New Roman" w:hAnsi="Times New Roman"/>
          <w:color w:val="000000"/>
          <w:sz w:val="22"/>
        </w:rPr>
        <w:t>(e) money market funds that (i) comply with the criteria set forth in SEC Rule 2a-7 under the Investment Company Act of 1940, (ii) are rated AAA by S&amp;P and Aaa by Moody’s and (iii) have portfolio assets of at least $5,000,000,000;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other investments permitted under the Company’s investment policy, to the extent such policy has been approved by the Administrative Agent (such approval not to be unreasonably withheld or delayed).</w:t>
      </w:r>
    </w:p>
    <w:p>
      <w:pPr>
        <w:pStyle w:val="TextBody"/>
        <w:bidi w:val="0"/>
        <w:spacing w:before="0" w:after="240"/>
        <w:jc w:val="both"/>
        <w:rPr/>
      </w:pPr>
      <w:r>
        <w:rPr>
          <w:color w:val="000000"/>
        </w:rPr>
        <w:t>“</w:t>
      </w:r>
      <w:r>
        <w:rPr>
          <w:rFonts w:ascii="Times New Roman" w:hAnsi="Times New Roman"/>
          <w:color w:val="000000"/>
          <w:sz w:val="22"/>
          <w:u w:val="single"/>
        </w:rPr>
        <w:t>CBR Loan</w:t>
      </w:r>
      <w:r>
        <w:rPr>
          <w:rFonts w:ascii="Times New Roman" w:hAnsi="Times New Roman"/>
          <w:color w:val="000000"/>
          <w:sz w:val="20"/>
        </w:rPr>
        <w:t xml:space="preserve">” </w:t>
      </w:r>
      <w:r>
        <w:rPr>
          <w:rFonts w:ascii="Times New Roman" w:hAnsi="Times New Roman"/>
          <w:color w:val="000000"/>
          <w:sz w:val="22"/>
        </w:rPr>
        <w:t>means a Loan that bears interest at a rate determined by reference to the Central Bank Rate or the Canadian Prime Rate.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CBR Spread</w:t>
      </w:r>
      <w:r>
        <w:rPr>
          <w:rFonts w:ascii="Times New Roman" w:hAnsi="Times New Roman"/>
          <w:color w:val="000000"/>
          <w:sz w:val="20"/>
        </w:rPr>
        <w:t xml:space="preserve">” </w:t>
      </w:r>
      <w:r>
        <w:rPr>
          <w:rFonts w:ascii="Times New Roman" w:hAnsi="Times New Roman"/>
          <w:color w:val="000000"/>
          <w:sz w:val="22"/>
        </w:rPr>
        <w:t>means the Applicable Rate applicable to such Loan that is replaced by a CBR Loan.</w:t>
      </w:r>
    </w:p>
    <w:p>
      <w:pPr>
        <w:pStyle w:val="TextBody"/>
        <w:bidi w:val="0"/>
        <w:spacing w:before="0" w:after="240"/>
        <w:jc w:val="both"/>
        <w:rPr/>
      </w:pPr>
      <w:bookmarkStart w:id="43" w:name="docxtextref85"/>
      <w:bookmarkEnd w:id="43"/>
      <w:r>
        <w:rPr>
          <w:color w:val="000000"/>
        </w:rPr>
        <w:t>“</w:t>
      </w:r>
      <w:r>
        <w:rPr>
          <w:rFonts w:ascii="Times New Roman" w:hAnsi="Times New Roman"/>
          <w:color w:val="000000"/>
          <w:sz w:val="22"/>
          <w:u w:val="single"/>
        </w:rPr>
        <w:t>Central Bank Rate</w:t>
      </w:r>
      <w:r>
        <w:rPr>
          <w:rFonts w:ascii="Times New Roman" w:hAnsi="Times New Roman"/>
          <w:color w:val="000000"/>
          <w:sz w:val="20"/>
        </w:rPr>
        <w:t xml:space="preserve">” </w:t>
      </w:r>
      <w:r>
        <w:rPr>
          <w:rFonts w:ascii="Times New Roman" w:hAnsi="Times New Roman"/>
          <w:color w:val="000000"/>
          <w:sz w:val="22"/>
        </w:rPr>
        <w:t>means the greater of (i)</w:t>
      </w:r>
      <w:r>
        <w:rPr>
          <w:rFonts w:ascii="Times New Roman" w:hAnsi="Times New Roman"/>
          <w:color w:val="000000"/>
          <w:sz w:val="20"/>
        </w:rPr>
        <w:t xml:space="preserve"> </w:t>
      </w:r>
      <w:r>
        <w:rPr>
          <w:rFonts w:ascii="Times New Roman" w:hAnsi="Times New Roman"/>
          <w:color w:val="000000"/>
          <w:sz w:val="22"/>
        </w:rPr>
        <w:t xml:space="preserve">(A) for any Loan denominated in </w:t>
      </w:r>
      <w:bookmarkStart w:id="44" w:name="docxtextref86"/>
      <w:bookmarkEnd w:id="44"/>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Pounds Sterling, the Bank of England (or any successor thereto)’s “Bank Rate” as published by the Bank of England (or any successor thereto) from time to time, </w:t>
      </w:r>
      <w:bookmarkStart w:id="45" w:name="docxtextref87"/>
      <w:bookmarkEnd w:id="45"/>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 (other than Canadian Dollars), a central bank rate as determined by the Administrative Agent in its reasonable discretion; plus (B) the applicable Central Bank Rate Adjustment and (ii) the Floor.</w:t>
      </w:r>
    </w:p>
    <w:p>
      <w:pPr>
        <w:pStyle w:val="TextBody"/>
        <w:bidi w:val="0"/>
        <w:spacing w:before="0" w:after="240"/>
        <w:jc w:val="both"/>
        <w:rPr/>
      </w:pPr>
      <w:r>
        <w:rPr>
          <w:color w:val="000000"/>
        </w:rPr>
        <w:t>“</w:t>
      </w:r>
      <w:r>
        <w:rPr>
          <w:rFonts w:ascii="Times New Roman" w:hAnsi="Times New Roman"/>
          <w:color w:val="000000"/>
          <w:sz w:val="22"/>
          <w:u w:val="single"/>
        </w:rPr>
        <w:t>Central Bank Rate Adjustment</w:t>
      </w:r>
      <w:r>
        <w:rPr>
          <w:rFonts w:ascii="Times New Roman" w:hAnsi="Times New Roman"/>
          <w:color w:val="000000"/>
          <w:sz w:val="20"/>
        </w:rPr>
        <w:t xml:space="preserve">” </w:t>
      </w:r>
      <w:r>
        <w:rPr>
          <w:rFonts w:ascii="Times New Roman" w:hAnsi="Times New Roman"/>
          <w:color w:val="000000"/>
          <w:sz w:val="22"/>
        </w:rPr>
        <w:t xml:space="preserve">means, for any day, for any Loan denominated in (a) Pounds Sterling, a rate equal to the difference (which may be a positive or negative value or zero) of (i) the average of Adjusted Daily Simple RFR for Pounds Sterling Borrowings for the five most recent RFR Business Days preceding such day for which Adjusted Daily Simple RFR for Pounds Sterling Borrowings was available (excluding, from such averaging, the highest and the lowest such Adjusted Daily Simple RFR applicable during such period of five RFR Business Days)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(ii) the Central Bank Rate in respect of Pounds Sterling in effect on the last RFR Business Day in such period, (b) 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(ii) the Central Bank Rate in respect of euro in effect on the last Business Day in such period and (c) any other Foreign Currency determined after the Effective Date, an adjustment as determined by the Administrative Agent in its reasonable discretion. 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 the acquisition of ownership, directly or indirectly, beneficially, by any Person or group (within the meaning of the Securities Exchange Act of 1934 and the rules of the SEC thereunder as in effect on the date hereof), of Equity Interests representing more than 50% of the issued and outstanding Equity Interests of the Company entitled to vote for members of the board of directors or equivalent governing body of the Company on a fully diluted basis; (b) occupation of a majority of the seats (other than vacant seats) on the board of directors of the Company by Persons who were not (i) members of the board of directors of the Company on the Effective Date, (ii) nominated or approved for consideration by shareholders for election by the board of directors of the Company or (iii) appointed by directors so nominated or approved or (c) the Company ceases to own, directly or indirectly, and Control 100% (other than directors’ qualifying shares) of the ordinary voting and economic power of any Subsidiary Borrower.</w:t>
      </w:r>
    </w:p>
    <w:p>
      <w:pPr>
        <w:pStyle w:val="TextBody"/>
        <w:bidi w:val="0"/>
        <w:spacing w:before="0" w:after="240"/>
        <w:jc w:val="both"/>
        <w:rPr/>
      </w:pPr>
      <w:r>
        <w:rPr>
          <w:color w:val="000000"/>
        </w:rPr>
        <w:t>“</w:t>
      </w:r>
      <w:r>
        <w:rPr>
          <w:rFonts w:ascii="Times New Roman" w:hAnsi="Times New Roman"/>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Governmental Authority, or (c) the making or issuance of any request, rules, guideline, requirement or directive (whether or not having the force of law) by any Governmental Authority;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however</w:t>
      </w:r>
      <w:r>
        <w:rPr>
          <w:rFonts w:ascii="Times New Roman" w:hAnsi="Times New Roman"/>
          <w:color w:val="000000"/>
          <w:sz w:val="22"/>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jc w:val="both"/>
        <w:rPr/>
      </w:pPr>
      <w:r>
        <w:rPr>
          <w:color w:val="000000"/>
        </w:rPr>
        <w:t>“</w:t>
      </w:r>
      <w:r>
        <w:rPr>
          <w:rFonts w:ascii="Times New Roman" w:hAnsi="Times New Roman"/>
          <w:color w:val="000000"/>
          <w:sz w:val="22"/>
          <w:u w:val="single"/>
        </w:rPr>
        <w:t>Charges</w:t>
      </w:r>
      <w:r>
        <w:rPr>
          <w:rFonts w:ascii="Times New Roman" w:hAnsi="Times New Roman"/>
          <w:color w:val="000000"/>
          <w:sz w:val="20"/>
        </w:rPr>
        <w:t xml:space="preserve">” </w:t>
      </w:r>
      <w:r>
        <w:rPr>
          <w:rFonts w:ascii="Times New Roman" w:hAnsi="Times New Roman"/>
          <w:color w:val="000000"/>
          <w:sz w:val="22"/>
        </w:rPr>
        <w:t>has the meaning assigned to such term in Section 9.14.</w:t>
      </w:r>
    </w:p>
    <w:p>
      <w:pPr>
        <w:pStyle w:val="TextBody"/>
        <w:bidi w:val="0"/>
        <w:spacing w:before="0" w:after="240"/>
        <w:jc w:val="both"/>
        <w:rPr/>
      </w:pPr>
      <w:r>
        <w:rPr>
          <w:color w:val="000000"/>
        </w:rPr>
        <w:t>“</w:t>
      </w:r>
      <w:r>
        <w:rPr>
          <w:rFonts w:ascii="Times New Roman" w:hAnsi="Times New Roman"/>
          <w:color w:val="000000"/>
          <w:sz w:val="22"/>
          <w:u w:val="single"/>
        </w:rPr>
        <w:t>Class</w:t>
      </w:r>
      <w:r>
        <w:rPr>
          <w:rFonts w:ascii="Times New Roman" w:hAnsi="Times New Roman"/>
          <w:color w:val="000000"/>
          <w:sz w:val="20"/>
        </w:rPr>
        <w:t>”</w:t>
      </w:r>
      <w:r>
        <w:rPr>
          <w:rFonts w:ascii="Times New Roman" w:hAnsi="Times New Roman"/>
          <w:color w:val="000000"/>
          <w:sz w:val="22"/>
        </w:rPr>
        <w:t>, (i) when used in reference to any Loan or Borrowing, refers to whether such Loan, or the Loans comprising such Borrowing, are Revolving Loans, Term A-1 Loans or Term A-2 Loans and (ii) when used in reference to any Lender, refers to whether such Lender is a Revolving Lender, Term A-1 Lender or a Term A-2 Lender.</w:t>
      </w:r>
    </w:p>
    <w:p>
      <w:pPr>
        <w:pStyle w:val="TextBody"/>
        <w:bidi w:val="0"/>
        <w:spacing w:before="0" w:after="240"/>
        <w:jc w:val="both"/>
        <w:rPr/>
      </w:pPr>
      <w:r>
        <w:rPr>
          <w:color w:val="000000"/>
        </w:rPr>
        <w:t>“</w:t>
      </w:r>
      <w:r>
        <w:rPr>
          <w:rFonts w:ascii="Times New Roman" w:hAnsi="Times New Roman"/>
          <w:color w:val="000000"/>
          <w:sz w:val="22"/>
          <w:u w:val="single"/>
        </w:rPr>
        <w:t>CME 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as administrator of the forward-looking term Secured Overnight Financing Rate (SOFR) (or a successor administrator).</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Co-Documentation Agent</w:t>
      </w:r>
      <w:r>
        <w:rPr>
          <w:rFonts w:ascii="Times New Roman" w:hAnsi="Times New Roman"/>
          <w:color w:val="000000"/>
          <w:sz w:val="20"/>
        </w:rPr>
        <w:t xml:space="preserve">” </w:t>
      </w:r>
      <w:r>
        <w:rPr>
          <w:rFonts w:ascii="Times New Roman" w:hAnsi="Times New Roman"/>
          <w:color w:val="000000"/>
          <w:sz w:val="22"/>
        </w:rPr>
        <w:t>means each of Fifth Third Bank, National Association, HSBC Bank USA, National Association, PNC Bank, National Association, U.S. Bank National Association, Wells Fargo Bank, National Association, Barclays Bank PLC, Citizens Bank, N.A. and The Huntington National Bank in its capacity as co-documentation agent for the credit facilities evidenced by this Agreement.</w:t>
      </w:r>
    </w:p>
    <w:p>
      <w:pPr>
        <w:pStyle w:val="TextBody"/>
        <w:bidi w:val="0"/>
        <w:spacing w:before="0" w:after="240"/>
        <w:jc w:val="both"/>
        <w:rPr/>
      </w:pPr>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 xml:space="preserve">means, (a) the Revolving Commitments, the Term A-1 Loan Commitments and the Term A-2 Loan Commitments and (b) with respect to each Lender, the sum of such Lender’s Revolving Commitment, Term A-1 Loan Commitment and Term A-2 Loan Commitment. The initial amount of each Lender’s Commitment is set forth on </w:t>
      </w:r>
      <w:r>
        <w:rPr>
          <w:rFonts w:ascii="Times New Roman" w:hAnsi="Times New Roman"/>
          <w:color w:val="000000"/>
          <w:sz w:val="22"/>
          <w:u w:val="single"/>
        </w:rPr>
        <w:t>Schedule 2.01</w:t>
      </w:r>
      <w:r>
        <w:rPr>
          <w:rFonts w:ascii="Times New Roman" w:hAnsi="Times New Roman"/>
          <w:color w:val="000000"/>
          <w:sz w:val="22"/>
        </w:rPr>
        <w:t>, or in the Assignment and Assumption or other documentation contemplated hereby pursuant to which such Lender shall have assumed its Revolving Commitment, Term A-1 Loan Commitment or Term A-2 Loan Commitment pursuant to the terms hereof, as applicable.</w:t>
      </w:r>
    </w:p>
    <w:p>
      <w:pPr>
        <w:pStyle w:val="TextBody"/>
        <w:bidi w:val="0"/>
        <w:spacing w:before="0" w:after="240"/>
        <w:jc w:val="both"/>
        <w:rPr/>
      </w:pPr>
      <w:r>
        <w:rPr>
          <w:color w:val="000000"/>
        </w:rPr>
        <w:t>“</w:t>
      </w:r>
      <w:r>
        <w:rPr>
          <w:rFonts w:ascii="Times New Roman" w:hAnsi="Times New Roman"/>
          <w:color w:val="000000"/>
          <w:sz w:val="22"/>
          <w:u w:val="single"/>
        </w:rPr>
        <w:t>Communications</w:t>
      </w:r>
      <w:r>
        <w:rPr>
          <w:rFonts w:ascii="Times New Roman" w:hAnsi="Times New Roman"/>
          <w:color w:val="000000"/>
          <w:sz w:val="20"/>
        </w:rPr>
        <w:t xml:space="preserve">” </w:t>
      </w:r>
      <w:r>
        <w:rPr>
          <w:rFonts w:ascii="Times New Roman" w:hAnsi="Times New Roman"/>
          <w:color w:val="000000"/>
          <w:sz w:val="22"/>
        </w:rPr>
        <w:t>has the meaning assigned to such term in Section 9.01(e).</w:t>
      </w:r>
    </w:p>
    <w:p>
      <w:pPr>
        <w:pStyle w:val="TextBody"/>
        <w:bidi w:val="0"/>
        <w:spacing w:before="0" w:after="240"/>
        <w:jc w:val="both"/>
        <w:rPr/>
      </w:pPr>
      <w:r>
        <w:rPr>
          <w:color w:val="000000"/>
        </w:rPr>
        <w:t>“</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means Brown &amp; Brown, Inc., a Florida corporation.</w:t>
      </w:r>
    </w:p>
    <w:p>
      <w:pPr>
        <w:pStyle w:val="TextBody"/>
        <w:bidi w:val="0"/>
        <w:spacing w:before="0" w:after="240"/>
        <w:jc w:val="both"/>
        <w:rPr/>
      </w:pPr>
      <w:r>
        <w:rPr>
          <w:color w:val="000000"/>
        </w:rPr>
        <w:t>“</w:t>
      </w:r>
      <w:r>
        <w:rPr>
          <w:rFonts w:ascii="Times New Roman" w:hAnsi="Times New Roman"/>
          <w:color w:val="000000"/>
          <w:sz w:val="22"/>
          <w:u w:val="single"/>
        </w:rPr>
        <w:t>Computation Date</w:t>
      </w:r>
      <w:r>
        <w:rPr>
          <w:rFonts w:ascii="Times New Roman" w:hAnsi="Times New Roman"/>
          <w:color w:val="000000"/>
          <w:sz w:val="20"/>
        </w:rPr>
        <w:t xml:space="preserve">” </w:t>
      </w:r>
      <w:r>
        <w:rPr>
          <w:rFonts w:ascii="Times New Roman" w:hAnsi="Times New Roman"/>
          <w:color w:val="000000"/>
          <w:sz w:val="22"/>
        </w:rPr>
        <w:t>is defined in Section 2.04.</w:t>
      </w:r>
    </w:p>
    <w:p>
      <w:pPr>
        <w:pStyle w:val="TextBody"/>
        <w:bidi w:val="0"/>
        <w:spacing w:before="0" w:after="240"/>
        <w:jc w:val="both"/>
        <w:rPr/>
      </w:pPr>
      <w:r>
        <w:rPr>
          <w:color w:val="000000"/>
        </w:rPr>
        <w:t>“</w:t>
      </w:r>
      <w:r>
        <w:rPr>
          <w:rFonts w:ascii="Times New Roman" w:hAnsi="Times New Roman"/>
          <w:color w:val="000000"/>
          <w:sz w:val="22"/>
          <w:u w:val="single"/>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 xml:space="preserve">means, with reference to any period, Consolidated Net Income for such period </w:t>
      </w:r>
      <w:r>
        <w:rPr>
          <w:rFonts w:ascii="Times New Roman" w:hAnsi="Times New Roman"/>
          <w:i/>
          <w:color w:val="000000"/>
          <w:sz w:val="22"/>
        </w:rPr>
        <w:t>plus</w:t>
      </w:r>
      <w:r>
        <w:rPr>
          <w:rFonts w:ascii="Times New Roman" w:hAnsi="Times New Roman"/>
          <w:color w:val="000000"/>
          <w:sz w:val="22"/>
        </w:rPr>
        <w:t>, without duplication and, other than with respect to the amounts described in clause (viii) below, to the extent deducted from revenues in determining Consolidated Net Income for such period, (i) consolidated interest expense and, to the extent not reflected in consolidated interest expense, amortization of debt discount and debt issuance costs and commissions, discounts and other fees and charges associated with Indebtedness or other financing activities and any losses on hedging obligations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other derivative instruments entered into for the purpose of hedging interest rate risk, (ii) taxes based on income or profits or capital, including federal, foreign, state, franchise, excise and similar taxes and foreign withholding taxes and foreign unreimbursed value added taxes of such Person payable or accrued (including in respect of repatriated funds and any penalties and interest related to such taxes or arising from any tax examinations), (iii) depreciation, (iv) amortization, (v) non-cash expenses, losses or charges, (vi) extraordinary, unusual or non-recurring cash expenses, losses or charges incurred, (vii) in connection with any Acquisition, disposition or restructuring (and any prospective Acquisition, disposition or restructuring which is not consummated), all cash restructuring costs, cash acquisition integration costs and fees, including cash severance payments, and cash fees and expenses paid in connection with such Acquisition or restructuring, all to the extent incurred within twelve (12) months of the completion of such Acquisition or restructuring and in an aggregate amount not to exceed twenty percent (20%) of Consolidated EBITDA during any period of four consecutive fiscal quarters prior to giving effect to this clause (vii), (viii) proceeds of business interruption insurance received during such period (solely to the extent not already reflected as revenue or income in the determination of Consolidated Net Income for such period), (ix) any expenses, fees, charges or losses related to the incurrence, issuance or repayment of Indebtedness (including, without limitation the Obligations and fees, costs and expenses in connection with the Transactions) and any amendment, waiver, consent, restatement, refinancing, repurchase, retirement, defeasance or other modification thereto), (x) expenses, charges and losses to the extent covered by indemnification or refunding provisions in any Acquisition document or any insurance to the extent reimbursed (or reasonably expected to be reimbursed), in each case to the extent that such indemnity, refunding or insurance coverage has not been denied and so long as such amounts are actually reimbursed to the Company or a Subsidiary in cash within two (2) fiscal quarters after the related amount is first added to Consolidated EBITDA pursuant to this clause (x) (and if not so reimbursed within two (2) fiscal quarters, such amount shall be deducted from Consolidated EBITDA during the next applicable period) and(xi) realized foreign exchange losses resulting from the impact of foreign currency changes on the valuation of assets or liabilities on the balance sheet of the Company and its Subsidiaries, </w:t>
      </w:r>
      <w:r>
        <w:rPr>
          <w:rFonts w:ascii="Times New Roman" w:hAnsi="Times New Roman"/>
          <w:i/>
          <w:color w:val="000000"/>
          <w:sz w:val="22"/>
        </w:rPr>
        <w:t>minus</w:t>
      </w:r>
      <w:r>
        <w:rPr>
          <w:rFonts w:ascii="Times New Roman" w:hAnsi="Times New Roman"/>
          <w:color w:val="000000"/>
          <w:sz w:val="22"/>
        </w:rPr>
        <w:t>, to the extent included in Consolidated Net Income, (1) interest income including any gains on hedging obligations or other derivative instruments entered into for the purpose of hedging interest rate risk not otherwise netted from consolidated interest expense, (2) income tax credits and refunds (to the extent not netted from tax expense), (3) any cash payments made during such period in respect of items described in clause (v) above subsequent to the fiscal quarter in which the relevant non-cash expenses, losses or charges were incurred, (4) extraordinary, unusual or non-recurring income or gains realized other than in the ordinary course of business, (5) non-cash income or gains and (6) realized foreign exchange income or gains resulting from the impact of foreign currency changes on the valuation of assets or liabilities on the balance sheet of the Company and its Subsidiaries, all calculated for the Company and its Subsidiaries in accordance with GAAP on a consolidated basis. For the purposes of calculating Consolidated EBITDA for any period of four consecutive fiscal quarters (each such period, a “</w:t>
      </w:r>
      <w:r>
        <w:rPr>
          <w:rFonts w:ascii="Times New Roman" w:hAnsi="Times New Roman"/>
          <w:color w:val="000000"/>
          <w:sz w:val="22"/>
          <w:u w:val="single"/>
        </w:rPr>
        <w:t>Reference Period</w:t>
      </w:r>
      <w:r>
        <w:rPr>
          <w:rFonts w:ascii="Times New Roman" w:hAnsi="Times New Roman"/>
          <w:color w:val="000000"/>
          <w:sz w:val="20"/>
        </w:rPr>
        <w:t>”</w:t>
      </w:r>
      <w:r>
        <w:rPr>
          <w:rFonts w:ascii="Times New Roman" w:hAnsi="Times New Roman"/>
          <w:color w:val="000000"/>
          <w:sz w:val="22"/>
        </w:rPr>
        <w:t>), (i) if at any time during such Reference Period the Company or any Subsidiary shall have made any disposition, the Consolidated EBITDA for such Reference Period shall be reduced by an amount equal to the Consolidated EBITDA (if positive) attributable to the property that is the subject of such disposition for such Reference Period or increased by an amount equal to the Consolidated EBITDA (if negative) attributable thereto for such Reference Period, and (ii) if during such Reference Period the Company or any Subsidiary shall have made an Acquisition, Consolidated EBITDA for such Reference Period shall be calculated after giving effect thereto on a pro forma basis (for the avoidance of doubt, in accordance with Section 1.04(b)) as if such Acquisition occurred on the first day of such Reference Period. In addition and without duplication of the foregoing, Consolidated EBITDA for any Reference Period in which an Acquisition or other applicable transaction has occurred or is otherwise implicated (as described below) shall be calculated by including (x) cost savings, operating expense reductions and synergies to the extent permitted to be reflected in pro forma financial information under Rule 11-02 of Regulation S-X under the Securities Act for such period and (y) other cost savings, operating expense reductions and synergies projected by the Company in good faith to be realized as a result of specified actions taken, committed to be taken or expected to be taken (calculated on a pro forma basis as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though such cost savings, operating expense reductions and synergies had been realized on the first day of such period and if such cost savings, operating expense reductions and synergies were realized during the entirety of such period), in each case relating to the applicable Acquisition, disposition or other transaction, net of the amount of actual benefits realized during such period from such actions (such cost savings and synergies described in this clause (y), “</w:t>
      </w:r>
      <w:r>
        <w:rPr>
          <w:rFonts w:ascii="Times New Roman" w:hAnsi="Times New Roman"/>
          <w:color w:val="000000"/>
          <w:sz w:val="22"/>
          <w:u w:val="single"/>
        </w:rPr>
        <w:t>Specified Transaction Adjustments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such Specified Transaction Adjustments are reasonably identifiable, quantifiable and factually supportable in the good faith judgment of the Company and are set forth in reasonable detail in a certificate of a responsible officer of the Company delivered to the Administrative Agent, (B) such actions are taken, committed to be taken or expected to be taken no later than twelve (12) months after the date of such Acquisition disposition or other transaction, (C) no amounts shall be added pursuant to this clause (y) to the extent duplicative of any amounts that are otherwise added back in calculating Consolidated EBITDA, whether through a pro forma adjustment or otherwise, with respect to any period and (D) the aggregate amount of any Specified Transaction Adjustments for any such period shall not exceed 15% of Consolidated EBITDA for the applicable period prior to giving effect to this clause (y).</w:t>
      </w:r>
    </w:p>
    <w:p>
      <w:pPr>
        <w:pStyle w:val="TextBody"/>
        <w:bidi w:val="0"/>
        <w:spacing w:before="0" w:after="240"/>
        <w:jc w:val="both"/>
        <w:rPr/>
      </w:pPr>
      <w:r>
        <w:rPr>
          <w:color w:val="000000"/>
        </w:rPr>
        <w:t>“</w:t>
      </w:r>
      <w:r>
        <w:rPr>
          <w:rFonts w:ascii="Times New Roman" w:hAnsi="Times New Roman"/>
          <w:color w:val="000000"/>
          <w:sz w:val="22"/>
          <w:u w:val="single"/>
        </w:rPr>
        <w:t>Consolidated Interest Expense</w:t>
      </w:r>
      <w:r>
        <w:rPr>
          <w:rFonts w:ascii="Times New Roman" w:hAnsi="Times New Roman"/>
          <w:color w:val="000000"/>
          <w:sz w:val="20"/>
        </w:rPr>
        <w:t xml:space="preserve">” </w:t>
      </w:r>
      <w:r>
        <w:rPr>
          <w:rFonts w:ascii="Times New Roman" w:hAnsi="Times New Roman"/>
          <w:color w:val="000000"/>
          <w:sz w:val="22"/>
        </w:rPr>
        <w:t>means, with reference to any period, the interest expense (including without limitation interest expense under Capital Lease Obligations that is treated as interest in accordance with GAAP) of the Company and its Subsidiaries paid in cash and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provided that (i) Consolidated Interest Expense shall not include any debt discount, premium payments (including original issue discount or upfront fees), underwriting, arrangement, agency or other similar financing fees including without limitation, amount payable under Section 2.12(c), and (ii) Consolidated Interest Expense shall be calculated after giving effect to any applicable hedging obligations or other derivative instruments entered into for the purpose of hedging interest rate risk. In the event that the Company or any Subsidiary shall have completed an Acquisition or a disposition since the beginning of the relevant period, Consolidated Interest Expense shall be determined for such period on a pro forma basis (for the avoidance of doubt, in accordance with Section 1.04(b)) as if such Acquisition or disposition, and any related incurrence or repayment of Indebtedness, had occurred at the beginning of such period.</w:t>
      </w:r>
    </w:p>
    <w:p>
      <w:pPr>
        <w:pStyle w:val="TextBody"/>
        <w:bidi w:val="0"/>
        <w:spacing w:before="0" w:after="240"/>
        <w:jc w:val="both"/>
        <w:rPr/>
      </w:pPr>
      <w:r>
        <w:rPr>
          <w:color w:val="000000"/>
        </w:rPr>
        <w:t>“</w:t>
      </w:r>
      <w:r>
        <w:rPr>
          <w:rFonts w:ascii="Times New Roman" w:hAnsi="Times New Roman"/>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means, with reference to any period, the net income (or loss) of the Company and its Subsidiaries calculated in accordance with GAAP on a consolidated basis (without duplication) for such period; provided that there shall be excluded: (i) any income (or loss) of any Person other than the Company or a Subsidiary (except in accordance with Section 1.04 hereof), but any such income so excluded may be included in such period or any later period to the extent of any cash dividends or distributions actually paid in the relevant period to the Company or any Subsidiary of the Company, (ii) the cumulative effect of a change in accounting principles during such period, to the extent included in such net income (loss), (iii) any earnouts, purchase price adjustments or similar obligations in connection with any acquisition, investment, asset disposition or sale of any Subsidiary of the Company (unless such obligations remain unpaid after the date which is sixty (60) days prior to the date such obligations become due and payable), (iv) the after-tax effect of any income (or loss) for such period attributable to the early extinguishment of Indebtedness (or any cancellation of Indebtedness) and (v) income (loss) attributable to deferred compensation plans or trusts.</w:t>
      </w:r>
    </w:p>
    <w:p>
      <w:pPr>
        <w:pStyle w:val="TextBody"/>
        <w:bidi w:val="0"/>
        <w:spacing w:before="0" w:after="240"/>
        <w:jc w:val="both"/>
        <w:rPr/>
      </w:pPr>
      <w:r>
        <w:rPr>
          <w:color w:val="000000"/>
        </w:rPr>
        <w:t>“</w:t>
      </w:r>
      <w:r>
        <w:rPr>
          <w:rFonts w:ascii="Times New Roman" w:hAnsi="Times New Roman"/>
          <w:color w:val="000000"/>
          <w:sz w:val="22"/>
          <w:u w:val="single"/>
        </w:rPr>
        <w:t>Consolidated Net Indebtedness</w:t>
      </w:r>
      <w:r>
        <w:rPr>
          <w:rFonts w:ascii="Times New Roman" w:hAnsi="Times New Roman"/>
          <w:color w:val="000000"/>
          <w:sz w:val="20"/>
        </w:rPr>
        <w:t xml:space="preserve">” </w:t>
      </w:r>
      <w:r>
        <w:rPr>
          <w:rFonts w:ascii="Times New Roman" w:hAnsi="Times New Roman"/>
          <w:color w:val="000000"/>
          <w:sz w:val="22"/>
        </w:rPr>
        <w:t xml:space="preserve">means, at any time, the sum of (a) Consolidated Total Indebtedness at such time,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(b) the Applicable Cash Percentage of unrestricted and unencumbered cash and Cash Equivalents maintained by the Company and its Subsidiaries in North America in an aggregate amount that is in excess of $50,000,000 at such time. As used herein, “</w:t>
      </w:r>
      <w:r>
        <w:rPr>
          <w:rFonts w:ascii="Times New Roman" w:hAnsi="Times New Roman"/>
          <w:color w:val="000000"/>
          <w:sz w:val="22"/>
          <w:u w:val="single"/>
        </w:rPr>
        <w:t>Applicable Cash Percentage</w:t>
      </w:r>
      <w:r>
        <w:rPr>
          <w:rFonts w:ascii="Times New Roman" w:hAnsi="Times New Roman"/>
          <w:color w:val="000000"/>
          <w:sz w:val="20"/>
        </w:rPr>
        <w:t xml:space="preserve">” </w:t>
      </w:r>
      <w:r>
        <w:rPr>
          <w:rFonts w:ascii="Times New Roman" w:hAnsi="Times New Roman"/>
          <w:color w:val="000000"/>
          <w:sz w:val="22"/>
        </w:rPr>
        <w:t xml:space="preserve">means (i) 100%, in the case of cash and Cash Equivalents maintained in the United States of America and (ii) 100%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the applicable combined federal and state marginal income tax rate (taking into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account the federal deduction for state income taxes and available tax credits) that would be imposed on the Company or applicable Subsidiary in the case of, and with respect to, the repatriation of such cash and Cash Equivalents to the United States of America, in the case of cash and Cash Equivalents maintained in Canada or Mexico.</w:t>
      </w:r>
    </w:p>
    <w:p>
      <w:pPr>
        <w:pStyle w:val="TextBody"/>
        <w:bidi w:val="0"/>
        <w:spacing w:before="0" w:after="240"/>
        <w:jc w:val="both"/>
        <w:rPr/>
      </w:pPr>
      <w:r>
        <w:rPr>
          <w:color w:val="000000"/>
        </w:rPr>
        <w:t>“</w:t>
      </w:r>
      <w:r>
        <w:rPr>
          <w:rFonts w:ascii="Times New Roman" w:hAnsi="Times New Roman"/>
          <w:color w:val="000000"/>
          <w:sz w:val="22"/>
          <w:u w:val="single"/>
        </w:rPr>
        <w:t>Consolidated Total Assets</w:t>
      </w:r>
      <w:r>
        <w:rPr>
          <w:rFonts w:ascii="Times New Roman" w:hAnsi="Times New Roman"/>
          <w:color w:val="000000"/>
          <w:sz w:val="20"/>
        </w:rPr>
        <w:t xml:space="preserve">” </w:t>
      </w:r>
      <w:r>
        <w:rPr>
          <w:rFonts w:ascii="Times New Roman" w:hAnsi="Times New Roman"/>
          <w:color w:val="000000"/>
          <w:sz w:val="22"/>
        </w:rPr>
        <w:t>means, as of the date of any determination thereof, the total assets of the Company and its Subsidiaries calculated in accordance with GAAP on a consolidated basis as of such date.</w:t>
      </w:r>
    </w:p>
    <w:p>
      <w:pPr>
        <w:pStyle w:val="TextBody"/>
        <w:bidi w:val="0"/>
        <w:spacing w:before="0" w:after="240"/>
        <w:jc w:val="both"/>
        <w:rPr/>
      </w:pPr>
      <w:r>
        <w:rPr>
          <w:color w:val="000000"/>
        </w:rPr>
        <w:t>“</w:t>
      </w:r>
      <w:r>
        <w:rPr>
          <w:rFonts w:ascii="Times New Roman" w:hAnsi="Times New Roman"/>
          <w:color w:val="000000"/>
          <w:sz w:val="22"/>
          <w:u w:val="single"/>
        </w:rPr>
        <w:t>Consolidated Total Indebtedness</w:t>
      </w:r>
      <w:r>
        <w:rPr>
          <w:rFonts w:ascii="Times New Roman" w:hAnsi="Times New Roman"/>
          <w:color w:val="000000"/>
          <w:sz w:val="20"/>
        </w:rPr>
        <w:t xml:space="preserve">” </w:t>
      </w:r>
      <w:r>
        <w:rPr>
          <w:rFonts w:ascii="Times New Roman" w:hAnsi="Times New Roman"/>
          <w:color w:val="000000"/>
          <w:sz w:val="22"/>
        </w:rPr>
        <w:t>means, at any time, the sum, without duplication, of (a) the aggregate Indebtedness (of the type described in clauses (a), (b), (d) (subject to the last sentence of the definition thereof) and (g) of the definition thereof) of the Company and its Subsidiaries calculated on a consolidated basis as of such time in accordance with GAAP, (b) the aggregate amount drawn but unreimbursed and unsecured under letters of credit and bankers acceptances for which the Company or its Subsidiaries are responsible and (c) Indebtedness of the type referred to in clauses (a) or (b) hereof of another Person guaranteed by the Company or any of its Subsidiaries; provided that, for the avoidance of doubt, Consolidated Total Indebtedness shall not include obligations under hedging obligations or other derivative instruments entered into for the purpose of hedging interest rate risk.</w:t>
      </w:r>
    </w:p>
    <w:p>
      <w:pPr>
        <w:pStyle w:val="TextBody"/>
        <w:bidi w:val="0"/>
        <w:spacing w:before="0" w:after="240"/>
        <w:jc w:val="both"/>
        <w:rPr/>
      </w:pPr>
      <w:r>
        <w:rPr>
          <w:color w:val="000000"/>
        </w:rPr>
        <w:t>“</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pStyle w:val="TextBody"/>
        <w:bidi w:val="0"/>
        <w:spacing w:before="0" w:after="240"/>
        <w:jc w:val="both"/>
        <w:rPr/>
      </w:pPr>
      <w:r>
        <w:rPr>
          <w:color w:val="000000"/>
        </w:rPr>
        <w:t>“</w:t>
      </w:r>
      <w:r>
        <w:rPr>
          <w:rFonts w:ascii="Times New Roman" w:hAnsi="Times New Roman"/>
          <w:color w:val="000000"/>
          <w:sz w:val="22"/>
          <w:u w:val="single"/>
        </w:rPr>
        <w:t>CORRA</w:t>
      </w:r>
      <w:r>
        <w:rPr>
          <w:rFonts w:ascii="Times New Roman" w:hAnsi="Times New Roman"/>
          <w:color w:val="000000"/>
          <w:sz w:val="20"/>
        </w:rPr>
        <w:t xml:space="preserve">” </w:t>
      </w:r>
      <w:r>
        <w:rPr>
          <w:rFonts w:ascii="Times New Roman" w:hAnsi="Times New Roman"/>
          <w:color w:val="000000"/>
          <w:sz w:val="22"/>
        </w:rPr>
        <w:t>means the Canadian Overnight Repo Rate Average administered and published by the Bank of Canada (or any successor administrator).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CORRA Administrator</w:t>
      </w:r>
      <w:r>
        <w:rPr>
          <w:rFonts w:ascii="Times New Roman" w:hAnsi="Times New Roman"/>
          <w:color w:val="000000"/>
          <w:sz w:val="20"/>
        </w:rPr>
        <w:t xml:space="preserve">” </w:t>
      </w:r>
      <w:r>
        <w:rPr>
          <w:rFonts w:ascii="Times New Roman" w:hAnsi="Times New Roman"/>
          <w:color w:val="000000"/>
          <w:sz w:val="22"/>
        </w:rPr>
        <w:t>means the Bank of Canada (or any successor administrator).</w:t>
      </w:r>
    </w:p>
    <w:p>
      <w:pPr>
        <w:pStyle w:val="TextBody"/>
        <w:bidi w:val="0"/>
        <w:spacing w:before="0" w:after="240"/>
        <w:jc w:val="both"/>
        <w:rPr/>
      </w:pPr>
      <w:r>
        <w:rPr>
          <w:color w:val="000000"/>
        </w:rPr>
        <w:t>“</w:t>
      </w:r>
      <w:r>
        <w:rPr>
          <w:rFonts w:ascii="Times New Roman" w:hAnsi="Times New Roman"/>
          <w:color w:val="000000"/>
          <w:sz w:val="22"/>
          <w:u w:val="single"/>
        </w:rPr>
        <w:t>CORRA Determination Date</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CORRA”.</w:t>
      </w:r>
    </w:p>
    <w:p>
      <w:pPr>
        <w:pStyle w:val="TextBody"/>
        <w:bidi w:val="0"/>
        <w:spacing w:before="0" w:after="240"/>
        <w:jc w:val="both"/>
        <w:rPr/>
      </w:pPr>
      <w:r>
        <w:rPr>
          <w:color w:val="000000"/>
        </w:rPr>
        <w:t>“</w:t>
      </w:r>
      <w:r>
        <w:rPr>
          <w:rFonts w:ascii="Times New Roman" w:hAnsi="Times New Roman"/>
          <w:color w:val="000000"/>
          <w:sz w:val="22"/>
          <w:u w:val="single"/>
        </w:rPr>
        <w:t>CORRA Rate Day</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CORRA”.</w:t>
      </w:r>
    </w:p>
    <w:p>
      <w:pPr>
        <w:pStyle w:val="TextBody"/>
        <w:bidi w:val="0"/>
        <w:spacing w:before="0" w:after="240"/>
        <w:jc w:val="both"/>
        <w:rPr/>
      </w:pPr>
      <w:r>
        <w:rPr>
          <w:color w:val="000000"/>
        </w:rPr>
        <w:t>“</w:t>
      </w:r>
      <w:r>
        <w:rPr>
          <w:rFonts w:ascii="Times New Roman" w:hAnsi="Times New Roman"/>
          <w:color w:val="000000"/>
          <w:sz w:val="22"/>
          <w:u w:val="single"/>
        </w:rPr>
        <w:t>Corresponding Tenor</w:t>
      </w:r>
      <w:r>
        <w:rPr>
          <w:rFonts w:ascii="Times New Roman" w:hAnsi="Times New Roman"/>
          <w:color w:val="000000"/>
          <w:sz w:val="20"/>
        </w:rPr>
        <w:t xml:space="preserve">” </w:t>
      </w:r>
      <w:r>
        <w:rPr>
          <w:rFonts w:ascii="Times New Roman" w:hAnsi="Times New Roman"/>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color w:val="000000"/>
          <w:sz w:val="22"/>
          <w:u w:val="single"/>
        </w:rPr>
        <w:t>Co-Syndication Agents</w:t>
      </w:r>
      <w:r>
        <w:rPr>
          <w:rFonts w:ascii="Times New Roman" w:hAnsi="Times New Roman"/>
          <w:color w:val="000000"/>
          <w:sz w:val="20"/>
        </w:rPr>
        <w:t xml:space="preserve">” </w:t>
      </w:r>
      <w:r>
        <w:rPr>
          <w:rFonts w:ascii="Times New Roman" w:hAnsi="Times New Roman"/>
          <w:color w:val="000000"/>
          <w:sz w:val="22"/>
        </w:rPr>
        <w:t>means each of Bank of America, N.A., BMO Bank N.A. and Truist Bank in its capacity as a co-syndication agent for the credit facilities evidenced by this Agreement.</w:t>
      </w:r>
    </w:p>
    <w:p>
      <w:pPr>
        <w:pStyle w:val="TextBody"/>
        <w:bidi w:val="0"/>
        <w:spacing w:before="0" w:after="2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 a “covered entity” as that term is defined in, and interpreted in accordance with, 12 C.F.R. § 252.82(b);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 a “covered bank” as that term is defined in, and interpreted in accordance with, 12 C.F.R. § 47.3(b);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(iii) a “covered FSI” as that term is defined in, and interpreted in accordance with, 12 C.F.R. § 382.2(b).</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has the meaning assigned to it in Section 9.18.</w:t>
      </w:r>
    </w:p>
    <w:p>
      <w:pPr>
        <w:pStyle w:val="TextBody"/>
        <w:bidi w:val="0"/>
        <w:spacing w:before="0" w:after="240"/>
        <w:jc w:val="both"/>
        <w:rPr/>
      </w:pPr>
      <w:r>
        <w:rPr>
          <w:color w:val="000000"/>
        </w:rPr>
        <w:t>“</w:t>
      </w:r>
      <w:r>
        <w:rPr>
          <w:rFonts w:ascii="Times New Roman" w:hAnsi="Times New Roman"/>
          <w:color w:val="000000"/>
          <w:sz w:val="22"/>
          <w:u w:val="single"/>
        </w:rPr>
        <w:t>Credit Event</w:t>
      </w:r>
      <w:r>
        <w:rPr>
          <w:rFonts w:ascii="Times New Roman" w:hAnsi="Times New Roman"/>
          <w:color w:val="000000"/>
          <w:sz w:val="20"/>
        </w:rPr>
        <w:t xml:space="preserve">” </w:t>
      </w:r>
      <w:r>
        <w:rPr>
          <w:rFonts w:ascii="Times New Roman" w:hAnsi="Times New Roman"/>
          <w:color w:val="000000"/>
          <w:sz w:val="22"/>
        </w:rPr>
        <w:t>means a Borrowing, the issuance, amendment, increase or extension of a Letter of Credit or any of the foregoing.</w:t>
      </w:r>
    </w:p>
    <w:p>
      <w:pPr>
        <w:pStyle w:val="TextBody"/>
        <w:bidi w:val="0"/>
        <w:spacing w:before="0" w:after="240"/>
        <w:jc w:val="both"/>
        <w:rPr/>
      </w:pPr>
      <w:r>
        <w:rPr>
          <w:color w:val="000000"/>
        </w:rPr>
        <w:t>“</w:t>
      </w:r>
      <w:r>
        <w:rPr>
          <w:rFonts w:ascii="Times New Roman" w:hAnsi="Times New Roman"/>
          <w:color w:val="000000"/>
          <w:sz w:val="22"/>
          <w:u w:val="single"/>
        </w:rPr>
        <w:t>Credit Exposure</w:t>
      </w:r>
      <w:r>
        <w:rPr>
          <w:rFonts w:ascii="Times New Roman" w:hAnsi="Times New Roman"/>
          <w:color w:val="000000"/>
          <w:sz w:val="20"/>
        </w:rPr>
        <w:t xml:space="preserve">” </w:t>
      </w:r>
      <w:r>
        <w:rPr>
          <w:rFonts w:ascii="Times New Roman" w:hAnsi="Times New Roman"/>
          <w:color w:val="000000"/>
          <w:sz w:val="22"/>
        </w:rPr>
        <w:t>means, as to any Lender at any time, the sum of (a) such Lender’s Revolving Credit Exposure at such time, plus (b) an amount equal to the aggregate principal amount of its Term Loans outstanding at such time.</w:t>
      </w:r>
    </w:p>
    <w:p>
      <w:pPr>
        <w:pStyle w:val="TextBody"/>
        <w:bidi w:val="0"/>
        <w:spacing w:before="0" w:after="240"/>
        <w:jc w:val="both"/>
        <w:rPr/>
      </w:pPr>
      <w:r>
        <w:rPr>
          <w:color w:val="000000"/>
        </w:rPr>
        <w:t>“</w:t>
      </w:r>
      <w:r>
        <w:rPr>
          <w:rFonts w:ascii="Times New Roman" w:hAnsi="Times New Roman"/>
          <w:color w:val="000000"/>
          <w:sz w:val="22"/>
          <w:u w:val="single"/>
        </w:rPr>
        <w:t>Credit Party</w:t>
      </w:r>
      <w:r>
        <w:rPr>
          <w:rFonts w:ascii="Times New Roman" w:hAnsi="Times New Roman"/>
          <w:color w:val="000000"/>
          <w:sz w:val="20"/>
        </w:rPr>
        <w:t xml:space="preserve">” </w:t>
      </w:r>
      <w:r>
        <w:rPr>
          <w:rFonts w:ascii="Times New Roman" w:hAnsi="Times New Roman"/>
          <w:color w:val="000000"/>
          <w:sz w:val="22"/>
        </w:rPr>
        <w:t>means the Administrative Agent, any Issuing Bank or any other Lender.</w:t>
      </w:r>
    </w:p>
    <w:p>
      <w:pPr>
        <w:pStyle w:val="TextBody"/>
        <w:bidi w:val="0"/>
        <w:spacing w:before="0" w:after="240"/>
        <w:jc w:val="both"/>
        <w:rPr/>
      </w:pPr>
      <w:r>
        <w:rPr>
          <w:color w:val="000000"/>
        </w:rPr>
        <w:t>“</w:t>
      </w:r>
      <w:r>
        <w:rPr>
          <w:rFonts w:ascii="Times New Roman" w:hAnsi="Times New Roman"/>
          <w:color w:val="000000"/>
          <w:sz w:val="22"/>
          <w:u w:val="single"/>
        </w:rPr>
        <w:t>Daily Simple CORRA</w:t>
      </w:r>
      <w:r>
        <w:rPr>
          <w:rFonts w:ascii="Times New Roman" w:hAnsi="Times New Roman"/>
          <w:color w:val="000000"/>
          <w:sz w:val="20"/>
        </w:rPr>
        <w:t xml:space="preserve">” </w:t>
      </w:r>
      <w:r>
        <w:rPr>
          <w:rFonts w:ascii="Times New Roman" w:hAnsi="Times New Roman"/>
          <w:color w:val="000000"/>
          <w:sz w:val="22"/>
        </w:rPr>
        <w:t>means, for any day (a “</w:t>
      </w:r>
      <w:r>
        <w:rPr>
          <w:rFonts w:ascii="Times New Roman" w:hAnsi="Times New Roman"/>
          <w:color w:val="000000"/>
          <w:sz w:val="22"/>
          <w:u w:val="single"/>
        </w:rPr>
        <w:t>CORRA Rate Day</w:t>
      </w:r>
      <w:r>
        <w:rPr>
          <w:rFonts w:ascii="Times New Roman" w:hAnsi="Times New Roman"/>
          <w:color w:val="000000"/>
          <w:sz w:val="20"/>
        </w:rPr>
        <w:t>”</w:t>
      </w:r>
      <w:r>
        <w:rPr>
          <w:rFonts w:ascii="Times New Roman" w:hAnsi="Times New Roman"/>
          <w:color w:val="000000"/>
          <w:sz w:val="22"/>
        </w:rPr>
        <w:t>), a rate per annum equal to CORRA for the day (such day, the “</w:t>
      </w:r>
      <w:r>
        <w:rPr>
          <w:rFonts w:ascii="Times New Roman" w:hAnsi="Times New Roman"/>
          <w:color w:val="000000"/>
          <w:sz w:val="22"/>
          <w:u w:val="single"/>
        </w:rPr>
        <w:t>CORRA Determination Date</w:t>
      </w:r>
      <w:r>
        <w:rPr>
          <w:rFonts w:ascii="Times New Roman" w:hAnsi="Times New Roman"/>
          <w:color w:val="000000"/>
          <w:sz w:val="20"/>
        </w:rPr>
        <w:t>”</w:t>
      </w:r>
      <w:r>
        <w:rPr>
          <w:rFonts w:ascii="Times New Roman" w:hAnsi="Times New Roman"/>
          <w:color w:val="000000"/>
          <w:sz w:val="22"/>
        </w:rPr>
        <w:t>)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Company.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RFR Business Days prior to such CORRA Determination Date.</w:t>
      </w:r>
    </w:p>
    <w:p>
      <w:pPr>
        <w:pStyle w:val="TextBody"/>
        <w:bidi w:val="0"/>
        <w:spacing w:before="0" w:after="240"/>
        <w:jc w:val="both"/>
        <w:rPr/>
      </w:pPr>
      <w:bookmarkStart w:id="46" w:name="docxtextref122"/>
      <w:bookmarkEnd w:id="46"/>
      <w:r>
        <w:rPr>
          <w:color w:val="000000"/>
        </w:rPr>
        <w:t>“</w:t>
      </w:r>
      <w:r>
        <w:rPr>
          <w:rFonts w:ascii="Times New Roman" w:hAnsi="Times New Roman"/>
          <w:color w:val="000000"/>
          <w:sz w:val="22"/>
          <w:u w:val="single"/>
        </w:rPr>
        <w:t>Daily Simple RFR</w:t>
      </w:r>
      <w:r>
        <w:rPr>
          <w:rFonts w:ascii="Times New Roman" w:hAnsi="Times New Roman"/>
          <w:color w:val="000000"/>
          <w:sz w:val="20"/>
        </w:rPr>
        <w:t xml:space="preserve">” </w:t>
      </w:r>
      <w:r>
        <w:rPr>
          <w:rFonts w:ascii="Times New Roman" w:hAnsi="Times New Roman"/>
          <w:color w:val="000000"/>
          <w:sz w:val="22"/>
        </w:rPr>
        <w:t>means, for any day (an “</w:t>
      </w:r>
      <w:r>
        <w:rPr>
          <w:rFonts w:ascii="Times New Roman" w:hAnsi="Times New Roman"/>
          <w:color w:val="000000"/>
          <w:sz w:val="22"/>
          <w:u w:val="single"/>
        </w:rPr>
        <w:t>RFR Interest Day</w:t>
      </w:r>
      <w:r>
        <w:rPr>
          <w:rFonts w:ascii="Times New Roman" w:hAnsi="Times New Roman"/>
          <w:color w:val="000000"/>
          <w:sz w:val="20"/>
        </w:rPr>
        <w:t>”</w:t>
      </w:r>
      <w:r>
        <w:rPr>
          <w:rFonts w:ascii="Times New Roman" w:hAnsi="Times New Roman"/>
          <w:color w:val="000000"/>
          <w:sz w:val="22"/>
        </w:rPr>
        <w:t>), an interest rate per annum equal to, for any RFR Loan denominated in (i) Pounds Sterling, SONIA for the day that is five (5) RFR Business Days prior to (A)</w:t>
      </w:r>
      <w:r>
        <w:rPr>
          <w:rFonts w:ascii="Times New Roman" w:hAnsi="Times New Roman"/>
          <w:color w:val="000000"/>
          <w:sz w:val="20"/>
        </w:rPr>
        <w:t xml:space="preserve"> </w:t>
      </w:r>
      <w:r>
        <w:rPr>
          <w:rFonts w:ascii="Times New Roman" w:hAnsi="Times New Roman"/>
          <w:color w:val="000000"/>
          <w:sz w:val="22"/>
        </w:rPr>
        <w:t xml:space="preserve">if such RFR Interest Day is an RFR Business Day, such RFR Interest Day or </w:t>
      </w:r>
      <w:bookmarkStart w:id="47" w:name="docxtextref123"/>
      <w:bookmarkEnd w:id="47"/>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if such RFR Interest Day is not an RFR Business Day, the RFR Business Day immediately preceding such RFR Interest Day, (ii) Dollars, Daily Simple SOFR (following a Benchmark Transition Event and a Benchmark Replacement Date with respect to the Term SOFR Rate) and (iii) Canadian Dollars, Daily Simple CORRA (following a Benchmark Transition Event and a Benchmark Replacement Date with respect to Term CORRA).</w:t>
      </w:r>
    </w:p>
    <w:p>
      <w:pPr>
        <w:pStyle w:val="TextBody"/>
        <w:bidi w:val="0"/>
        <w:spacing w:before="0" w:after="240"/>
        <w:jc w:val="both"/>
        <w:rPr/>
      </w:pPr>
      <w:r>
        <w:rPr>
          <w:color w:val="000000"/>
        </w:rPr>
        <w:t>“</w:t>
      </w:r>
      <w:r>
        <w:rPr>
          <w:rFonts w:ascii="Times New Roman" w:hAnsi="Times New Roman"/>
          <w:color w:val="000000"/>
          <w:sz w:val="22"/>
          <w:u w:val="single"/>
        </w:rPr>
        <w:t>Daily Simple SOFR</w:t>
      </w:r>
      <w:r>
        <w:rPr>
          <w:rFonts w:ascii="Times New Roman" w:hAnsi="Times New Roman"/>
          <w:color w:val="000000"/>
          <w:sz w:val="20"/>
        </w:rPr>
        <w:t xml:space="preserve">” </w:t>
      </w:r>
      <w:r>
        <w:rPr>
          <w:rFonts w:ascii="Times New Roman" w:hAnsi="Times New Roman"/>
          <w:color w:val="000000"/>
          <w:sz w:val="22"/>
        </w:rPr>
        <w:t>means, for any day (a “</w:t>
      </w:r>
      <w:r>
        <w:rPr>
          <w:rFonts w:ascii="Times New Roman" w:hAnsi="Times New Roman"/>
          <w:color w:val="000000"/>
          <w:sz w:val="22"/>
          <w:u w:val="single"/>
        </w:rPr>
        <w:t>SOFR Rate Day</w:t>
      </w:r>
      <w:r>
        <w:rPr>
          <w:rFonts w:ascii="Times New Roman" w:hAnsi="Times New Roman"/>
          <w:color w:val="000000"/>
          <w:sz w:val="20"/>
        </w:rPr>
        <w:t>”</w:t>
      </w:r>
      <w:r>
        <w:rPr>
          <w:rFonts w:ascii="Times New Roman" w:hAnsi="Times New Roman"/>
          <w:color w:val="000000"/>
          <w:sz w:val="22"/>
        </w:rPr>
        <w:t>), a rate per annum equal to SOFR for the day (such day a “</w:t>
      </w:r>
      <w:r>
        <w:rPr>
          <w:rFonts w:ascii="Times New Roman" w:hAnsi="Times New Roman"/>
          <w:color w:val="000000"/>
          <w:sz w:val="22"/>
          <w:u w:val="single"/>
        </w:rPr>
        <w:t>SOFR Determination Date</w:t>
      </w:r>
      <w:r>
        <w:rPr>
          <w:rFonts w:ascii="Times New Roman" w:hAnsi="Times New Roman"/>
          <w:color w:val="000000"/>
          <w:sz w:val="20"/>
        </w:rPr>
        <w:t>”</w:t>
      </w:r>
      <w:r>
        <w:rPr>
          <w:rFonts w:ascii="Times New Roman" w:hAnsi="Times New Roman"/>
          <w:color w:val="000000"/>
          <w:sz w:val="22"/>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w:t>
      </w:r>
      <w:r>
        <w:rPr>
          <w:rFonts w:ascii="Times New Roman" w:hAnsi="Times New Roman"/>
          <w:color w:val="000000"/>
          <w:sz w:val="15"/>
        </w:rPr>
        <w:t>nd</w:t>
      </w:r>
      <w:r>
        <w:rPr>
          <w:rFonts w:ascii="Times New Roman" w:hAnsi="Times New Roman"/>
          <w:color w:val="000000"/>
          <w:sz w:val="22"/>
        </w:rPr>
        <w:t>)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or condition described in Article VII which constitutes an Event of Default or which upon notice, lapse of time or both would, unless cured or waived, become an Event of Default.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0" w:after="240"/>
        <w:jc w:val="both"/>
        <w:rPr/>
      </w:pPr>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means any Lender that (a) has failed, within two (2)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pStyle w:val="TextBody"/>
        <w:bidi w:val="0"/>
        <w:spacing w:before="0" w:after="240"/>
        <w:jc w:val="both"/>
        <w:rPr/>
      </w:pPr>
      <w:r>
        <w:rPr>
          <w:color w:val="000000"/>
        </w:rPr>
        <w:t>“</w:t>
      </w:r>
      <w:r>
        <w:rPr>
          <w:rFonts w:ascii="Times New Roman" w:hAnsi="Times New Roman"/>
          <w:color w:val="000000"/>
          <w:sz w:val="22"/>
          <w:u w:val="single"/>
        </w:rPr>
        <w:t>Dollar Amount</w:t>
      </w:r>
      <w:r>
        <w:rPr>
          <w:rFonts w:ascii="Times New Roman" w:hAnsi="Times New Roman"/>
          <w:color w:val="000000"/>
          <w:sz w:val="20"/>
        </w:rPr>
        <w:t xml:space="preserve">” </w:t>
      </w:r>
      <w:r>
        <w:rPr>
          <w:rFonts w:ascii="Times New Roman" w:hAnsi="Times New Roman"/>
          <w:color w:val="000000"/>
          <w:sz w:val="22"/>
        </w:rPr>
        <w:t>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determined by the Administrative Agent, in consultation with the Company, using any method of determination it deems reasonably appropriate) and (c) if such amount is denominated in any other currency, the equivalent of such amount in Dollars as determined by the Administrative Agent, in consultation with the Company, using any method of determination it deems reasonably appropriate.</w:t>
      </w:r>
    </w:p>
    <w:p>
      <w:pPr>
        <w:pStyle w:val="TextBody"/>
        <w:bidi w:val="0"/>
        <w:spacing w:before="0" w:after="240"/>
        <w:jc w:val="both"/>
        <w:rPr/>
      </w:pPr>
      <w:r>
        <w:rPr>
          <w:color w:val="000000"/>
        </w:rPr>
        <w:t>“</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refers to lawful money of the United States of America.</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 Subsidiary organized under the laws of a jurisdiction located 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color w:val="000000"/>
          <w:sz w:val="22"/>
          <w:u w:val="single"/>
        </w:rPr>
        <w:t>Effective Date</w:t>
      </w:r>
      <w:r>
        <w:rPr>
          <w:rFonts w:ascii="Times New Roman" w:hAnsi="Times New Roman"/>
          <w:color w:val="000000"/>
          <w:sz w:val="20"/>
        </w:rPr>
        <w:t xml:space="preserve">” </w:t>
      </w:r>
      <w:r>
        <w:rPr>
          <w:rFonts w:ascii="Times New Roman" w:hAnsi="Times New Roman"/>
          <w:color w:val="000000"/>
          <w:sz w:val="22"/>
        </w:rPr>
        <w:t>means the date on which the conditions specified in Section 4.01 are satisfied (or waived in accordance with Section 9.02).</w:t>
      </w:r>
    </w:p>
    <w:p>
      <w:pPr>
        <w:pStyle w:val="TextBody"/>
        <w:bidi w:val="0"/>
        <w:spacing w:before="0" w:after="240"/>
        <w:jc w:val="both"/>
        <w:rPr/>
      </w:pPr>
      <w:r>
        <w:rPr>
          <w:color w:val="000000"/>
        </w:rPr>
        <w:t>“</w:t>
      </w:r>
      <w:r>
        <w:rPr>
          <w:rFonts w:ascii="Times New Roman" w:hAnsi="Times New Roman"/>
          <w:color w:val="000000"/>
          <w:sz w:val="22"/>
          <w:u w:val="single"/>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0" w:after="240"/>
        <w:jc w:val="both"/>
        <w:rPr/>
      </w:pPr>
      <w:r>
        <w:rPr>
          <w:color w:val="000000"/>
        </w:rPr>
        <w:t>“</w:t>
      </w:r>
      <w:r>
        <w:rPr>
          <w:rFonts w:ascii="Times New Roman" w:hAnsi="Times New Roman"/>
          <w:color w:val="000000"/>
          <w:sz w:val="22"/>
          <w:u w:val="single"/>
        </w:rPr>
        <w:t>Eligible Subsidiary</w:t>
      </w:r>
      <w:r>
        <w:rPr>
          <w:rFonts w:ascii="Times New Roman" w:hAnsi="Times New Roman"/>
          <w:color w:val="000000"/>
          <w:sz w:val="20"/>
        </w:rPr>
        <w:t xml:space="preserve">” </w:t>
      </w:r>
      <w:r>
        <w:rPr>
          <w:rFonts w:ascii="Times New Roman" w:hAnsi="Times New Roman"/>
          <w:color w:val="000000"/>
          <w:sz w:val="22"/>
        </w:rPr>
        <w:t>means any Subsidiary that is approved (such approval not to be unreasonably withheld or delayed) from time to time by the Administrative Agent and each of the Lenders.</w:t>
      </w:r>
    </w:p>
    <w:p>
      <w:pPr>
        <w:pStyle w:val="TextBody"/>
        <w:bidi w:val="0"/>
        <w:spacing w:before="0" w:after="24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before="0" w:after="240"/>
        <w:jc w:val="both"/>
        <w:rPr/>
      </w:pPr>
      <w:r>
        <w:rPr>
          <w:color w:val="000000"/>
        </w:rPr>
        <w:t>“</w:t>
      </w:r>
      <w:r>
        <w:rPr>
          <w:rFonts w:ascii="Times New Roman" w:hAnsi="Times New Roman"/>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 and the rules and regulations formally promulgated thereunder, through notice and comment rulemaking.</w:t>
      </w:r>
    </w:p>
    <w:p>
      <w:pPr>
        <w:pStyle w:val="TextBody"/>
        <w:bidi w:val="0"/>
        <w:spacing w:before="0" w:after="24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trade or business (whether or not incorporated) that, together with the Company, is treated as a single employer under Section 414(b) or (c) of the Code or Section 4001(a)(14) of ERISA or, solely for purposes of Section 302 of ERISA and Section 412 of the Code, is treated as a single employer under Section 414 of the Code.</w:t>
      </w:r>
    </w:p>
    <w:p>
      <w:pPr>
        <w:pStyle w:val="TextBody"/>
        <w:bidi w:val="0"/>
        <w:spacing w:before="0" w:after="240"/>
        <w:jc w:val="both"/>
        <w:rPr/>
      </w:pPr>
      <w:r>
        <w:rPr>
          <w:color w:val="000000"/>
        </w:rPr>
        <w:t>“</w:t>
      </w:r>
      <w:r>
        <w:rPr>
          <w:rFonts w:ascii="Times New Roman" w:hAnsi="Times New Roman"/>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ERISA Affiliates of any liability with respect to the withdrawal or partial withdrawal (as those terms are defined in Part I of Subtitle E of Title IV of ERISA)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w:t>
      </w:r>
    </w:p>
    <w:p>
      <w:pPr>
        <w:pStyle w:val="TextBody"/>
        <w:bidi w:val="0"/>
        <w:spacing w:before="0" w:after="24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EURIBO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euro and for any Interest Period, the EURIBO Screen Rate, two (2) TARGET Days prior to the commencement of such Interest Period.</w:t>
      </w:r>
    </w:p>
    <w:p>
      <w:pPr>
        <w:pStyle w:val="TextBody"/>
        <w:bidi w:val="0"/>
        <w:spacing w:before="0" w:after="240"/>
        <w:jc w:val="both"/>
        <w:rPr/>
      </w:pPr>
      <w:r>
        <w:rPr>
          <w:color w:val="000000"/>
        </w:rPr>
        <w:t>“</w:t>
      </w:r>
      <w:r>
        <w:rPr>
          <w:rFonts w:ascii="Times New Roman" w:hAnsi="Times New Roman"/>
          <w:color w:val="000000"/>
          <w:sz w:val="22"/>
          <w:u w:val="single"/>
        </w:rPr>
        <w:t>EURIBO Screen Rate</w:t>
      </w:r>
      <w:r>
        <w:rPr>
          <w:rFonts w:ascii="Times New Roman" w:hAnsi="Times New Roman"/>
          <w:color w:val="000000"/>
          <w:sz w:val="20"/>
        </w:rPr>
        <w:t xml:space="preserve">” </w:t>
      </w:r>
      <w:r>
        <w:rPr>
          <w:rFonts w:ascii="Times New Roman" w:hAnsi="Times New Roman"/>
          <w:color w:val="000000"/>
          <w:sz w:val="22"/>
        </w:rPr>
        <w:t>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the applicable date of determination. If such page or service ceases to be available, the Administrative Agent may specify another page or service displaying the relevant rate after consultation with the Company.</w:t>
      </w:r>
    </w:p>
    <w:p>
      <w:pPr>
        <w:pStyle w:val="TextBody"/>
        <w:bidi w:val="0"/>
        <w:spacing w:before="0" w:after="240"/>
        <w:jc w:val="both"/>
        <w:rPr/>
      </w:pPr>
      <w:r>
        <w:rPr>
          <w:color w:val="000000"/>
        </w:rPr>
        <w:t>“</w:t>
      </w:r>
      <w:r>
        <w:rPr>
          <w:rFonts w:ascii="Times New Roman" w:hAnsi="Times New Roman"/>
          <w:color w:val="000000"/>
          <w:sz w:val="22"/>
          <w:u w:val="single"/>
        </w:rPr>
        <w:t>euro</w:t>
      </w:r>
      <w:r>
        <w:rPr>
          <w:rFonts w:ascii="Times New Roman" w:hAnsi="Times New Roman"/>
          <w:color w:val="000000"/>
          <w:sz w:val="20"/>
        </w:rPr>
        <w:t xml:space="preserve">” </w:t>
      </w:r>
      <w:r>
        <w:rPr>
          <w:rFonts w:ascii="Times New Roman" w:hAnsi="Times New Roman"/>
          <w:color w:val="000000"/>
          <w:sz w:val="22"/>
        </w:rPr>
        <w:t>and/or “</w:t>
      </w:r>
      <w:r>
        <w:rPr>
          <w:rFonts w:ascii="Times New Roman" w:hAnsi="Times New Roman"/>
          <w:color w:val="000000"/>
          <w:sz w:val="22"/>
          <w:u w:val="single"/>
        </w:rPr>
        <w:t>EUR</w:t>
      </w:r>
      <w:r>
        <w:rPr>
          <w:rFonts w:ascii="Times New Roman" w:hAnsi="Times New Roman"/>
          <w:color w:val="000000"/>
          <w:sz w:val="20"/>
        </w:rPr>
        <w:t xml:space="preserve">” </w:t>
      </w:r>
      <w:r>
        <w:rPr>
          <w:rFonts w:ascii="Times New Roman" w:hAnsi="Times New Roman"/>
          <w:color w:val="000000"/>
          <w:sz w:val="22"/>
        </w:rPr>
        <w:t>means the single currency of the Participating Member States.</w:t>
      </w:r>
    </w:p>
    <w:p>
      <w:pPr>
        <w:pStyle w:val="TextBody"/>
        <w:bidi w:val="0"/>
        <w:spacing w:before="0" w:after="240"/>
        <w:jc w:val="both"/>
        <w:rPr/>
      </w:pPr>
      <w:r>
        <w:rPr>
          <w:color w:val="000000"/>
        </w:rPr>
        <w:t>“</w:t>
      </w:r>
      <w:r>
        <w:rPr>
          <w:rFonts w:ascii="Times New Roman" w:hAnsi="Times New Roman"/>
          <w:color w:val="000000"/>
          <w:sz w:val="22"/>
          <w:u w:val="single"/>
        </w:rPr>
        <w:t>Event of Default</w:t>
      </w:r>
      <w:r>
        <w:rPr>
          <w:rFonts w:ascii="Times New Roman" w:hAnsi="Times New Roman"/>
          <w:color w:val="000000"/>
          <w:sz w:val="20"/>
        </w:rPr>
        <w:t xml:space="preserve">” </w:t>
      </w:r>
      <w:r>
        <w:rPr>
          <w:rFonts w:ascii="Times New Roman" w:hAnsi="Times New Roman"/>
          <w:color w:val="000000"/>
          <w:sz w:val="22"/>
        </w:rPr>
        <w:t>has the meaning assigned to such term in Article VII.</w:t>
      </w:r>
    </w:p>
    <w:p>
      <w:pPr>
        <w:pStyle w:val="TextBody"/>
        <w:bidi w:val="0"/>
        <w:spacing w:before="0" w:after="240"/>
        <w:jc w:val="both"/>
        <w:rPr/>
      </w:pPr>
      <w:r>
        <w:rPr>
          <w:color w:val="000000"/>
        </w:rPr>
        <w:t>“</w:t>
      </w:r>
      <w:r>
        <w:rPr>
          <w:rFonts w:ascii="Times New Roman" w:hAnsi="Times New Roman"/>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 Section 9.02(d))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notwithstanding such Recipient’s legal ability to do so and (d) any withholding Taxes imposed under FATCA.</w:t>
      </w:r>
    </w:p>
    <w:p>
      <w:pPr>
        <w:pStyle w:val="TextBody"/>
        <w:bidi w:val="0"/>
        <w:spacing w:before="0" w:after="240"/>
        <w:jc w:val="both"/>
        <w:rPr/>
      </w:pPr>
      <w:r>
        <w:rPr>
          <w:color w:val="000000"/>
        </w:rPr>
        <w:t>“</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has the meaning assigned to such term in the recitals hereto.</w:t>
      </w:r>
    </w:p>
    <w:p>
      <w:pPr>
        <w:pStyle w:val="TextBody"/>
        <w:bidi w:val="0"/>
        <w:spacing w:before="0" w:after="240"/>
        <w:jc w:val="both"/>
        <w:rPr/>
      </w:pPr>
      <w:r>
        <w:rPr>
          <w:color w:val="000000"/>
        </w:rPr>
        <w:t>“</w:t>
      </w:r>
      <w:r>
        <w:rPr>
          <w:rFonts w:ascii="Times New Roman" w:hAnsi="Times New Roman"/>
          <w:color w:val="000000"/>
          <w:sz w:val="22"/>
          <w:u w:val="single"/>
        </w:rPr>
        <w:t>Existing Letters of Credit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2.06(a)</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Existing Loan Agreement</w:t>
      </w:r>
      <w:r>
        <w:rPr>
          <w:rFonts w:ascii="Times New Roman" w:hAnsi="Times New Roman"/>
          <w:color w:val="000000"/>
          <w:sz w:val="20"/>
        </w:rPr>
        <w:t xml:space="preserve">” </w:t>
      </w:r>
      <w:r>
        <w:rPr>
          <w:rFonts w:ascii="Times New Roman" w:hAnsi="Times New Roman"/>
          <w:color w:val="000000"/>
          <w:sz w:val="22"/>
        </w:rPr>
        <w:t>means that certain Loan Agreement dated as of March 31, 2022 by and among the Company, the lenders party thereto and BMO Bank N.A., as administrative agent, as amended, restated, supplemented or otherwise modified prior to the Effective Date.</w:t>
      </w:r>
    </w:p>
    <w:p>
      <w:pPr>
        <w:pStyle w:val="TextBody"/>
        <w:bidi w:val="0"/>
        <w:spacing w:before="0" w:after="240"/>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jc w:val="both"/>
        <w:rPr/>
      </w:pPr>
      <w:r>
        <w:rPr>
          <w:color w:val="000000"/>
        </w:rPr>
        <w:t>“</w:t>
      </w:r>
      <w:r>
        <w:rPr>
          <w:rFonts w:ascii="Times New Roman" w:hAnsi="Times New Roman"/>
          <w:color w:val="000000"/>
          <w:sz w:val="22"/>
          <w:u w:val="single"/>
        </w:rPr>
        <w:t>Federal Funds Effective Rate</w:t>
      </w:r>
      <w:r>
        <w:rPr>
          <w:rFonts w:ascii="Times New Roman" w:hAnsi="Times New Roman"/>
          <w:color w:val="000000"/>
          <w:sz w:val="20"/>
        </w:rPr>
        <w:t xml:space="preserve">” </w:t>
      </w:r>
      <w:r>
        <w:rPr>
          <w:rFonts w:ascii="Times New Roman" w:hAnsi="Times New Roman"/>
          <w:color w:val="000000"/>
          <w:sz w:val="22"/>
        </w:rPr>
        <w:t xml:space="preserve">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Federal Funds Effective Rate as so determined would be less than 0%, such rate shall be deemed to be 0% for the purposes of this Agreement.</w:t>
      </w:r>
    </w:p>
    <w:p>
      <w:pPr>
        <w:pStyle w:val="TextBody"/>
        <w:bidi w:val="0"/>
        <w:spacing w:before="0" w:after="240"/>
        <w:jc w:val="both"/>
        <w:rPr/>
      </w:pPr>
      <w:r>
        <w:rPr>
          <w:color w:val="000000"/>
        </w:rPr>
        <w:t>“</w:t>
      </w:r>
      <w:r>
        <w:rPr>
          <w:rFonts w:ascii="Times New Roman" w:hAnsi="Times New Roman"/>
          <w:color w:val="000000"/>
          <w:sz w:val="22"/>
          <w:u w:val="single"/>
        </w:rPr>
        <w:t>Financial Officer</w:t>
      </w:r>
      <w:r>
        <w:rPr>
          <w:rFonts w:ascii="Times New Roman" w:hAnsi="Times New Roman"/>
          <w:color w:val="000000"/>
          <w:sz w:val="20"/>
        </w:rPr>
        <w:t xml:space="preserve">” </w:t>
      </w:r>
      <w:r>
        <w:rPr>
          <w:rFonts w:ascii="Times New Roman" w:hAnsi="Times New Roman"/>
          <w:color w:val="000000"/>
          <w:sz w:val="22"/>
        </w:rPr>
        <w:t>means the chief financial officer, principal accounting officer, treasurer or controller of the Company.</w:t>
      </w:r>
    </w:p>
    <w:p>
      <w:pPr>
        <w:pStyle w:val="TextBody"/>
        <w:bidi w:val="0"/>
        <w:spacing w:before="0" w:after="240"/>
        <w:jc w:val="both"/>
        <w:rPr/>
      </w:pPr>
      <w:r>
        <w:rPr>
          <w:color w:val="000000"/>
        </w:rPr>
        <w:t>“</w:t>
      </w:r>
      <w:r>
        <w:rPr>
          <w:rFonts w:ascii="Times New Roman" w:hAnsi="Times New Roman"/>
          <w:color w:val="000000"/>
          <w:sz w:val="22"/>
          <w:u w:val="single"/>
        </w:rPr>
        <w:t>Financials</w:t>
      </w:r>
      <w:r>
        <w:rPr>
          <w:rFonts w:ascii="Times New Roman" w:hAnsi="Times New Roman"/>
          <w:color w:val="000000"/>
          <w:sz w:val="20"/>
        </w:rPr>
        <w:t xml:space="preserve">” </w:t>
      </w:r>
      <w:r>
        <w:rPr>
          <w:rFonts w:ascii="Times New Roman" w:hAnsi="Times New Roman"/>
          <w:color w:val="000000"/>
          <w:sz w:val="22"/>
        </w:rPr>
        <w:t>means the annual or quarterly financial statements, and accompanying certificates and other documents, of the Company and its Subsidiaries required to be delivered pursuant to Section 5.01(a) or 5.01(b).</w:t>
      </w:r>
    </w:p>
    <w:p>
      <w:pPr>
        <w:pStyle w:val="TextBody"/>
        <w:bidi w:val="0"/>
        <w:spacing w:before="0" w:after="240"/>
        <w:jc w:val="both"/>
        <w:rPr/>
      </w:pPr>
      <w:r>
        <w:rPr>
          <w:color w:val="000000"/>
        </w:rPr>
        <w:t>“</w:t>
      </w:r>
      <w:r>
        <w:rPr>
          <w:rFonts w:ascii="Times New Roman" w:hAnsi="Times New Roman"/>
          <w:color w:val="000000"/>
          <w:sz w:val="22"/>
          <w:u w:val="single"/>
        </w:rPr>
        <w:t>Fitch</w:t>
      </w:r>
      <w:r>
        <w:rPr>
          <w:rFonts w:ascii="Times New Roman" w:hAnsi="Times New Roman"/>
          <w:color w:val="000000"/>
          <w:sz w:val="20"/>
        </w:rPr>
        <w:t xml:space="preserve">” </w:t>
      </w:r>
      <w:r>
        <w:rPr>
          <w:rFonts w:ascii="Times New Roman" w:hAnsi="Times New Roman"/>
          <w:color w:val="000000"/>
          <w:sz w:val="22"/>
        </w:rPr>
        <w:t>means Fitch Ratings Inc.</w:t>
      </w:r>
    </w:p>
    <w:p>
      <w:pPr>
        <w:pStyle w:val="TextBody"/>
        <w:bidi w:val="0"/>
        <w:spacing w:before="0" w:after="240"/>
        <w:jc w:val="both"/>
        <w:rPr/>
      </w:pPr>
      <w:r>
        <w:rPr>
          <w:color w:val="000000"/>
        </w:rPr>
        <w:t>“</w:t>
      </w:r>
      <w:r>
        <w:rPr>
          <w:rFonts w:ascii="Times New Roman" w:hAnsi="Times New Roman"/>
          <w:color w:val="000000"/>
          <w:sz w:val="22"/>
          <w:u w:val="single"/>
        </w:rPr>
        <w:t>Floor</w:t>
      </w:r>
      <w:r>
        <w:rPr>
          <w:rFonts w:ascii="Times New Roman" w:hAnsi="Times New Roman"/>
          <w:color w:val="000000"/>
          <w:sz w:val="20"/>
        </w:rPr>
        <w:t xml:space="preserve">” </w:t>
      </w:r>
      <w:r>
        <w:rPr>
          <w:rFonts w:ascii="Times New Roman" w:hAnsi="Times New Roman"/>
          <w:color w:val="000000"/>
          <w:sz w:val="22"/>
        </w:rPr>
        <w:t>means the benchmark rate floor, if any, provided in this Agreement initially (as of the execution of this Agreement, the modification, amendment or renewal of this Agreement or otherwise) with respect to the Adjusted Term SOFR Rate, the Adjusted EURIBO Rate, the Adjusted Term CORRA Rate, each Adjusted Daily Simple RFR, the Canadian Prime Rate or the Central Bank Rate, as applicable. For the avoidance of doubt, the initial Floor for each of the Adjusted Term SOFR Rate, the Adjusted EURIBO Rate, the Adjusted Term CORRA Rate, each Adjusted Daily Simple RFR, the Canadian Prime Rate or the Central Bank Rate shall be 0%.</w:t>
      </w:r>
    </w:p>
    <w:p>
      <w:pPr>
        <w:pStyle w:val="TextBody"/>
        <w:bidi w:val="0"/>
        <w:spacing w:before="0" w:after="240"/>
        <w:jc w:val="both"/>
        <w:rPr/>
      </w:pPr>
      <w:r>
        <w:rPr>
          <w:color w:val="000000"/>
        </w:rPr>
        <w:t>“</w:t>
      </w:r>
      <w:r>
        <w:rPr>
          <w:rFonts w:ascii="Times New Roman" w:hAnsi="Times New Roman"/>
          <w:color w:val="000000"/>
          <w:sz w:val="22"/>
          <w:u w:val="single"/>
        </w:rPr>
        <w:t>Foreign Currencies</w:t>
      </w:r>
      <w:r>
        <w:rPr>
          <w:rFonts w:ascii="Times New Roman" w:hAnsi="Times New Roman"/>
          <w:color w:val="000000"/>
          <w:sz w:val="20"/>
        </w:rPr>
        <w:t xml:space="preserve">” </w:t>
      </w:r>
      <w:r>
        <w:rPr>
          <w:rFonts w:ascii="Times New Roman" w:hAnsi="Times New Roman"/>
          <w:color w:val="000000"/>
          <w:sz w:val="22"/>
        </w:rPr>
        <w:t>means Agreed Currencies other than Dollars.</w:t>
      </w:r>
    </w:p>
    <w:p>
      <w:pPr>
        <w:pStyle w:val="TextBody"/>
        <w:bidi w:val="0"/>
        <w:spacing w:before="0" w:after="240"/>
        <w:jc w:val="both"/>
        <w:rPr/>
      </w:pPr>
      <w:r>
        <w:rPr>
          <w:color w:val="000000"/>
        </w:rPr>
        <w:t>“</w:t>
      </w:r>
      <w:r>
        <w:rPr>
          <w:rFonts w:ascii="Times New Roman" w:hAnsi="Times New Roman"/>
          <w:color w:val="000000"/>
          <w:sz w:val="22"/>
          <w:u w:val="single"/>
        </w:rPr>
        <w:t>Foreign Currency LC Exposure</w:t>
      </w:r>
      <w:r>
        <w:rPr>
          <w:rFonts w:ascii="Times New Roman" w:hAnsi="Times New Roman"/>
          <w:color w:val="000000"/>
          <w:sz w:val="20"/>
        </w:rPr>
        <w:t xml:space="preserve">” </w:t>
      </w:r>
      <w:r>
        <w:rPr>
          <w:rFonts w:ascii="Times New Roman" w:hAnsi="Times New Roman"/>
          <w:color w:val="000000"/>
          <w:sz w:val="22"/>
        </w:rPr>
        <w:t>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pStyle w:val="TextBody"/>
        <w:bidi w:val="0"/>
        <w:spacing w:before="0" w:after="240"/>
        <w:jc w:val="both"/>
        <w:rPr/>
      </w:pPr>
      <w:r>
        <w:rPr>
          <w:color w:val="000000"/>
        </w:rPr>
        <w:t>“</w:t>
      </w:r>
      <w:r>
        <w:rPr>
          <w:rFonts w:ascii="Times New Roman" w:hAnsi="Times New Roman"/>
          <w:color w:val="000000"/>
          <w:sz w:val="22"/>
          <w:u w:val="single"/>
        </w:rPr>
        <w:t>Foreign Currency Letter of Credit</w:t>
      </w:r>
      <w:r>
        <w:rPr>
          <w:rFonts w:ascii="Times New Roman" w:hAnsi="Times New Roman"/>
          <w:color w:val="000000"/>
          <w:sz w:val="20"/>
        </w:rPr>
        <w:t xml:space="preserve">” </w:t>
      </w:r>
      <w:r>
        <w:rPr>
          <w:rFonts w:ascii="Times New Roman" w:hAnsi="Times New Roman"/>
          <w:color w:val="000000"/>
          <w:sz w:val="22"/>
        </w:rPr>
        <w:t>means a Letter of Credit denominated in a Foreign Currency.</w:t>
      </w:r>
    </w:p>
    <w:p>
      <w:pPr>
        <w:pStyle w:val="TextBody"/>
        <w:bidi w:val="0"/>
        <w:spacing w:before="0" w:after="240"/>
        <w:jc w:val="both"/>
        <w:rPr/>
      </w:pPr>
      <w:r>
        <w:rPr>
          <w:color w:val="000000"/>
        </w:rPr>
        <w:t>“</w:t>
      </w:r>
      <w:r>
        <w:rPr>
          <w:rFonts w:ascii="Times New Roman" w:hAnsi="Times New Roman"/>
          <w:color w:val="000000"/>
          <w:sz w:val="22"/>
          <w:u w:val="single"/>
        </w:rPr>
        <w:t>Foreign Currency Payment Office</w:t>
      </w:r>
      <w:r>
        <w:rPr>
          <w:rFonts w:ascii="Times New Roman" w:hAnsi="Times New Roman"/>
          <w:color w:val="000000"/>
          <w:sz w:val="20"/>
        </w:rPr>
        <w:t xml:space="preserve">” </w:t>
      </w:r>
      <w:r>
        <w:rPr>
          <w:rFonts w:ascii="Times New Roman" w:hAnsi="Times New Roman"/>
          <w:color w:val="000000"/>
          <w:sz w:val="22"/>
        </w:rPr>
        <w:t>of the Administrative Agent shall mean, for each Foreign Currency, the office, branch, affiliate or correspondent bank of the Administrative Agent for such currency as specified from time to time by the Administrative Agent to the Company and each Lender.</w:t>
      </w:r>
    </w:p>
    <w:p>
      <w:pPr>
        <w:pStyle w:val="TextBody"/>
        <w:bidi w:val="0"/>
        <w:spacing w:before="0" w:after="240"/>
        <w:jc w:val="both"/>
        <w:rPr/>
      </w:pPr>
      <w:r>
        <w:rPr>
          <w:color w:val="000000"/>
        </w:rPr>
        <w:t>“</w:t>
      </w:r>
      <w:r>
        <w:rPr>
          <w:rFonts w:ascii="Times New Roman" w:hAnsi="Times New Roman"/>
          <w:color w:val="000000"/>
          <w:sz w:val="22"/>
          <w:u w:val="single"/>
        </w:rPr>
        <w:t>Foreign Lender</w:t>
      </w:r>
      <w:r>
        <w:rPr>
          <w:rFonts w:ascii="Times New Roman" w:hAnsi="Times New Roman"/>
          <w:color w:val="000000"/>
          <w:sz w:val="20"/>
        </w:rPr>
        <w:t xml:space="preserve">” </w:t>
      </w:r>
      <w:r>
        <w:rPr>
          <w:rFonts w:ascii="Times New Roman" w:hAnsi="Times New Roman"/>
          <w:color w:val="000000"/>
          <w:sz w:val="22"/>
        </w:rPr>
        <w:t>means (a) if the applicable Borrower is a U.S. Person, a Lender, with respect to such Borrower, that is not a U.S. Person, and (b) if the applicable Borrower is not a U.S. Person,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Lender, with respect to such Borrower, that is resident or organized under the laws of a jurisdiction other than that in which such Borrower is resident for tax purposes.</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Subsidiary which is not a Domestic Subsidiary.</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color w:val="000000"/>
          <w:sz w:val="22"/>
          <w:u w:val="single"/>
        </w:rPr>
        <w:t>Guarantee</w:t>
      </w:r>
      <w:r>
        <w:rPr>
          <w:rFonts w:ascii="Times New Roman" w:hAnsi="Times New Roman"/>
          <w:color w:val="000000"/>
          <w:sz w:val="20"/>
        </w:rPr>
        <w:t xml:space="preserve">” </w:t>
      </w:r>
      <w:r>
        <w:rPr>
          <w:rFonts w:ascii="Times New Roman" w:hAnsi="Times New Roman"/>
          <w:color w:val="000000"/>
          <w:sz w:val="22"/>
        </w:rPr>
        <w:t>of or by any Person (the “</w:t>
      </w:r>
      <w:r>
        <w:rPr>
          <w:rFonts w:ascii="Times New Roman" w:hAnsi="Times New Roman"/>
          <w:color w:val="000000"/>
          <w:sz w:val="22"/>
          <w:u w:val="single"/>
        </w:rPr>
        <w:t>guarantor</w:t>
      </w:r>
      <w:r>
        <w:rPr>
          <w:rFonts w:ascii="Times New Roman" w:hAnsi="Times New Roman"/>
          <w:color w:val="000000"/>
          <w:sz w:val="20"/>
        </w:rPr>
        <w:t>”</w:t>
      </w:r>
      <w:r>
        <w:rPr>
          <w:rFonts w:ascii="Times New Roman" w:hAnsi="Times New Roman"/>
          <w:color w:val="000000"/>
          <w:sz w:val="22"/>
        </w:rPr>
        <w:t>) means any obligation, contingent or otherwise, of the guarantor guaranteeing or having the economic effect of guaranteeing any Indebtedness of any other Person (the “</w:t>
      </w:r>
      <w:r>
        <w:rPr>
          <w:rFonts w:ascii="Times New Roman" w:hAnsi="Times New Roman"/>
          <w:color w:val="000000"/>
          <w:sz w:val="22"/>
          <w:u w:val="single"/>
        </w:rPr>
        <w:t>primary obligor</w:t>
      </w:r>
      <w:r>
        <w:rPr>
          <w:rFonts w:ascii="Times New Roman" w:hAnsi="Times New Roman"/>
          <w:color w:val="000000"/>
          <w:sz w:val="20"/>
        </w:rPr>
        <w:t>”</w:t>
      </w:r>
      <w:r>
        <w:rPr>
          <w:rFonts w:ascii="Times New Roman" w:hAnsi="Times New Roman"/>
          <w:color w:val="000000"/>
          <w:sz w:val="22"/>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hAnsi="Times New Roman"/>
          <w:color w:val="000000"/>
          <w:sz w:val="22"/>
          <w:u w:val="single"/>
        </w:rPr>
        <w:t>provided</w:t>
      </w:r>
      <w:r>
        <w:rPr>
          <w:rFonts w:ascii="Times New Roman" w:hAnsi="Times New Roman"/>
          <w:color w:val="000000"/>
          <w:sz w:val="22"/>
        </w:rPr>
        <w:t>, that the term “Guarantee” shall not include endorsements for collection or deposit in the ordinary course of business.</w:t>
      </w:r>
    </w:p>
    <w:p>
      <w:pPr>
        <w:pStyle w:val="TextBody"/>
        <w:bidi w:val="0"/>
        <w:spacing w:before="0" w:after="240"/>
        <w:jc w:val="both"/>
        <w:rPr/>
      </w:pPr>
      <w:r>
        <w:rPr>
          <w:color w:val="000000"/>
        </w:rPr>
        <w:t>“</w:t>
      </w:r>
      <w:r>
        <w:rPr>
          <w:rFonts w:ascii="Times New Roman" w:hAnsi="Times New Roman"/>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240"/>
        <w:jc w:val="both"/>
        <w:rPr/>
      </w:pPr>
      <w:r>
        <w:rPr>
          <w:color w:val="000000"/>
        </w:rPr>
        <w:t>“</w:t>
      </w:r>
      <w:r>
        <w:rPr>
          <w:rFonts w:ascii="Times New Roman" w:hAnsi="Times New Roman"/>
          <w:color w:val="000000"/>
          <w:sz w:val="22"/>
          <w:u w:val="single"/>
        </w:rPr>
        <w:t>Increasing Lender</w:t>
      </w:r>
      <w:r>
        <w:rPr>
          <w:rFonts w:ascii="Times New Roman" w:hAnsi="Times New Roman"/>
          <w:color w:val="000000"/>
          <w:sz w:val="20"/>
        </w:rPr>
        <w:t xml:space="preserve">” </w:t>
      </w:r>
      <w:r>
        <w:rPr>
          <w:rFonts w:ascii="Times New Roman" w:hAnsi="Times New Roman"/>
          <w:color w:val="000000"/>
          <w:sz w:val="22"/>
        </w:rPr>
        <w:t>has the meaning assigned to such term in Section 2.20.</w:t>
      </w:r>
    </w:p>
    <w:p>
      <w:pPr>
        <w:pStyle w:val="TextBody"/>
        <w:bidi w:val="0"/>
        <w:spacing w:before="0" w:after="240"/>
        <w:jc w:val="both"/>
        <w:rPr/>
      </w:pPr>
      <w:r>
        <w:rPr>
          <w:color w:val="000000"/>
        </w:rPr>
        <w:t>“</w:t>
      </w:r>
      <w:r>
        <w:rPr>
          <w:rFonts w:ascii="Times New Roman" w:hAnsi="Times New Roman"/>
          <w:color w:val="000000"/>
          <w:sz w:val="22"/>
          <w:u w:val="single"/>
        </w:rPr>
        <w:t>Incremental Term Loan</w:t>
      </w:r>
      <w:r>
        <w:rPr>
          <w:rFonts w:ascii="Times New Roman" w:hAnsi="Times New Roman"/>
          <w:color w:val="000000"/>
          <w:sz w:val="20"/>
        </w:rPr>
        <w:t xml:space="preserve">” </w:t>
      </w:r>
      <w:r>
        <w:rPr>
          <w:rFonts w:ascii="Times New Roman" w:hAnsi="Times New Roman"/>
          <w:color w:val="000000"/>
          <w:sz w:val="22"/>
        </w:rPr>
        <w:t>has the meaning assigned to such term in Section 2.20.</w:t>
      </w:r>
    </w:p>
    <w:p>
      <w:pPr>
        <w:pStyle w:val="TextBody"/>
        <w:bidi w:val="0"/>
        <w:spacing w:before="0" w:after="240"/>
        <w:jc w:val="both"/>
        <w:rPr/>
      </w:pPr>
      <w:r>
        <w:rPr>
          <w:color w:val="000000"/>
        </w:rPr>
        <w:t>“</w:t>
      </w:r>
      <w:r>
        <w:rPr>
          <w:rFonts w:ascii="Times New Roman" w:hAnsi="Times New Roman"/>
          <w:color w:val="000000"/>
          <w:sz w:val="22"/>
          <w:u w:val="single"/>
        </w:rPr>
        <w:t>Incremental Term Loan Amendment</w:t>
      </w:r>
      <w:r>
        <w:rPr>
          <w:rFonts w:ascii="Times New Roman" w:hAnsi="Times New Roman"/>
          <w:color w:val="000000"/>
          <w:sz w:val="20"/>
        </w:rPr>
        <w:t xml:space="preserve">” </w:t>
      </w:r>
      <w:r>
        <w:rPr>
          <w:rFonts w:ascii="Times New Roman" w:hAnsi="Times New Roman"/>
          <w:color w:val="000000"/>
          <w:sz w:val="22"/>
        </w:rPr>
        <w:t>has the meaning assigned to such term in Section 2.20.</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described in the other clauses of this definition,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directly liable therefor as a result of such Person’s ownership interest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or other relationship with such entity, except to the extent the terms of such Indebtedness provide that such Person is not liable therefor. Notwithstanding the foregoing, Indebtedness shall not include (i) deferred or prepaid revenue, (ii) earnouts, purchase price adjustments, purchase price holdbacks and similar payments payable in connection with an Acquisition (unless such obligations remain unpaid after the date which is sixty (60) days prior to the date such obligations become due and payable), (iii) Intercompany Loans or the practice of the Company in the normal course of “sweeping” cash accounts from its “branches” (i.e., subsidiaries) to centralize the cash operations of the Company and its Subsidiaries and (iv) netting services or overdraft protections which do not remain outstanding for a period in excess of ten Business Days after payment is due therefor.</w:t>
      </w:r>
    </w:p>
    <w:p>
      <w:pPr>
        <w:pStyle w:val="TextBody"/>
        <w:bidi w:val="0"/>
        <w:spacing w:before="0" w:after="240"/>
        <w:jc w:val="both"/>
        <w:rPr/>
      </w:pPr>
      <w:r>
        <w:rPr>
          <w:color w:val="000000"/>
        </w:rPr>
        <w:t>“</w:t>
      </w:r>
      <w:r>
        <w:rPr>
          <w:rFonts w:ascii="Times New Roman" w:hAnsi="Times New Roman"/>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means (a) Taxes, other than Excluded Taxes, imposed on or with respect to any payment made by or on account of any obligation of any Loan Party under any Loan Document and (b) to the extent not otherwise described in clause (a) hereof, Other Taxes.</w:t>
      </w:r>
    </w:p>
    <w:p>
      <w:pPr>
        <w:pStyle w:val="TextBody"/>
        <w:bidi w:val="0"/>
        <w:spacing w:before="0" w:after="240"/>
        <w:jc w:val="both"/>
        <w:rPr/>
      </w:pPr>
      <w:r>
        <w:rPr>
          <w:color w:val="000000"/>
        </w:rPr>
        <w:t>“</w:t>
      </w:r>
      <w:r>
        <w:rPr>
          <w:rFonts w:ascii="Times New Roman" w:hAnsi="Times New Roman"/>
          <w:color w:val="000000"/>
          <w:sz w:val="22"/>
          <w:u w:val="single"/>
        </w:rPr>
        <w:t>Indemnitee</w:t>
      </w:r>
      <w:r>
        <w:rPr>
          <w:rFonts w:ascii="Times New Roman" w:hAnsi="Times New Roman"/>
          <w:color w:val="000000"/>
          <w:sz w:val="20"/>
        </w:rPr>
        <w:t xml:space="preserve">” </w:t>
      </w:r>
      <w:r>
        <w:rPr>
          <w:rFonts w:ascii="Times New Roman" w:hAnsi="Times New Roman"/>
          <w:color w:val="000000"/>
          <w:sz w:val="22"/>
        </w:rPr>
        <w:t>has the meaning assigned to such term in Section 9.03(b).</w:t>
      </w:r>
    </w:p>
    <w:p>
      <w:pPr>
        <w:pStyle w:val="TextBody"/>
        <w:bidi w:val="0"/>
        <w:spacing w:before="0" w:after="240"/>
        <w:jc w:val="both"/>
        <w:rPr/>
      </w:pPr>
      <w:r>
        <w:rPr>
          <w:color w:val="000000"/>
        </w:rPr>
        <w:t>“</w:t>
      </w:r>
      <w:r>
        <w:rPr>
          <w:rFonts w:ascii="Times New Roman" w:hAnsi="Times New Roman"/>
          <w:color w:val="000000"/>
          <w:sz w:val="22"/>
          <w:u w:val="single"/>
        </w:rPr>
        <w:t>Index Debt</w:t>
      </w:r>
      <w:r>
        <w:rPr>
          <w:rFonts w:ascii="Times New Roman" w:hAnsi="Times New Roman"/>
          <w:color w:val="000000"/>
          <w:sz w:val="20"/>
        </w:rPr>
        <w:t xml:space="preserve">” </w:t>
      </w:r>
      <w:r>
        <w:rPr>
          <w:rFonts w:ascii="Times New Roman" w:hAnsi="Times New Roman"/>
          <w:color w:val="000000"/>
          <w:sz w:val="22"/>
        </w:rPr>
        <w:t>means senior, unsecured, long-term indebtedness for borrowed money of the Company that is not Guaranteed by any other person or entity or subject to any other credit enhancement.</w:t>
      </w:r>
    </w:p>
    <w:p>
      <w:pPr>
        <w:pStyle w:val="TextBody"/>
        <w:bidi w:val="0"/>
        <w:spacing w:before="0" w:after="240"/>
        <w:jc w:val="both"/>
        <w:rPr/>
      </w:pPr>
      <w:r>
        <w:rPr>
          <w:color w:val="000000"/>
        </w:rPr>
        <w:t>“</w:t>
      </w:r>
      <w:r>
        <w:rPr>
          <w:rFonts w:ascii="Times New Roman" w:hAnsi="Times New Roman"/>
          <w:color w:val="000000"/>
          <w:sz w:val="22"/>
          <w:u w:val="single"/>
        </w:rPr>
        <w:t>Ineligible Institution</w:t>
      </w:r>
      <w:r>
        <w:rPr>
          <w:rFonts w:ascii="Times New Roman" w:hAnsi="Times New Roman"/>
          <w:color w:val="000000"/>
          <w:sz w:val="20"/>
        </w:rPr>
        <w:t xml:space="preserve">” </w:t>
      </w:r>
      <w:r>
        <w:rPr>
          <w:rFonts w:ascii="Times New Roman" w:hAnsi="Times New Roman"/>
          <w:color w:val="000000"/>
          <w:sz w:val="22"/>
        </w:rPr>
        <w:t>has the meaning assigned to such term in Section 9.04(b).</w:t>
      </w:r>
    </w:p>
    <w:p>
      <w:pPr>
        <w:pStyle w:val="TextBody"/>
        <w:bidi w:val="0"/>
        <w:spacing w:before="0" w:after="240"/>
        <w:jc w:val="both"/>
        <w:rPr/>
      </w:pPr>
      <w:r>
        <w:rPr>
          <w:color w:val="000000"/>
        </w:rPr>
        <w:t>“</w:t>
      </w:r>
      <w:r>
        <w:rPr>
          <w:rFonts w:ascii="Times New Roman" w:hAnsi="Times New Roman"/>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has the meaning assigned to such term in Section 9.12.</w:t>
      </w:r>
    </w:p>
    <w:p>
      <w:pPr>
        <w:pStyle w:val="TextBody"/>
        <w:bidi w:val="0"/>
        <w:spacing w:before="0" w:after="240"/>
        <w:jc w:val="both"/>
        <w:rPr/>
      </w:pPr>
      <w:r>
        <w:rPr>
          <w:color w:val="000000"/>
        </w:rPr>
        <w:t>“</w:t>
      </w:r>
      <w:r>
        <w:rPr>
          <w:rFonts w:ascii="Times New Roman" w:hAnsi="Times New Roman"/>
          <w:color w:val="000000"/>
          <w:sz w:val="22"/>
          <w:u w:val="single"/>
        </w:rPr>
        <w:t>Information Memorandum</w:t>
      </w:r>
      <w:r>
        <w:rPr>
          <w:rFonts w:ascii="Times New Roman" w:hAnsi="Times New Roman"/>
          <w:color w:val="000000"/>
          <w:sz w:val="20"/>
        </w:rPr>
        <w:t xml:space="preserve">” </w:t>
      </w:r>
      <w:r>
        <w:rPr>
          <w:rFonts w:ascii="Times New Roman" w:hAnsi="Times New Roman"/>
          <w:color w:val="000000"/>
          <w:sz w:val="22"/>
        </w:rPr>
        <w:t>means the Confidential Information Memorandum dated May 2026 relating to the Company and the Transactions.</w:t>
      </w:r>
    </w:p>
    <w:p>
      <w:pPr>
        <w:pStyle w:val="TextBody"/>
        <w:bidi w:val="0"/>
        <w:spacing w:before="0" w:after="240"/>
        <w:jc w:val="both"/>
        <w:rPr/>
      </w:pPr>
      <w:r>
        <w:rPr>
          <w:color w:val="000000"/>
        </w:rPr>
        <w:t>“</w:t>
      </w:r>
      <w:r>
        <w:rPr>
          <w:rFonts w:ascii="Times New Roman" w:hAnsi="Times New Roman"/>
          <w:color w:val="000000"/>
          <w:sz w:val="22"/>
          <w:u w:val="single"/>
        </w:rPr>
        <w:t>Insurance Company Payables</w:t>
      </w:r>
      <w:r>
        <w:rPr>
          <w:rFonts w:ascii="Times New Roman" w:hAnsi="Times New Roman"/>
          <w:color w:val="000000"/>
          <w:sz w:val="20"/>
        </w:rPr>
        <w:t xml:space="preserve">” </w:t>
      </w:r>
      <w:r>
        <w:rPr>
          <w:rFonts w:ascii="Times New Roman" w:hAnsi="Times New Roman"/>
          <w:color w:val="000000"/>
          <w:sz w:val="22"/>
        </w:rPr>
        <w:t>means payables due an insurance company from the Company or any of its Subsidiaries which arise from time to time in the ordinary and normal course of business.</w:t>
      </w:r>
    </w:p>
    <w:p>
      <w:pPr>
        <w:pStyle w:val="TextBody"/>
        <w:bidi w:val="0"/>
        <w:spacing w:before="0" w:after="240"/>
        <w:jc w:val="both"/>
        <w:rPr/>
      </w:pPr>
      <w:r>
        <w:rPr>
          <w:color w:val="000000"/>
        </w:rPr>
        <w:t>“</w:t>
      </w:r>
      <w:r>
        <w:rPr>
          <w:rFonts w:ascii="Times New Roman" w:hAnsi="Times New Roman"/>
          <w:color w:val="000000"/>
          <w:sz w:val="22"/>
          <w:u w:val="single"/>
        </w:rPr>
        <w:t>Intercompany Loans</w:t>
      </w:r>
      <w:r>
        <w:rPr>
          <w:rFonts w:ascii="Times New Roman" w:hAnsi="Times New Roman"/>
          <w:color w:val="000000"/>
          <w:sz w:val="20"/>
        </w:rPr>
        <w:t xml:space="preserve">” </w:t>
      </w:r>
      <w:r>
        <w:rPr>
          <w:rFonts w:ascii="Times New Roman" w:hAnsi="Times New Roman"/>
          <w:color w:val="000000"/>
          <w:sz w:val="22"/>
        </w:rPr>
        <w:t>means loans or other extensions of credit from time to time made by the Company to any of its Subsidiaries or by any Subsidiary to the Company or any other Subsidiary.</w:t>
      </w:r>
    </w:p>
    <w:p>
      <w:pPr>
        <w:pStyle w:val="TextBody"/>
        <w:bidi w:val="0"/>
        <w:spacing w:before="0" w:after="240"/>
        <w:jc w:val="both"/>
        <w:rPr/>
      </w:pPr>
      <w:r>
        <w:rPr>
          <w:color w:val="000000"/>
        </w:rPr>
        <w:t>“</w:t>
      </w:r>
      <w:r>
        <w:rPr>
          <w:rFonts w:ascii="Times New Roman" w:hAnsi="Times New Roman"/>
          <w:color w:val="000000"/>
          <w:sz w:val="22"/>
          <w:u w:val="single"/>
        </w:rPr>
        <w:t>Interest Election Request</w:t>
      </w:r>
      <w:r>
        <w:rPr>
          <w:rFonts w:ascii="Times New Roman" w:hAnsi="Times New Roman"/>
          <w:color w:val="000000"/>
          <w:sz w:val="20"/>
        </w:rPr>
        <w:t xml:space="preserve">” </w:t>
      </w:r>
      <w:r>
        <w:rPr>
          <w:rFonts w:ascii="Times New Roman" w:hAnsi="Times New Roman"/>
          <w:color w:val="000000"/>
          <w:sz w:val="22"/>
        </w:rPr>
        <w:t>means a request by the applicable Borrower (or the Company on behalf of the applicable Borrower) to convert or continue a Borrowing in accordance with Section 2.08, which shall be substantially in the form approved by the Administrative Agent and separately provided to the Company.</w:t>
      </w:r>
    </w:p>
    <w:p>
      <w:pPr>
        <w:pStyle w:val="TextBody"/>
        <w:bidi w:val="0"/>
        <w:spacing w:before="0" w:after="240"/>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means (a) with respect to any ABR Loan and any Loan that bears interest at the Canadian Prime Rate, the last day of each March, June, September and December and the applicable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applicable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applicable Maturity Date.</w:t>
      </w:r>
    </w:p>
    <w:p>
      <w:pPr>
        <w:pStyle w:val="TextBody"/>
        <w:bidi w:val="0"/>
        <w:spacing w:before="0" w:after="240"/>
        <w:jc w:val="both"/>
        <w:rPr/>
      </w:pPr>
      <w:r>
        <w:rPr>
          <w:color w:val="000000"/>
        </w:rPr>
        <w:t>“</w:t>
      </w:r>
      <w:r>
        <w:rPr>
          <w:rFonts w:ascii="Times New Roman" w:hAnsi="Times New Roman"/>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means with respect to any Term Benchmark Borrowing, the period commencing on the date of such Borrowing and ending on the numerically corresponding day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calendar month that is one, three or, other than with respect to a Term Benchmark Borrowing denominated in Canadian Dollars, six months thereafter (in each case, subject to the availability for the Benchmark applicable to the relevant Loan or Commitment for any Agreed Currency), as the applicable Borrower (or the Company on behalf of the applicable Borrower) may elect; </w:t>
      </w:r>
      <w:r>
        <w:rPr>
          <w:rFonts w:ascii="Times New Roman" w:hAnsi="Times New Roman"/>
          <w:color w:val="000000"/>
          <w:sz w:val="22"/>
          <w:u w:val="single"/>
        </w:rPr>
        <w:t>provided</w:t>
      </w:r>
      <w:r>
        <w:rPr>
          <w:rFonts w:ascii="Times New Roman" w:hAnsi="Times New Roman"/>
          <w:color w:val="000000"/>
          <w:sz w:val="22"/>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solely with respect to an Interest Period applicable to Loans made in Dollars on the Effective Date, such Interest Period may bear interest at the Adjusted Term SOFR Rate for a one month Interest Period and such Interest Period may end on June 30, 2026 and (iv) no tenor in respect of any Benchmark that has been removed from this definition pursuant to Section 2.14(e) shall be available for specification in such Borrowing Request or Interest Election Request for such Benchmark.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0" w:after="240"/>
        <w:jc w:val="both"/>
        <w:rPr/>
      </w:pPr>
      <w:r>
        <w:rPr>
          <w:color w:val="000000"/>
        </w:rPr>
        <w:t>“</w:t>
      </w:r>
      <w:r>
        <w:rPr>
          <w:rFonts w:ascii="Times New Roman" w:hAnsi="Times New Roman"/>
          <w:color w:val="000000"/>
          <w:sz w:val="22"/>
          <w:u w:val="single"/>
        </w:rPr>
        <w:t>Issuing Bank</w:t>
      </w:r>
      <w:r>
        <w:rPr>
          <w:rFonts w:ascii="Times New Roman" w:hAnsi="Times New Roman"/>
          <w:color w:val="000000"/>
          <w:sz w:val="20"/>
        </w:rPr>
        <w:t xml:space="preserve">” </w:t>
      </w:r>
      <w:r>
        <w:rPr>
          <w:rFonts w:ascii="Times New Roman" w:hAnsi="Times New Roman"/>
          <w:color w:val="000000"/>
          <w:sz w:val="22"/>
        </w:rPr>
        <w:t>means (a) JPMorgan Chase Bank, N.A., (b) Bank of America, N.A., (c) BMO Harris Bank N.A. and (d) Truist Bank, each in its capacity as an issuer of Letters of Credit hereunder, and its successors in such capacity as provided in Section 2.06(i). Each Issuing Bank may, in its discretion, arrange for one or more Letters of Credit to be issued by Affiliates of such Issuing Bank (so long as the beneficiary of any such Letter of Credit has consented (such consent not to be unreasonably withheld or delayed) to such Letter of Credit being issued by such Affiliate),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w:t>
      </w:r>
    </w:p>
    <w:p>
      <w:pPr>
        <w:pStyle w:val="TextBody"/>
        <w:bidi w:val="0"/>
        <w:spacing w:before="0" w:after="240"/>
        <w:jc w:val="both"/>
        <w:rPr/>
      </w:pPr>
      <w:r>
        <w:rPr>
          <w:color w:val="000000"/>
        </w:rPr>
        <w:t>“</w:t>
      </w:r>
      <w:r>
        <w:rPr>
          <w:rFonts w:ascii="Times New Roman" w:hAnsi="Times New Roman"/>
          <w:color w:val="000000"/>
          <w:sz w:val="22"/>
          <w:u w:val="single"/>
        </w:rPr>
        <w:t>Joint Bookrunner</w:t>
      </w:r>
      <w:r>
        <w:rPr>
          <w:rFonts w:ascii="Times New Roman" w:hAnsi="Times New Roman"/>
          <w:color w:val="000000"/>
          <w:sz w:val="20"/>
        </w:rPr>
        <w:t xml:space="preserve">” </w:t>
      </w:r>
      <w:r>
        <w:rPr>
          <w:rFonts w:ascii="Times New Roman" w:hAnsi="Times New Roman"/>
          <w:color w:val="000000"/>
          <w:sz w:val="22"/>
        </w:rPr>
        <w:t>means each of JPMorgan Chase Bank, N.A., BofA Securities, Inc., BMO Capital Markets Corp. and Truist Securities, Inc. in its capacity as a joint bookrunner for the credit facilities evidenced by this Agreement.</w:t>
      </w:r>
    </w:p>
    <w:p>
      <w:pPr>
        <w:pStyle w:val="TextBody"/>
        <w:bidi w:val="0"/>
        <w:spacing w:before="0" w:after="240"/>
        <w:jc w:val="both"/>
        <w:rPr/>
      </w:pPr>
      <w:r>
        <w:rPr>
          <w:color w:val="000000"/>
        </w:rPr>
        <w:t>“</w:t>
      </w:r>
      <w:r>
        <w:rPr>
          <w:rFonts w:ascii="Times New Roman" w:hAnsi="Times New Roman"/>
          <w:color w:val="000000"/>
          <w:sz w:val="22"/>
          <w:u w:val="single"/>
        </w:rPr>
        <w:t>LC Collateral Account</w:t>
      </w:r>
      <w:r>
        <w:rPr>
          <w:rFonts w:ascii="Times New Roman" w:hAnsi="Times New Roman"/>
          <w:color w:val="000000"/>
          <w:sz w:val="20"/>
        </w:rPr>
        <w:t xml:space="preserve">” </w:t>
      </w:r>
      <w:r>
        <w:rPr>
          <w:rFonts w:ascii="Times New Roman" w:hAnsi="Times New Roman"/>
          <w:color w:val="000000"/>
          <w:sz w:val="22"/>
        </w:rPr>
        <w:t>has the meaning assigned to such term in Section 2.06(j).</w:t>
      </w:r>
    </w:p>
    <w:p>
      <w:pPr>
        <w:pStyle w:val="TextBody"/>
        <w:bidi w:val="0"/>
        <w:spacing w:before="0" w:after="240"/>
        <w:jc w:val="both"/>
        <w:rPr/>
      </w:pPr>
      <w:r>
        <w:rPr>
          <w:color w:val="000000"/>
        </w:rPr>
        <w:t>“</w:t>
      </w:r>
      <w:r>
        <w:rPr>
          <w:rFonts w:ascii="Times New Roman" w:hAnsi="Times New Roman"/>
          <w:color w:val="000000"/>
          <w:sz w:val="22"/>
          <w:u w:val="single"/>
        </w:rPr>
        <w:t>LC Disbursement</w:t>
      </w:r>
      <w:r>
        <w:rPr>
          <w:rFonts w:ascii="Times New Roman" w:hAnsi="Times New Roman"/>
          <w:color w:val="000000"/>
          <w:sz w:val="20"/>
        </w:rPr>
        <w:t xml:space="preserve">” </w:t>
      </w:r>
      <w:r>
        <w:rPr>
          <w:rFonts w:ascii="Times New Roman" w:hAnsi="Times New Roman"/>
          <w:color w:val="000000"/>
          <w:sz w:val="22"/>
        </w:rPr>
        <w:t>means a payment made by any Issuing Bank pursuant to a Letter of Credit.</w:t>
      </w:r>
    </w:p>
    <w:p>
      <w:pPr>
        <w:pStyle w:val="TextBody"/>
        <w:bidi w:val="0"/>
        <w:spacing w:before="0" w:after="240"/>
        <w:jc w:val="both"/>
        <w:rPr/>
      </w:pPr>
      <w:r>
        <w:rPr>
          <w:color w:val="000000"/>
        </w:rPr>
        <w:t>“</w:t>
      </w:r>
      <w:r>
        <w:rPr>
          <w:rFonts w:ascii="Times New Roman" w:hAnsi="Times New Roman"/>
          <w:color w:val="000000"/>
          <w:sz w:val="22"/>
          <w:u w:val="single"/>
        </w:rPr>
        <w:t>LC Exposure</w:t>
      </w:r>
      <w:r>
        <w:rPr>
          <w:rFonts w:ascii="Times New Roman" w:hAnsi="Times New Roman"/>
          <w:color w:val="000000"/>
          <w:sz w:val="20"/>
        </w:rPr>
        <w:t xml:space="preserve">” </w:t>
      </w:r>
      <w:r>
        <w:rPr>
          <w:rFonts w:ascii="Times New Roman" w:hAnsi="Times New Roman"/>
          <w:color w:val="000000"/>
          <w:sz w:val="22"/>
        </w:rPr>
        <w:t>means, at any time, the sum of (a) the aggregate undrawn Dollar Amount of all outstanding Letters of Credit at such time plus (b) the aggregate Dollar Amount of all LC Disbursements that have not yet been reimbursed by or on behalf of the Company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rules or laws or of the Letter of Credit itself, or if compliant documents have been presented but not yet honored, such Letter of Credit shall be deemed to be “outstanding” and “undrawn” in the amount so remaining available to be paid, and the obligations of the relevant Borrower and each Revolving Lender shall remain in full force and effect until the relevant Issuing Bank and the Revolving Lenders shall have no further obligations to make any payments or disbursements under any circumstances with respect to any Letter of Credit.</w:t>
      </w:r>
    </w:p>
    <w:p>
      <w:pPr>
        <w:pStyle w:val="TextBody"/>
        <w:bidi w:val="0"/>
        <w:spacing w:before="0" w:after="240"/>
        <w:jc w:val="both"/>
        <w:rPr/>
      </w:pPr>
      <w:r>
        <w:rPr>
          <w:color w:val="000000"/>
        </w:rPr>
        <w:t>“</w:t>
      </w:r>
      <w:r>
        <w:rPr>
          <w:rFonts w:ascii="Times New Roman" w:hAnsi="Times New Roman"/>
          <w:color w:val="000000"/>
          <w:sz w:val="22"/>
          <w:u w:val="single"/>
        </w:rPr>
        <w:t>Lender Parent</w:t>
      </w:r>
      <w:r>
        <w:rPr>
          <w:rFonts w:ascii="Times New Roman" w:hAnsi="Times New Roman"/>
          <w:color w:val="000000"/>
          <w:sz w:val="20"/>
        </w:rPr>
        <w:t xml:space="preserve">” </w:t>
      </w:r>
      <w:r>
        <w:rPr>
          <w:rFonts w:ascii="Times New Roman" w:hAnsi="Times New Roman"/>
          <w:color w:val="000000"/>
          <w:sz w:val="22"/>
        </w:rPr>
        <w:t>means, with respect to any Lender, any Person as to which such Lender is, directly or indirectly, a subsidiary.</w:t>
      </w:r>
    </w:p>
    <w:p>
      <w:pPr>
        <w:pStyle w:val="TextBody"/>
        <w:bidi w:val="0"/>
        <w:spacing w:before="0" w:after="240"/>
        <w:jc w:val="both"/>
        <w:rPr/>
      </w:pPr>
      <w:r>
        <w:rPr>
          <w:color w:val="000000"/>
        </w:rPr>
        <w:t>“</w:t>
      </w:r>
      <w:r>
        <w:rPr>
          <w:rFonts w:ascii="Times New Roman" w:hAnsi="Times New Roman"/>
          <w:color w:val="000000"/>
          <w:sz w:val="22"/>
          <w:u w:val="single"/>
        </w:rPr>
        <w:t>Lender-Related Person</w:t>
      </w:r>
      <w:r>
        <w:rPr>
          <w:rFonts w:ascii="Times New Roman" w:hAnsi="Times New Roman"/>
          <w:color w:val="000000"/>
          <w:sz w:val="20"/>
        </w:rPr>
        <w:t xml:space="preserve">” </w:t>
      </w:r>
      <w:r>
        <w:rPr>
          <w:rFonts w:ascii="Times New Roman" w:hAnsi="Times New Roman"/>
          <w:color w:val="000000"/>
          <w:sz w:val="22"/>
        </w:rPr>
        <w:t>has the meaning assigned to such term in Section 9.03(d).</w:t>
      </w:r>
    </w:p>
    <w:p>
      <w:pPr>
        <w:pStyle w:val="TextBody"/>
        <w:bidi w:val="0"/>
        <w:spacing w:before="0" w:after="240"/>
        <w:jc w:val="both"/>
        <w:rPr/>
      </w:pPr>
      <w:r>
        <w:rPr>
          <w:color w:val="000000"/>
        </w:rPr>
        <w:t>“</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 xml:space="preserve">means the Persons listed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and any other Person that shall have become a Lender hereunder pursuant to Section 2.20 or pursuant to an Assignment and Assumption or other documentation contemplated thereby, other than any such Person that ceases to be a party hereto pursuant to an Assignment and Assumption or other documentation contemplated thereby. Unless the context otherwise requires, the term “Lenders” includes each Issuing Bank.</w:t>
      </w:r>
    </w:p>
    <w:p>
      <w:pPr>
        <w:pStyle w:val="TextBody"/>
        <w:bidi w:val="0"/>
        <w:spacing w:before="0" w:after="240"/>
        <w:jc w:val="both"/>
        <w:rPr/>
      </w:pPr>
      <w:r>
        <w:rPr>
          <w:color w:val="000000"/>
        </w:rPr>
        <w:t>“</w:t>
      </w:r>
      <w:r>
        <w:rPr>
          <w:rFonts w:ascii="Times New Roman" w:hAnsi="Times New Roman"/>
          <w:color w:val="000000"/>
          <w:sz w:val="22"/>
          <w:u w:val="single"/>
        </w:rPr>
        <w:t>Letter of Credit</w:t>
      </w:r>
      <w:r>
        <w:rPr>
          <w:rFonts w:ascii="Times New Roman" w:hAnsi="Times New Roman"/>
          <w:color w:val="000000"/>
          <w:sz w:val="20"/>
        </w:rPr>
        <w:t xml:space="preserve">” </w:t>
      </w:r>
      <w:r>
        <w:rPr>
          <w:rFonts w:ascii="Times New Roman" w:hAnsi="Times New Roman"/>
          <w:color w:val="000000"/>
          <w:sz w:val="22"/>
        </w:rPr>
        <w:t>means any letter of credit issued pursuant to this Agreement.</w:t>
      </w:r>
    </w:p>
    <w:p>
      <w:pPr>
        <w:pStyle w:val="TextBody"/>
        <w:bidi w:val="0"/>
        <w:spacing w:before="0" w:after="240"/>
        <w:jc w:val="both"/>
        <w:rPr/>
      </w:pPr>
      <w:r>
        <w:rPr>
          <w:color w:val="000000"/>
        </w:rPr>
        <w:t>“</w:t>
      </w:r>
      <w:r>
        <w:rPr>
          <w:rFonts w:ascii="Times New Roman" w:hAnsi="Times New Roman"/>
          <w:color w:val="000000"/>
          <w:sz w:val="22"/>
          <w:u w:val="single"/>
        </w:rPr>
        <w:t>Letter of Credit Agreement</w:t>
      </w:r>
      <w:r>
        <w:rPr>
          <w:rFonts w:ascii="Times New Roman" w:hAnsi="Times New Roman"/>
          <w:color w:val="000000"/>
          <w:sz w:val="20"/>
        </w:rPr>
        <w:t xml:space="preserve">” </w:t>
      </w:r>
      <w:r>
        <w:rPr>
          <w:rFonts w:ascii="Times New Roman" w:hAnsi="Times New Roman"/>
          <w:color w:val="000000"/>
          <w:sz w:val="22"/>
        </w:rPr>
        <w:t>has the meaning assigned to such term in Section 2.06(b).</w:t>
      </w:r>
    </w:p>
    <w:p>
      <w:pPr>
        <w:pStyle w:val="TextBody"/>
        <w:bidi w:val="0"/>
        <w:spacing w:before="0" w:after="240"/>
        <w:jc w:val="both"/>
        <w:rPr/>
      </w:pPr>
      <w:r>
        <w:rPr>
          <w:color w:val="000000"/>
        </w:rPr>
        <w:t>“</w:t>
      </w:r>
      <w:r>
        <w:rPr>
          <w:rFonts w:ascii="Times New Roman" w:hAnsi="Times New Roman"/>
          <w:color w:val="000000"/>
          <w:sz w:val="22"/>
          <w:u w:val="single"/>
        </w:rPr>
        <w:t>Liabilities</w:t>
      </w:r>
      <w:r>
        <w:rPr>
          <w:rFonts w:ascii="Times New Roman" w:hAnsi="Times New Roman"/>
          <w:color w:val="000000"/>
          <w:sz w:val="20"/>
        </w:rPr>
        <w:t xml:space="preserve">” </w:t>
      </w:r>
      <w:r>
        <w:rPr>
          <w:rFonts w:ascii="Times New Roman" w:hAnsi="Times New Roman"/>
          <w:color w:val="000000"/>
          <w:sz w:val="22"/>
        </w:rPr>
        <w:t>means any losses, claims (including intraparty claims), demands, damages or liabilities of any kind.</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each Borrowing Subsidiary Agreement, each Borrowing Subsidiary Termination, any promissory notes issued pursuant to Section 2.10(e), any Letter of Credit applications, Letter of Credit Agreements and any other agreements between the Company and an Issuing Bank regarding the respective rights and obligations between the Company and an Issuing Bank in connection with the issuance of Letters of Credit, and all other instruments and documents executed and delivered in accordance with the terms of this Agreement.</w:t>
      </w:r>
    </w:p>
    <w:p>
      <w:pPr>
        <w:pStyle w:val="TextBody"/>
        <w:bidi w:val="0"/>
        <w:spacing w:before="0" w:after="240"/>
        <w:jc w:val="both"/>
        <w:rPr/>
      </w:pPr>
      <w:r>
        <w:rPr>
          <w:color w:val="000000"/>
        </w:rPr>
        <w:t>“</w:t>
      </w:r>
      <w:r>
        <w:rPr>
          <w:rFonts w:ascii="Times New Roman" w:hAnsi="Times New Roman"/>
          <w:color w:val="000000"/>
          <w:sz w:val="22"/>
          <w:u w:val="single"/>
        </w:rPr>
        <w:t>Loan Parties</w:t>
      </w:r>
      <w:r>
        <w:rPr>
          <w:rFonts w:ascii="Times New Roman" w:hAnsi="Times New Roman"/>
          <w:color w:val="000000"/>
          <w:sz w:val="20"/>
        </w:rPr>
        <w:t xml:space="preserve">” </w:t>
      </w:r>
      <w:r>
        <w:rPr>
          <w:rFonts w:ascii="Times New Roman" w:hAnsi="Times New Roman"/>
          <w:color w:val="000000"/>
          <w:sz w:val="22"/>
        </w:rPr>
        <w:t>means the Borrowers.</w:t>
      </w:r>
    </w:p>
    <w:p>
      <w:pPr>
        <w:pStyle w:val="TextBody"/>
        <w:bidi w:val="0"/>
        <w:spacing w:before="0" w:after="240"/>
        <w:jc w:val="both"/>
        <w:rPr/>
      </w:pPr>
      <w:r>
        <w:rPr>
          <w:color w:val="000000"/>
        </w:rPr>
        <w:t>“</w:t>
      </w:r>
      <w:r>
        <w:rPr>
          <w:rFonts w:ascii="Times New Roman" w:hAnsi="Times New Roman"/>
          <w:color w:val="000000"/>
          <w:sz w:val="22"/>
          <w:u w:val="single"/>
        </w:rPr>
        <w:t>Loans</w:t>
      </w:r>
      <w:r>
        <w:rPr>
          <w:rFonts w:ascii="Times New Roman" w:hAnsi="Times New Roman"/>
          <w:color w:val="000000"/>
          <w:sz w:val="20"/>
        </w:rPr>
        <w:t xml:space="preserve">” </w:t>
      </w:r>
      <w:r>
        <w:rPr>
          <w:rFonts w:ascii="Times New Roman" w:hAnsi="Times New Roman"/>
          <w:color w:val="000000"/>
          <w:sz w:val="22"/>
        </w:rPr>
        <w:t>means the loans made by the Lenders to the Borrowers pursuant to this Agreement.</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on (a) the business, assets, operations or financial condition of the Company and the Subsidiaries taken as a whole, (b) the ability of any Borrower to perform any of its payment or other material obligations under this Agreement or (c) the rights or remedies of the Administrative Agent and the Lenders under the Loan Documents.</w:t>
      </w:r>
    </w:p>
    <w:p>
      <w:pPr>
        <w:pStyle w:val="TextBody"/>
        <w:bidi w:val="0"/>
        <w:spacing w:before="0" w:after="240"/>
        <w:jc w:val="both"/>
        <w:rPr/>
      </w:pPr>
      <w:r>
        <w:rPr>
          <w:color w:val="000000"/>
        </w:rPr>
        <w:t>“</w:t>
      </w:r>
      <w:r>
        <w:rPr>
          <w:rFonts w:ascii="Times New Roman" w:hAnsi="Times New Roman"/>
          <w:color w:val="000000"/>
          <w:sz w:val="22"/>
          <w:u w:val="single"/>
        </w:rPr>
        <w:t>Material Indebtedness</w:t>
      </w:r>
      <w:r>
        <w:rPr>
          <w:rFonts w:ascii="Times New Roman" w:hAnsi="Times New Roman"/>
          <w:color w:val="000000"/>
          <w:sz w:val="20"/>
        </w:rPr>
        <w:t xml:space="preserve">” </w:t>
      </w:r>
      <w:r>
        <w:rPr>
          <w:rFonts w:ascii="Times New Roman" w:hAnsi="Times New Roman"/>
          <w:color w:val="000000"/>
          <w:sz w:val="22"/>
        </w:rPr>
        <w:t>means Indebtedness (other than the Loans and Letters of Credit), or obligations in respect of one or more Swap Agreements, of any one or more of the Company and its Subsidiaries in an aggregate principal amount exceeding $200,000,000. For purposes of determining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pStyle w:val="TextBody"/>
        <w:bidi w:val="0"/>
        <w:spacing w:before="0" w:after="240"/>
        <w:jc w:val="both"/>
        <w:rPr/>
      </w:pPr>
      <w:r>
        <w:rPr>
          <w:color w:val="000000"/>
        </w:rPr>
        <w:t>“</w:t>
      </w:r>
      <w:r>
        <w:rPr>
          <w:rFonts w:ascii="Times New Roman" w:hAnsi="Times New Roman"/>
          <w:color w:val="000000"/>
          <w:sz w:val="22"/>
          <w:u w:val="single"/>
        </w:rPr>
        <w:t>Material Subsidiary</w:t>
      </w:r>
      <w:r>
        <w:rPr>
          <w:rFonts w:ascii="Times New Roman" w:hAnsi="Times New Roman"/>
          <w:color w:val="000000"/>
          <w:sz w:val="20"/>
        </w:rPr>
        <w:t xml:space="preserve">” </w:t>
      </w:r>
      <w:r>
        <w:rPr>
          <w:rFonts w:ascii="Times New Roman" w:hAnsi="Times New Roman"/>
          <w:color w:val="000000"/>
          <w:sz w:val="22"/>
        </w:rPr>
        <w:t>means each Subsidiary of the Company which, as of the most recent fiscal quarter of the Company,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the revenues of the Company and its Subsidiaries on a consolidated basis for such period.</w:t>
      </w:r>
    </w:p>
    <w:p>
      <w:pPr>
        <w:pStyle w:val="TextBody"/>
        <w:bidi w:val="0"/>
        <w:spacing w:before="0" w:after="240"/>
        <w:jc w:val="both"/>
        <w:rPr/>
      </w:pPr>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means the Revolving Credit Maturity Date, the Term A-1 Loan Maturity Date or the Term A-2 Loan Maturity Date, as the case may be.</w:t>
      </w:r>
    </w:p>
    <w:p>
      <w:pPr>
        <w:pStyle w:val="TextBody"/>
        <w:bidi w:val="0"/>
        <w:spacing w:before="0" w:after="240"/>
        <w:jc w:val="both"/>
        <w:rPr/>
      </w:pPr>
      <w:r>
        <w:rPr>
          <w:color w:val="000000"/>
        </w:rPr>
        <w:t>“</w:t>
      </w:r>
      <w:r>
        <w:rPr>
          <w:rFonts w:ascii="Times New Roman" w:hAnsi="Times New Roman"/>
          <w:color w:val="000000"/>
          <w:sz w:val="22"/>
          <w:u w:val="single"/>
        </w:rPr>
        <w:t>Maximum Rate</w:t>
      </w:r>
      <w:r>
        <w:rPr>
          <w:rFonts w:ascii="Times New Roman" w:hAnsi="Times New Roman"/>
          <w:color w:val="000000"/>
          <w:sz w:val="20"/>
        </w:rPr>
        <w:t xml:space="preserve">” </w:t>
      </w:r>
      <w:r>
        <w:rPr>
          <w:rFonts w:ascii="Times New Roman" w:hAnsi="Times New Roman"/>
          <w:color w:val="000000"/>
          <w:sz w:val="22"/>
        </w:rPr>
        <w:t>has the meaning assigned to such term in Section 9.14.</w:t>
      </w:r>
    </w:p>
    <w:p>
      <w:pPr>
        <w:pStyle w:val="TextBody"/>
        <w:bidi w:val="0"/>
        <w:spacing w:before="0" w:after="240"/>
        <w:jc w:val="both"/>
        <w:rPr/>
      </w:pPr>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means Moody’s Investors Service, Inc.</w:t>
      </w:r>
    </w:p>
    <w:p>
      <w:pPr>
        <w:pStyle w:val="TextBody"/>
        <w:bidi w:val="0"/>
        <w:spacing w:before="0" w:after="240"/>
        <w:jc w:val="both"/>
        <w:rPr/>
      </w:pPr>
      <w:r>
        <w:rPr>
          <w:color w:val="000000"/>
        </w:rPr>
        <w:t>“</w:t>
      </w:r>
      <w:r>
        <w:rPr>
          <w:rFonts w:ascii="Times New Roman" w:hAnsi="Times New Roman"/>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means a multiemployer plan as defined in Section 4001(a)(3) of ERISA to which the Company or an ERISA Affiliate is making, is obligated to make, or has been obligated to make during the last six years, contributions on behalf of participants who are or were employed by the Company or ERISA Affiliate.</w:t>
      </w:r>
    </w:p>
    <w:p>
      <w:pPr>
        <w:pStyle w:val="TextBody"/>
        <w:bidi w:val="0"/>
        <w:spacing w:before="0" w:after="240"/>
        <w:jc w:val="both"/>
        <w:rPr/>
      </w:pPr>
      <w:r>
        <w:rPr>
          <w:color w:val="000000"/>
        </w:rPr>
        <w:t>“</w:t>
      </w:r>
      <w:r>
        <w:rPr>
          <w:rFonts w:ascii="Times New Roman" w:hAnsi="Times New Roman"/>
          <w:color w:val="000000"/>
          <w:sz w:val="22"/>
          <w:u w:val="single"/>
        </w:rPr>
        <w:t>Net Leverage Ratio</w:t>
      </w:r>
      <w:r>
        <w:rPr>
          <w:rFonts w:ascii="Times New Roman" w:hAnsi="Times New Roman"/>
          <w:color w:val="000000"/>
          <w:sz w:val="20"/>
        </w:rPr>
        <w:t xml:space="preserve">” </w:t>
      </w:r>
      <w:r>
        <w:rPr>
          <w:rFonts w:ascii="Times New Roman" w:hAnsi="Times New Roman"/>
          <w:color w:val="000000"/>
          <w:sz w:val="22"/>
        </w:rPr>
        <w:t>has the meaning assigned to such term in Section 6.05(a).</w:t>
      </w:r>
    </w:p>
    <w:p>
      <w:pPr>
        <w:pStyle w:val="TextBody"/>
        <w:bidi w:val="0"/>
        <w:spacing w:before="0" w:after="240"/>
        <w:jc w:val="both"/>
        <w:rPr/>
      </w:pPr>
      <w:r>
        <w:rPr>
          <w:color w:val="000000"/>
        </w:rPr>
        <w:t>“</w:t>
      </w:r>
      <w:r>
        <w:rPr>
          <w:rFonts w:ascii="Times New Roman" w:hAnsi="Times New Roman"/>
          <w:color w:val="000000"/>
          <w:sz w:val="22"/>
          <w:u w:val="single"/>
        </w:rPr>
        <w:t>Non-Consenting Lender</w:t>
      </w:r>
      <w:r>
        <w:rPr>
          <w:rFonts w:ascii="Times New Roman" w:hAnsi="Times New Roman"/>
          <w:color w:val="000000"/>
          <w:sz w:val="20"/>
        </w:rPr>
        <w:t xml:space="preserve">” </w:t>
      </w:r>
      <w:r>
        <w:rPr>
          <w:rFonts w:ascii="Times New Roman" w:hAnsi="Times New Roman"/>
          <w:color w:val="000000"/>
          <w:sz w:val="22"/>
        </w:rPr>
        <w:t>has the meaning assigned to such term in Section 9.02(d).</w:t>
      </w:r>
    </w:p>
    <w:p>
      <w:pPr>
        <w:pStyle w:val="TextBody"/>
        <w:bidi w:val="0"/>
        <w:spacing w:before="0" w:after="240"/>
        <w:jc w:val="both"/>
        <w:rPr/>
      </w:pPr>
      <w:r>
        <w:rPr>
          <w:color w:val="000000"/>
        </w:rPr>
        <w:t>“</w:t>
      </w:r>
      <w:r>
        <w:rPr>
          <w:rFonts w:ascii="Times New Roman" w:hAnsi="Times New Roman"/>
          <w:color w:val="000000"/>
          <w:sz w:val="22"/>
          <w:u w:val="single"/>
        </w:rPr>
        <w:t>NYFRB</w:t>
      </w:r>
      <w:r>
        <w:rPr>
          <w:rFonts w:ascii="Times New Roman" w:hAnsi="Times New Roman"/>
          <w:color w:val="000000"/>
          <w:sz w:val="20"/>
        </w:rPr>
        <w:t xml:space="preserve">” </w:t>
      </w:r>
      <w:r>
        <w:rPr>
          <w:rFonts w:ascii="Times New Roman" w:hAnsi="Times New Roman"/>
          <w:color w:val="000000"/>
          <w:sz w:val="22"/>
        </w:rPr>
        <w:t>means the Federal Reserve Bank of New York.</w:t>
      </w:r>
    </w:p>
    <w:p>
      <w:pPr>
        <w:pStyle w:val="TextBody"/>
        <w:bidi w:val="0"/>
        <w:spacing w:before="0" w:after="240"/>
        <w:jc w:val="both"/>
        <w:rPr/>
      </w:pPr>
      <w:r>
        <w:rPr>
          <w:color w:val="000000"/>
        </w:rPr>
        <w:t>“</w:t>
      </w:r>
      <w:r>
        <w:rPr>
          <w:rFonts w:ascii="Times New Roman" w:hAnsi="Times New Roman"/>
          <w:color w:val="000000"/>
          <w:sz w:val="22"/>
          <w:u w:val="single"/>
        </w:rPr>
        <w:t>NYFRB Rate</w:t>
      </w:r>
      <w:r>
        <w:rPr>
          <w:rFonts w:ascii="Times New Roman" w:hAnsi="Times New Roman"/>
          <w:color w:val="000000"/>
          <w:sz w:val="20"/>
        </w:rPr>
        <w:t xml:space="preserve">” </w:t>
      </w:r>
      <w:r>
        <w:rPr>
          <w:rFonts w:ascii="Times New Roman" w:hAnsi="Times New Roman"/>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none of such rates are published for any day that is a Business Day, the term “</w:t>
      </w:r>
      <w:r>
        <w:rPr>
          <w:rFonts w:ascii="Times New Roman" w:hAnsi="Times New Roman"/>
          <w:color w:val="000000"/>
          <w:sz w:val="22"/>
          <w:u w:val="single"/>
        </w:rPr>
        <w:t>NYFRB Rate</w:t>
      </w:r>
      <w:r>
        <w:rPr>
          <w:rFonts w:ascii="Times New Roman" w:hAnsi="Times New Roman"/>
          <w:color w:val="000000"/>
          <w:sz w:val="20"/>
        </w:rPr>
        <w:t xml:space="preserve">” </w:t>
      </w:r>
      <w:r>
        <w:rPr>
          <w:rFonts w:ascii="Times New Roman" w:hAnsi="Times New Roman"/>
          <w:color w:val="000000"/>
          <w:sz w:val="22"/>
        </w:rPr>
        <w:t xml:space="preserve">means the rate for a federal funds transaction quoted at 11:00 a.m., New York City time, on such day received by the Administrative Agent from a federal funds broker of recognized standing selected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if any of the aforesaid rates as so determined would be less than 0%, such rate shall be deemed to be 0% for purposes of this Agreement.</w:t>
      </w:r>
    </w:p>
    <w:p>
      <w:pPr>
        <w:pStyle w:val="TextBody"/>
        <w:bidi w:val="0"/>
        <w:spacing w:before="0" w:after="240"/>
        <w:jc w:val="both"/>
        <w:rPr/>
      </w:pPr>
      <w:r>
        <w:rPr>
          <w:color w:val="000000"/>
        </w:rPr>
        <w:t>“</w:t>
      </w:r>
      <w:r>
        <w:rPr>
          <w:rFonts w:ascii="Times New Roman" w:hAnsi="Times New Roman"/>
          <w:color w:val="000000"/>
          <w:sz w:val="22"/>
          <w:u w:val="single"/>
        </w:rPr>
        <w:t>NYFRB’s Website</w:t>
      </w:r>
      <w:r>
        <w:rPr>
          <w:rFonts w:ascii="Times New Roman" w:hAnsi="Times New Roman"/>
          <w:color w:val="000000"/>
          <w:sz w:val="20"/>
        </w:rPr>
        <w:t xml:space="preserve">” </w:t>
      </w:r>
      <w:r>
        <w:rPr>
          <w:rFonts w:ascii="Times New Roman" w:hAnsi="Times New Roman"/>
          <w:color w:val="000000"/>
          <w:sz w:val="22"/>
        </w:rPr>
        <w:t>means the website of the NYFRB at http://www.newyorkfed.org, or any successor source.</w:t>
      </w:r>
    </w:p>
    <w:p>
      <w:pPr>
        <w:pStyle w:val="TextBody"/>
        <w:bidi w:val="0"/>
        <w:spacing w:before="0" w:after="240"/>
        <w:jc w:val="both"/>
        <w:rPr/>
      </w:pPr>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any Issuing Bank or any indemnified party under this Agreement or any other Loan Document,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Loan Documents or in respect of any of the Loans made or reimbursement or other obligations incurred under any of the Letters of Credit.</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Office of Foreign Assets Control of the U.S. Department of the Treasury.</w:t>
      </w:r>
    </w:p>
    <w:p>
      <w:pPr>
        <w:pStyle w:val="TextBody"/>
        <w:bidi w:val="0"/>
        <w:spacing w:before="0" w:after="240"/>
        <w:jc w:val="both"/>
        <w:rPr/>
      </w:pPr>
      <w:r>
        <w:rPr>
          <w:color w:val="000000"/>
        </w:rPr>
        <w:t>“</w:t>
      </w:r>
      <w:r>
        <w:rPr>
          <w:rFonts w:ascii="Times New Roman" w:hAnsi="Times New Roman"/>
          <w:color w:val="000000"/>
          <w:sz w:val="22"/>
          <w:u w:val="single"/>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240"/>
        <w:jc w:val="both"/>
        <w:rPr/>
      </w:pPr>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9.02(d)).</w:t>
      </w:r>
    </w:p>
    <w:p>
      <w:pPr>
        <w:pStyle w:val="TextBody"/>
        <w:bidi w:val="0"/>
        <w:spacing w:before="0" w:after="240"/>
        <w:jc w:val="both"/>
        <w:rPr/>
      </w:pPr>
      <w:r>
        <w:rPr>
          <w:color w:val="000000"/>
        </w:rPr>
        <w:t>“</w:t>
      </w:r>
      <w:r>
        <w:rPr>
          <w:rFonts w:ascii="Times New Roman" w:hAnsi="Times New Roman"/>
          <w:color w:val="000000"/>
          <w:sz w:val="22"/>
          <w:u w:val="single"/>
        </w:rPr>
        <w:t>Outbound Investment Rules</w:t>
      </w:r>
      <w:r>
        <w:rPr>
          <w:rFonts w:ascii="Times New Roman" w:hAnsi="Times New Roman"/>
          <w:color w:val="000000"/>
          <w:sz w:val="20"/>
        </w:rPr>
        <w:t xml:space="preserve">” </w:t>
      </w:r>
      <w:r>
        <w:rPr>
          <w:rFonts w:ascii="Times New Roman" w:hAnsi="Times New Roman"/>
          <w:color w:val="000000"/>
          <w:sz w:val="22"/>
        </w:rPr>
        <w:t>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240"/>
        <w:jc w:val="both"/>
        <w:rPr/>
      </w:pPr>
      <w:r>
        <w:rPr>
          <w:color w:val="000000"/>
        </w:rPr>
        <w:t>“</w:t>
      </w:r>
      <w:r>
        <w:rPr>
          <w:rFonts w:ascii="Times New Roman" w:hAnsi="Times New Roman"/>
          <w:color w:val="000000"/>
          <w:sz w:val="22"/>
          <w:u w:val="single"/>
        </w:rPr>
        <w:t>Overnight Bank Funding Rate</w:t>
      </w:r>
      <w:r>
        <w:rPr>
          <w:rFonts w:ascii="Times New Roman" w:hAnsi="Times New Roman"/>
          <w:color w:val="000000"/>
          <w:sz w:val="20"/>
        </w:rPr>
        <w:t xml:space="preserve">” </w:t>
      </w:r>
      <w:r>
        <w:rPr>
          <w:rFonts w:ascii="Times New Roman" w:hAnsi="Times New Roman"/>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jc w:val="both"/>
        <w:rPr/>
      </w:pPr>
      <w:bookmarkStart w:id="48" w:name="docxtextref265"/>
      <w:bookmarkEnd w:id="48"/>
      <w:r>
        <w:rPr>
          <w:color w:val="000000"/>
        </w:rPr>
        <w:t>“</w:t>
      </w:r>
      <w:r>
        <w:rPr>
          <w:rFonts w:ascii="Times New Roman" w:hAnsi="Times New Roman"/>
          <w:color w:val="000000"/>
          <w:sz w:val="22"/>
          <w:u w:val="single"/>
        </w:rPr>
        <w:t>Overnight Rate</w:t>
      </w:r>
      <w:r>
        <w:rPr>
          <w:rFonts w:ascii="Times New Roman" w:hAnsi="Times New Roman"/>
          <w:color w:val="000000"/>
          <w:sz w:val="20"/>
        </w:rPr>
        <w:t xml:space="preserve">” </w:t>
      </w:r>
      <w:r>
        <w:rPr>
          <w:rFonts w:ascii="Times New Roman" w:hAnsi="Times New Roman"/>
          <w:color w:val="000000"/>
          <w:sz w:val="22"/>
        </w:rPr>
        <w:t>means, for any day, (a)</w:t>
      </w:r>
      <w:r>
        <w:rPr>
          <w:rFonts w:ascii="Times New Roman" w:hAnsi="Times New Roman"/>
          <w:color w:val="000000"/>
          <w:sz w:val="20"/>
        </w:rPr>
        <w:t xml:space="preserve"> </w:t>
      </w:r>
      <w:r>
        <w:rPr>
          <w:rFonts w:ascii="Times New Roman" w:hAnsi="Times New Roman"/>
          <w:color w:val="000000"/>
          <w:sz w:val="22"/>
        </w:rPr>
        <w:t xml:space="preserve">with respect to any amount denominated in Dollars, the NYFRB Rate and </w:t>
      </w:r>
      <w:bookmarkStart w:id="49" w:name="docxtextref266"/>
      <w:bookmarkEnd w:id="49"/>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with respect to any amount denominated in a Foreign Currency, an overnight rate determined by the Administrative Agent or an Issuing Bank, as the case may be, in accordance with banking industry rules on interbank compensation.</w:t>
      </w:r>
    </w:p>
    <w:p>
      <w:pPr>
        <w:pStyle w:val="TextBody"/>
        <w:bidi w:val="0"/>
        <w:spacing w:before="0" w:after="240"/>
        <w:jc w:val="both"/>
        <w:rPr/>
      </w:pPr>
      <w:r>
        <w:rPr>
          <w:color w:val="000000"/>
        </w:rPr>
        <w:t>“</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has the meaning assigned to such term in Section 9.04(c).</w:t>
      </w:r>
    </w:p>
    <w:p>
      <w:pPr>
        <w:pStyle w:val="TextBody"/>
        <w:bidi w:val="0"/>
        <w:spacing w:before="0" w:after="24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has the meaning assigned to such term in Section 9.04(c).</w:t>
      </w:r>
    </w:p>
    <w:p>
      <w:pPr>
        <w:pStyle w:val="TextBody"/>
        <w:bidi w:val="0"/>
        <w:spacing w:before="0" w:after="240"/>
        <w:jc w:val="both"/>
        <w:rPr/>
      </w:pPr>
      <w:r>
        <w:rPr>
          <w:color w:val="000000"/>
        </w:rPr>
        <w:t>“</w:t>
      </w:r>
      <w:r>
        <w:rPr>
          <w:rFonts w:ascii="Times New Roman" w:hAnsi="Times New Roman"/>
          <w:color w:val="000000"/>
          <w:sz w:val="22"/>
          <w:u w:val="single"/>
        </w:rPr>
        <w:t>Participating Member State</w:t>
      </w:r>
      <w:r>
        <w:rPr>
          <w:rFonts w:ascii="Times New Roman" w:hAnsi="Times New Roman"/>
          <w:color w:val="000000"/>
          <w:sz w:val="20"/>
        </w:rPr>
        <w:t xml:space="preserve">” </w:t>
      </w:r>
      <w:r>
        <w:rPr>
          <w:rFonts w:ascii="Times New Roman" w:hAnsi="Times New Roman"/>
          <w:color w:val="000000"/>
          <w:sz w:val="22"/>
        </w:rPr>
        <w:t>means any member state of the European Union that adopts or has adopted the euro as its lawful currency in accordance with legislation of the European Union relating to economic and monetary union.</w:t>
      </w:r>
    </w:p>
    <w:p>
      <w:pPr>
        <w:pStyle w:val="TextBody"/>
        <w:bidi w:val="0"/>
        <w:spacing w:before="0" w:after="240"/>
        <w:jc w:val="both"/>
        <w:rPr/>
      </w:pPr>
      <w:r>
        <w:rPr>
          <w:color w:val="000000"/>
        </w:rPr>
        <w:t>“</w:t>
      </w:r>
      <w:r>
        <w:rPr>
          <w:rFonts w:ascii="Times New Roman" w:hAnsi="Times New Roman"/>
          <w:color w:val="000000"/>
          <w:sz w:val="22"/>
          <w:u w:val="single"/>
        </w:rPr>
        <w:t>Patriot Act</w:t>
      </w:r>
      <w:r>
        <w:rPr>
          <w:rFonts w:ascii="Times New Roman" w:hAnsi="Times New Roman"/>
          <w:color w:val="000000"/>
          <w:sz w:val="20"/>
        </w:rPr>
        <w:t xml:space="preserve">” </w:t>
      </w:r>
      <w:r>
        <w:rPr>
          <w:rFonts w:ascii="Times New Roman" w:hAnsi="Times New Roman"/>
          <w:color w:val="000000"/>
          <w:sz w:val="22"/>
        </w:rPr>
        <w:t>means the USA PATRIOT Act (Title III of Pub. L. 107-56 (signed into law October 26, 2001)).</w:t>
      </w:r>
    </w:p>
    <w:p>
      <w:pPr>
        <w:pStyle w:val="TextBody"/>
        <w:bidi w:val="0"/>
        <w:spacing w:before="0" w:after="240"/>
        <w:jc w:val="both"/>
        <w:rPr/>
      </w:pPr>
      <w:r>
        <w:rPr>
          <w:color w:val="000000"/>
        </w:rPr>
        <w:t>“</w:t>
      </w:r>
      <w:r>
        <w:rPr>
          <w:rFonts w:ascii="Times New Roman" w:hAnsi="Times New Roman"/>
          <w:color w:val="000000"/>
          <w:sz w:val="22"/>
          <w:u w:val="single"/>
        </w:rPr>
        <w:t>Payment</w:t>
      </w:r>
      <w:r>
        <w:rPr>
          <w:rFonts w:ascii="Times New Roman" w:hAnsi="Times New Roman"/>
          <w:color w:val="000000"/>
          <w:sz w:val="20"/>
        </w:rPr>
        <w:t xml:space="preserve">” </w:t>
      </w:r>
      <w:r>
        <w:rPr>
          <w:rFonts w:ascii="Times New Roman" w:hAnsi="Times New Roman"/>
          <w:color w:val="000000"/>
          <w:sz w:val="22"/>
        </w:rPr>
        <w:t>has the meaning assigned to such term in Section 9.20(a).</w:t>
      </w:r>
    </w:p>
    <w:p>
      <w:pPr>
        <w:pStyle w:val="TextBody"/>
        <w:bidi w:val="0"/>
        <w:spacing w:before="0" w:after="240"/>
        <w:jc w:val="both"/>
        <w:rPr/>
      </w:pPr>
      <w:r>
        <w:rPr>
          <w:color w:val="000000"/>
        </w:rPr>
        <w:t>“</w:t>
      </w:r>
      <w:r>
        <w:rPr>
          <w:rFonts w:ascii="Times New Roman" w:hAnsi="Times New Roman"/>
          <w:color w:val="000000"/>
          <w:sz w:val="22"/>
          <w:u w:val="single"/>
        </w:rPr>
        <w:t>Payment Notice</w:t>
      </w:r>
      <w:r>
        <w:rPr>
          <w:rFonts w:ascii="Times New Roman" w:hAnsi="Times New Roman"/>
          <w:color w:val="000000"/>
          <w:sz w:val="20"/>
        </w:rPr>
        <w:t xml:space="preserve">” </w:t>
      </w:r>
      <w:r>
        <w:rPr>
          <w:rFonts w:ascii="Times New Roman" w:hAnsi="Times New Roman"/>
          <w:color w:val="000000"/>
          <w:sz w:val="22"/>
        </w:rPr>
        <w:t>has the meaning assigned to such term in Section 9.20(b).</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color w:val="000000"/>
          <w:sz w:val="22"/>
          <w:u w:val="single"/>
        </w:rPr>
        <w:t>Periodic Term CORRA Determination Day</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“Term CORRA.”</w:t>
      </w:r>
    </w:p>
    <w:p>
      <w:pPr>
        <w:pStyle w:val="TextBody"/>
        <w:bidi w:val="0"/>
        <w:spacing w:before="0" w:after="240"/>
        <w:jc w:val="both"/>
        <w:rPr/>
      </w:pPr>
      <w:r>
        <w:rPr>
          <w:color w:val="000000"/>
        </w:rPr>
        <w:t>“</w:t>
      </w:r>
      <w:r>
        <w:rPr>
          <w:rFonts w:ascii="Times New Roman" w:hAnsi="Times New Roman"/>
          <w:color w:val="000000"/>
          <w:sz w:val="22"/>
          <w:u w:val="single"/>
        </w:rPr>
        <w:t>Permitted Encumbrances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Liens imposed by any Governmental Authority for Taxes, assessments, governmental charges or similar obligations that are not yet due, remain payable without a penalty or are being contested in good faith and by appropriate proceedings;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carriers’, warehousemen’s, mechanics’, materialmen’s, repairmen’s, construction contractors’ or and other like Liens, arising in the ordinary course of business and securing obligations that are not overdue by more than sixty (60) days or are being contested in good faith and by appropriate proceedings;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pledges and deposits made (i) in the ordinary course of business in compliance with workers’ compensation, unemployment insurance and other social security laws or regulations or (ii) securing liability for customary reimbursement and indemnification obligations of insurance carriers or (iii) in connection with self-insurance programs;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deposits to secure the performance of (i) bids, trade contracts, leases, statutory obligations, surety bonds, performance bonds, public utility agreements and other obligations of a like nature, in each case in the ordinary course of business, (ii) stay or appeal bonds, (iii) indemnity, performance or similar bonds in the ordinary course of business, (iv) in connection with contested amounts;</w:t>
      </w:r>
    </w:p>
    <w:p>
      <w:pPr>
        <w:pStyle w:val="TextBody"/>
        <w:bidi w:val="0"/>
        <w:spacing w:before="0" w:after="240"/>
        <w:jc w:val="both"/>
        <w:rPr>
          <w:rFonts w:ascii="Times New Roman" w:hAnsi="Times New Roman"/>
          <w:sz w:val="20"/>
        </w:rPr>
      </w:pPr>
      <w:r>
        <w:rPr>
          <w:rFonts w:ascii="Times New Roman" w:hAnsi="Times New Roman"/>
          <w:color w:val="000000"/>
          <w:sz w:val="22"/>
        </w:rPr>
        <w:t>(e) judgment or attachment Liens that do not constitute an Event of Default under clause (k) of Article VII;</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deposits for the benefit of a seller in connection with a proposed Acquisition pursuant to and in accordance with a letter of intent or acquisition or purchase agreement related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leases, licenses, subleases or sublicenses granted to third parties in the ordinary course of business and not interfering in any material respect with the ordinary conduct of business of the Company or any Subsidiary;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other Liens incidental to the conduct of its business or the ownership of its assets which were not incurred in connection with the borrowing of money and which do not, in the aggregate, materially detract from the value of its assets or materially impair the use thereof in the operation of its business (including, without limitation, Liens with respect to leases, subleases, licenses and sublicenses, and liens of depository or collecting banks (including rights of set-off));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term “Permitted Encumbrances” shall not include any Lien securing Indebtedness.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color w:val="000000"/>
          <w:sz w:val="22"/>
          <w:u w:val="single"/>
        </w:rPr>
        <w:t>Plan</w:t>
      </w:r>
      <w:r>
        <w:rPr>
          <w:rFonts w:ascii="Times New Roman" w:hAnsi="Times New Roman"/>
          <w:color w:val="000000"/>
          <w:sz w:val="20"/>
        </w:rPr>
        <w:t xml:space="preserve">” </w:t>
      </w:r>
      <w:r>
        <w:rPr>
          <w:rFonts w:ascii="Times New Roman" w:hAnsi="Times New Roman"/>
          <w:color w:val="000000"/>
          <w:sz w:val="22"/>
        </w:rPr>
        <w:t>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pStyle w:val="TextBody"/>
        <w:bidi w:val="0"/>
        <w:spacing w:before="0" w:after="240"/>
        <w:jc w:val="both"/>
        <w:rPr/>
      </w:pPr>
      <w:r>
        <w:rPr>
          <w:color w:val="000000"/>
        </w:rPr>
        <w:t>“</w:t>
      </w:r>
      <w:r>
        <w:rPr>
          <w:rFonts w:ascii="Times New Roman" w:hAnsi="Times New Roman"/>
          <w:color w:val="000000"/>
          <w:sz w:val="22"/>
          <w:u w:val="single"/>
        </w:rPr>
        <w:t>Plan Asset Regulations</w:t>
      </w:r>
      <w:r>
        <w:rPr>
          <w:rFonts w:ascii="Times New Roman" w:hAnsi="Times New Roman"/>
          <w:color w:val="000000"/>
          <w:sz w:val="20"/>
        </w:rPr>
        <w:t xml:space="preserve">” </w:t>
      </w:r>
      <w:r>
        <w:rPr>
          <w:rFonts w:ascii="Times New Roman" w:hAnsi="Times New Roman"/>
          <w:color w:val="000000"/>
          <w:sz w:val="22"/>
        </w:rPr>
        <w:t xml:space="preserve">means 29 CFR § 2510.3-101 </w:t>
      </w:r>
      <w:r>
        <w:rPr>
          <w:rFonts w:ascii="Times New Roman" w:hAnsi="Times New Roman"/>
          <w:i/>
          <w:color w:val="000000"/>
          <w:sz w:val="22"/>
        </w:rPr>
        <w:t>et seq.</w:t>
      </w:r>
      <w:r>
        <w:rPr>
          <w:rFonts w:ascii="Times New Roman" w:hAnsi="Times New Roman"/>
          <w:color w:val="000000"/>
          <w:sz w:val="22"/>
        </w:rPr>
        <w:t>, as modified by Section 3(42) of ERISA, as amended from time to time.</w:t>
      </w:r>
    </w:p>
    <w:p>
      <w:pPr>
        <w:pStyle w:val="TextBody"/>
        <w:bidi w:val="0"/>
        <w:spacing w:before="0" w:after="240"/>
        <w:jc w:val="both"/>
        <w:rPr/>
      </w:pPr>
      <w:r>
        <w:rPr>
          <w:color w:val="000000"/>
        </w:rPr>
        <w:t>“</w:t>
      </w:r>
      <w:r>
        <w:rPr>
          <w:rFonts w:ascii="Times New Roman" w:hAnsi="Times New Roman"/>
          <w:color w:val="000000"/>
          <w:sz w:val="22"/>
          <w:u w:val="single"/>
        </w:rPr>
        <w:t>Pounds Sterling</w:t>
      </w:r>
      <w:r>
        <w:rPr>
          <w:rFonts w:ascii="Times New Roman" w:hAnsi="Times New Roman"/>
          <w:color w:val="000000"/>
          <w:sz w:val="20"/>
        </w:rPr>
        <w:t xml:space="preserve">” </w:t>
      </w:r>
      <w:r>
        <w:rPr>
          <w:rFonts w:ascii="Times New Roman" w:hAnsi="Times New Roman"/>
          <w:color w:val="000000"/>
          <w:sz w:val="22"/>
        </w:rPr>
        <w:t>means the lawful currency of the United Kingdom.</w:t>
      </w:r>
    </w:p>
    <w:p>
      <w:pPr>
        <w:pStyle w:val="TextBody"/>
        <w:bidi w:val="0"/>
        <w:spacing w:before="0" w:after="240"/>
        <w:jc w:val="both"/>
        <w:rPr/>
      </w:pPr>
      <w:r>
        <w:rPr>
          <w:color w:val="000000"/>
        </w:rPr>
        <w:t>“</w:t>
      </w:r>
      <w:r>
        <w:rPr>
          <w:rFonts w:ascii="Times New Roman" w:hAnsi="Times New Roman"/>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reasonably determined by the Administrative Agent) or any similar release by the Board (as reasonably determined by the Administrative Agent). Each change in the Prime Rate shall be effective from and including the date such change is publicly announced or quoted as being effective.</w:t>
      </w:r>
    </w:p>
    <w:p>
      <w:pPr>
        <w:pStyle w:val="TextBody"/>
        <w:bidi w:val="0"/>
        <w:spacing w:before="0" w:after="240"/>
        <w:jc w:val="both"/>
        <w:rPr/>
      </w:pPr>
      <w:r>
        <w:rPr>
          <w:color w:val="000000"/>
        </w:rPr>
        <w:t>“</w:t>
      </w:r>
      <w:r>
        <w:rPr>
          <w:rFonts w:ascii="Times New Roman" w:hAnsi="Times New Roman"/>
          <w:color w:val="000000"/>
          <w:sz w:val="22"/>
          <w:u w:val="single"/>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0" w:after="240"/>
        <w:jc w:val="both"/>
        <w:rPr/>
      </w:pPr>
      <w:r>
        <w:rPr>
          <w:color w:val="000000"/>
        </w:rPr>
        <w:t>“</w:t>
      </w:r>
      <w:r>
        <w:rPr>
          <w:rFonts w:ascii="Times New Roman" w:hAnsi="Times New Roman"/>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has the meaning assigned to it in Section 9.18.</w:t>
      </w:r>
    </w:p>
    <w:p>
      <w:pPr>
        <w:pStyle w:val="TextBody"/>
        <w:bidi w:val="0"/>
        <w:spacing w:before="0" w:after="240"/>
        <w:jc w:val="both"/>
        <w:rPr/>
      </w:pPr>
      <w:r>
        <w:rPr>
          <w:color w:val="000000"/>
        </w:rPr>
        <w:t>“</w:t>
      </w:r>
      <w:r>
        <w:rPr>
          <w:rFonts w:ascii="Times New Roman" w:hAnsi="Times New Roman"/>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means (a) the Administrative Agent, (b) any Lender and (c) any Issuing Bank, as applicable.</w:t>
      </w:r>
    </w:p>
    <w:p>
      <w:pPr>
        <w:pStyle w:val="TextBody"/>
        <w:bidi w:val="0"/>
        <w:spacing w:before="0" w:after="240"/>
        <w:jc w:val="both"/>
        <w:rPr/>
      </w:pPr>
      <w:r>
        <w:rPr>
          <w:color w:val="000000"/>
        </w:rPr>
        <w:t>“</w:t>
      </w:r>
      <w:r>
        <w:rPr>
          <w:rFonts w:ascii="Times New Roman" w:hAnsi="Times New Roman"/>
          <w:color w:val="000000"/>
          <w:sz w:val="22"/>
          <w:u w:val="single"/>
        </w:rPr>
        <w:t>Reference Time</w:t>
      </w:r>
      <w:r>
        <w:rPr>
          <w:rFonts w:ascii="Times New Roman" w:hAnsi="Times New Roman"/>
          <w:color w:val="000000"/>
          <w:sz w:val="20"/>
        </w:rPr>
        <w:t xml:space="preserve">” </w:t>
      </w:r>
      <w:r>
        <w:rPr>
          <w:rFonts w:ascii="Times New Roman" w:hAnsi="Times New Roman"/>
          <w:color w:val="000000"/>
          <w:sz w:val="22"/>
        </w:rPr>
        <w:t>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the RFR for such Benchmark is SONIA, then four (4) RFR Business Days prior to such setting, (iv) if such Benchmark is Term CORRA, 1:00 p.m. Toronto local time on the day that is two (2) Business Days preceding the date of such setting, (v) if, following a Benchmark Transition Event and Benchmark Replacement Date with respect to the Term SOFR Rate, the RFR for such Benchmark is Daily Simple SOFR, then four (4) RFR Business Days prior to such setting, (vi) if, following a Benchmark Transition Event and Benchmark Replacement Date with respect to Term CORRA, the RFR for such Benchmark is Daily Simple CORRA, then four (4) RFR Business Days prior to such setting, or (vii) if such Benchmark is none of the Term SOFR Rate, Daily Simple SOFR, the EURIBO Rate, Term CORRA, Daily Simple CORRA or SONIA, the time determined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has the meaning assigned to such term in Section 9.04(b).</w:t>
      </w:r>
    </w:p>
    <w:p>
      <w:pPr>
        <w:pStyle w:val="TextBody"/>
        <w:bidi w:val="0"/>
        <w:spacing w:before="0" w:after="240"/>
        <w:jc w:val="both"/>
        <w:rPr/>
      </w:pPr>
      <w:r>
        <w:rPr>
          <w:color w:val="000000"/>
        </w:rPr>
        <w:t>“</w:t>
      </w:r>
      <w:r>
        <w:rPr>
          <w:rFonts w:ascii="Times New Roman" w:hAnsi="Times New Roman"/>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means, with respect to any specified Person, such Person’s Affiliates and the respective directors, officers, employees, agents, advisors and representatives of such Person and such Person’s Affiliates.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50" w:name="docxtextref288"/>
      <w:bookmarkEnd w:id="50"/>
      <w:r>
        <w:rPr>
          <w:color w:val="000000"/>
        </w:rPr>
        <w:t>“</w:t>
      </w:r>
      <w:r>
        <w:rPr>
          <w:rFonts w:ascii="Times New Roman" w:hAnsi="Times New Roman"/>
          <w:color w:val="000000"/>
          <w:sz w:val="22"/>
          <w:u w:val="single"/>
        </w:rPr>
        <w:t>Relevant Governmental Body</w:t>
      </w:r>
      <w:r>
        <w:rPr>
          <w:rFonts w:ascii="Times New Roman" w:hAnsi="Times New Roman"/>
          <w:color w:val="000000"/>
          <w:sz w:val="20"/>
        </w:rPr>
        <w:t xml:space="preserve">” </w:t>
      </w:r>
      <w:r>
        <w:rPr>
          <w:rFonts w:ascii="Times New Roman" w:hAnsi="Times New Roman"/>
          <w:color w:val="000000"/>
          <w:sz w:val="22"/>
        </w:rPr>
        <w:t>means (i)</w:t>
      </w:r>
      <w:r>
        <w:rPr>
          <w:rFonts w:ascii="Times New Roman" w:hAnsi="Times New Roman"/>
          <w:color w:val="000000"/>
          <w:sz w:val="20"/>
        </w:rPr>
        <w:t xml:space="preserve"> </w:t>
      </w:r>
      <w:r>
        <w:rPr>
          <w:rFonts w:ascii="Times New Roman" w:hAnsi="Times New Roman"/>
          <w:color w:val="000000"/>
          <w:sz w:val="22"/>
        </w:rPr>
        <w:t xml:space="preserve">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 (v) with respect to a Benchmark Replacement in respect of Loans denominated in any other currency, </w:t>
      </w:r>
      <w:bookmarkStart w:id="51" w:name="docxtextref290"/>
      <w:bookmarkEnd w:id="51"/>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the central bank for the currency in which such Benchmark Replacement is denominated or any central bank or other supervisor which is responsible for supervising either (1) such Benchmark Replacement or (2) the administrator of such Benchmark Replacement or </w:t>
      </w:r>
      <w:bookmarkStart w:id="52" w:name="docxtextref291"/>
      <w:bookmarkEnd w:id="52"/>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any working group or committee officially endorsed or convened by (1) the central bank for the currency in which such Benchmark Replacement is denominated, (2) any central bank or other supervisor that is responsible for supervising either </w:t>
      </w:r>
      <w:bookmarkStart w:id="53" w:name="docxtextref292"/>
      <w:bookmarkEnd w:id="53"/>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such Benchmark Replacement or </w:t>
      </w:r>
      <w:bookmarkStart w:id="54" w:name="docxtextref293"/>
      <w:bookmarkEnd w:id="54"/>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administrator of such Benchmark Replacement, (3) a group of those central banks or other supervisors or (4) the Financial Stability Board or any part thereof.</w:t>
      </w:r>
    </w:p>
    <w:p>
      <w:pPr>
        <w:pStyle w:val="TextBody"/>
        <w:bidi w:val="0"/>
        <w:spacing w:before="0" w:after="240"/>
        <w:jc w:val="both"/>
        <w:rPr/>
      </w:pPr>
      <w:r>
        <w:rPr>
          <w:color w:val="000000"/>
        </w:rPr>
        <w:t>“</w:t>
      </w:r>
      <w:r>
        <w:rPr>
          <w:rFonts w:ascii="Times New Roman" w:hAnsi="Times New Roman"/>
          <w:color w:val="000000"/>
          <w:sz w:val="22"/>
          <w:u w:val="single"/>
        </w:rPr>
        <w:t>Relevant Rate</w:t>
      </w:r>
      <w:r>
        <w:rPr>
          <w:rFonts w:ascii="Times New Roman" w:hAnsi="Times New Roman"/>
          <w:color w:val="000000"/>
          <w:sz w:val="20"/>
        </w:rPr>
        <w:t xml:space="preserve">” </w:t>
      </w:r>
      <w:r>
        <w:rPr>
          <w:rFonts w:ascii="Times New Roman" w:hAnsi="Times New Roman"/>
          <w:color w:val="000000"/>
          <w:sz w:val="22"/>
        </w:rPr>
        <w:t>means (i) with respect to any Term Benchmark Borrowing denominated in Dollars, the Term SOFR Rate, (ii) with respect to any Term Benchmark Borrowing denominated in euro, the EURIBO Rate, (iii) with respect to any Term Benchmark Borrowing denominated in Canadian Dollars, the Term CORRA or (iv) with respect to any RFR Borrowing denominated in Pounds Sterling, Dollars or Canadian Dollars, the applicable Daily Simple RFR, in each case, as applicable.</w:t>
      </w:r>
    </w:p>
    <w:p>
      <w:pPr>
        <w:pStyle w:val="TextBody"/>
        <w:bidi w:val="0"/>
        <w:spacing w:before="0" w:after="240"/>
        <w:jc w:val="both"/>
        <w:rPr/>
      </w:pPr>
      <w:r>
        <w:rPr>
          <w:color w:val="000000"/>
        </w:rPr>
        <w:t>“</w:t>
      </w:r>
      <w:r>
        <w:rPr>
          <w:rFonts w:ascii="Times New Roman" w:hAnsi="Times New Roman"/>
          <w:color w:val="000000"/>
          <w:sz w:val="22"/>
          <w:u w:val="single"/>
        </w:rPr>
        <w:t>Relevant Screen Rate</w:t>
      </w:r>
      <w:r>
        <w:rPr>
          <w:rFonts w:ascii="Times New Roman" w:hAnsi="Times New Roman"/>
          <w:color w:val="000000"/>
          <w:sz w:val="20"/>
        </w:rPr>
        <w:t xml:space="preserve">” </w:t>
      </w:r>
      <w:r>
        <w:rPr>
          <w:rFonts w:ascii="Times New Roman" w:hAnsi="Times New Roman"/>
          <w:color w:val="000000"/>
          <w:sz w:val="22"/>
        </w:rPr>
        <w:t>means (i) with respect to any Term Benchmark Borrowing denominated in Dollars, the Term SOFR Reference Rate, (ii) with respect to any Term Benchmark Borrowing denominated in euro, the EURIBO Screen Rate or (iii) with respect to any Term Benchmark Borrowing denominated in Canadian Dollars, Term CORRA, as applicable.</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means, at any time, Lenders having Credit Exposures and unused Commitments representing more than 50% of the sum of the total Credit Exposures and unused Commitments at such time.</w:t>
      </w:r>
    </w:p>
    <w:p>
      <w:pPr>
        <w:pStyle w:val="TextBody"/>
        <w:bidi w:val="0"/>
        <w:spacing w:before="0" w:after="24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means any of the chief executive officer, president, chief operating officer, treasurer, any other Financial Officer, general counsel or other chief legal officer of the Company.</w:t>
      </w:r>
    </w:p>
    <w:p>
      <w:pPr>
        <w:pStyle w:val="TextBody"/>
        <w:bidi w:val="0"/>
        <w:spacing w:before="0" w:after="240"/>
        <w:jc w:val="both"/>
        <w:rPr/>
      </w:pPr>
      <w:r>
        <w:rPr>
          <w:color w:val="000000"/>
        </w:rPr>
        <w:t>“</w:t>
      </w:r>
      <w:r>
        <w:rPr>
          <w:rFonts w:ascii="Times New Roman" w:hAnsi="Times New Roman"/>
          <w:color w:val="000000"/>
          <w:sz w:val="22"/>
          <w:u w:val="single"/>
        </w:rPr>
        <w:t>Reuters</w:t>
      </w:r>
      <w:r>
        <w:rPr>
          <w:rFonts w:ascii="Times New Roman" w:hAnsi="Times New Roman"/>
          <w:color w:val="000000"/>
          <w:sz w:val="20"/>
        </w:rPr>
        <w:t xml:space="preserve">” </w:t>
      </w:r>
      <w:r>
        <w:rPr>
          <w:rFonts w:ascii="Times New Roman" w:hAnsi="Times New Roman"/>
          <w:color w:val="000000"/>
          <w:sz w:val="22"/>
        </w:rPr>
        <w:t>means, as applicable, Thomson Reuters Corp., Refinitiv, or any successor thereto.</w:t>
      </w:r>
    </w:p>
    <w:p>
      <w:pPr>
        <w:pStyle w:val="TextBody"/>
        <w:bidi w:val="0"/>
        <w:spacing w:before="0" w:after="240"/>
        <w:jc w:val="both"/>
        <w:rPr/>
      </w:pPr>
      <w:r>
        <w:rPr>
          <w:color w:val="000000"/>
        </w:rPr>
        <w:t>“</w:t>
      </w:r>
      <w:r>
        <w:rPr>
          <w:rFonts w:ascii="Times New Roman" w:hAnsi="Times New Roman"/>
          <w:color w:val="000000"/>
          <w:sz w:val="22"/>
          <w:u w:val="single"/>
        </w:rPr>
        <w:t>Revolving Commitment</w:t>
      </w:r>
      <w:r>
        <w:rPr>
          <w:rFonts w:ascii="Times New Roman" w:hAnsi="Times New Roman"/>
          <w:color w:val="000000"/>
          <w:sz w:val="20"/>
        </w:rPr>
        <w:t xml:space="preserve">” </w:t>
      </w:r>
      <w:r>
        <w:rPr>
          <w:rFonts w:ascii="Times New Roman" w:hAnsi="Times New Roman"/>
          <w:color w:val="000000"/>
          <w:sz w:val="22"/>
        </w:rPr>
        <w:t xml:space="preserve">means, with respect to each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opposite such Lender’s name under the heading “Revolving Commitment”, or in the Assignment and Assumption or other documentation or record (as such term is defined in Section 9-102(a)(70) of the New York Uniform Commercial Code) as provided in Section 9.04(b)(ii)(C) pursuant to which such Lender shall have assumed its Revolving Commitment, as applicable, and giving effect to (a) any reduction in such amount from time to time pursuant to Section 2.09, (b) any increase from time to time pursuant to Section 2.20 and (c) any reduction or increase in such amount from time to time pursuant to assignments by or to such Lender pursuant to Section 9.04;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no time shall the Revolving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Credit Exposure of any Lender exceed its Revolving Commitment. The initial aggregate amount of the Revolving Commitments on the Effective Date is $1,250,000,000.</w:t>
      </w:r>
    </w:p>
    <w:p>
      <w:pPr>
        <w:pStyle w:val="TextBody"/>
        <w:bidi w:val="0"/>
        <w:spacing w:before="0" w:after="240"/>
        <w:jc w:val="both"/>
        <w:rPr/>
      </w:pPr>
      <w:r>
        <w:rPr>
          <w:color w:val="000000"/>
        </w:rPr>
        <w:t>“</w:t>
      </w:r>
      <w:r>
        <w:rPr>
          <w:rFonts w:ascii="Times New Roman" w:hAnsi="Times New Roman"/>
          <w:color w:val="000000"/>
          <w:sz w:val="22"/>
          <w:u w:val="single"/>
        </w:rPr>
        <w:t>Revolving Credit Exposure</w:t>
      </w:r>
      <w:r>
        <w:rPr>
          <w:rFonts w:ascii="Times New Roman" w:hAnsi="Times New Roman"/>
          <w:color w:val="000000"/>
          <w:sz w:val="20"/>
        </w:rPr>
        <w:t xml:space="preserve">” </w:t>
      </w:r>
      <w:r>
        <w:rPr>
          <w:rFonts w:ascii="Times New Roman" w:hAnsi="Times New Roman"/>
          <w:color w:val="000000"/>
          <w:sz w:val="22"/>
        </w:rPr>
        <w:t>means, with respect to any Lender at any time, the sum of the outstanding principal Dollar Amount of such Lender’s Revolving Loans and its LC Exposure at such time.</w:t>
      </w:r>
    </w:p>
    <w:p>
      <w:pPr>
        <w:pStyle w:val="TextBody"/>
        <w:bidi w:val="0"/>
        <w:spacing w:before="0" w:after="240"/>
        <w:jc w:val="both"/>
        <w:rPr/>
      </w:pPr>
      <w:r>
        <w:rPr>
          <w:color w:val="000000"/>
        </w:rPr>
        <w:t>“</w:t>
      </w:r>
      <w:r>
        <w:rPr>
          <w:rFonts w:ascii="Times New Roman" w:hAnsi="Times New Roman"/>
          <w:color w:val="000000"/>
          <w:sz w:val="22"/>
          <w:u w:val="single"/>
        </w:rPr>
        <w:t>Revolving Credit Maturity Date</w:t>
      </w:r>
      <w:r>
        <w:rPr>
          <w:rFonts w:ascii="Times New Roman" w:hAnsi="Times New Roman"/>
          <w:color w:val="000000"/>
          <w:sz w:val="20"/>
        </w:rPr>
        <w:t xml:space="preserve">” </w:t>
      </w:r>
      <w:r>
        <w:rPr>
          <w:rFonts w:ascii="Times New Roman" w:hAnsi="Times New Roman"/>
          <w:color w:val="000000"/>
          <w:sz w:val="22"/>
        </w:rPr>
        <w:t>means the date that occurs on the fifth (5</w:t>
      </w:r>
      <w:r>
        <w:rPr>
          <w:rFonts w:ascii="Times New Roman" w:hAnsi="Times New Roman"/>
          <w:color w:val="000000"/>
          <w:sz w:val="15"/>
        </w:rPr>
        <w:t>th</w:t>
      </w:r>
      <w:r>
        <w:rPr>
          <w:rFonts w:ascii="Times New Roman" w:hAnsi="Times New Roman"/>
          <w:color w:val="000000"/>
          <w:sz w:val="22"/>
        </w:rPr>
        <w:t xml:space="preserve">) anniversary of the Effective Date, subject to extension (in the case of each Revolving Lender consenting thereto) as provided in Section 2.24;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in each case, if such date is not a Business Day, the Revolving Credit Maturity Date shall be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Revolving Lender</w:t>
      </w:r>
      <w:r>
        <w:rPr>
          <w:rFonts w:ascii="Times New Roman" w:hAnsi="Times New Roman"/>
          <w:color w:val="000000"/>
          <w:sz w:val="20"/>
        </w:rPr>
        <w:t xml:space="preserve">” </w:t>
      </w:r>
      <w:r>
        <w:rPr>
          <w:rFonts w:ascii="Times New Roman" w:hAnsi="Times New Roman"/>
          <w:color w:val="000000"/>
          <w:sz w:val="22"/>
        </w:rPr>
        <w:t>means, as of any date of determination, each Lender that has a Revolving Commitment or, if the Revolving Commitments have terminated or expired, a Lender with Revolving Credit Exposure.</w:t>
      </w:r>
    </w:p>
    <w:p>
      <w:pPr>
        <w:pStyle w:val="TextBody"/>
        <w:bidi w:val="0"/>
        <w:spacing w:before="0" w:after="240"/>
        <w:jc w:val="both"/>
        <w:rPr/>
      </w:pPr>
      <w:r>
        <w:rPr>
          <w:color w:val="000000"/>
        </w:rPr>
        <w:t>“</w:t>
      </w:r>
      <w:r>
        <w:rPr>
          <w:rFonts w:ascii="Times New Roman" w:hAnsi="Times New Roman"/>
          <w:color w:val="000000"/>
          <w:sz w:val="22"/>
          <w:u w:val="single"/>
        </w:rPr>
        <w:t>Revolving Loan</w:t>
      </w:r>
      <w:r>
        <w:rPr>
          <w:rFonts w:ascii="Times New Roman" w:hAnsi="Times New Roman"/>
          <w:color w:val="000000"/>
          <w:sz w:val="20"/>
        </w:rPr>
        <w:t xml:space="preserve">” </w:t>
      </w:r>
      <w:r>
        <w:rPr>
          <w:rFonts w:ascii="Times New Roman" w:hAnsi="Times New Roman"/>
          <w:color w:val="000000"/>
          <w:sz w:val="22"/>
        </w:rPr>
        <w:t>means a Loan made by a Revolving Lender pursuant to Section 2.01(a).</w:t>
      </w:r>
    </w:p>
    <w:p>
      <w:pPr>
        <w:pStyle w:val="TextBody"/>
        <w:bidi w:val="0"/>
        <w:spacing w:before="0" w:after="240"/>
        <w:jc w:val="both"/>
        <w:rPr/>
      </w:pPr>
      <w:r>
        <w:rPr>
          <w:color w:val="000000"/>
        </w:rPr>
        <w:t>“</w:t>
      </w:r>
      <w:r>
        <w:rPr>
          <w:rFonts w:ascii="Times New Roman" w:hAnsi="Times New Roman"/>
          <w:color w:val="000000"/>
          <w:sz w:val="22"/>
          <w:u w:val="single"/>
        </w:rPr>
        <w:t>RFR</w:t>
      </w:r>
      <w:r>
        <w:rPr>
          <w:rFonts w:ascii="Times New Roman" w:hAnsi="Times New Roman"/>
          <w:color w:val="000000"/>
          <w:sz w:val="20"/>
        </w:rPr>
        <w:t xml:space="preserve">” </w:t>
      </w:r>
      <w:r>
        <w:rPr>
          <w:rFonts w:ascii="Times New Roman" w:hAnsi="Times New Roman"/>
          <w:color w:val="000000"/>
          <w:sz w:val="22"/>
        </w:rPr>
        <w:t>means, for any RFR Loan denominated in (a) Pounds Sterling, SONIA, (b) Dollars (solely following a Benchmark Transition Event and a Benchmark Replacement Date with respect to the Term SOFR Rate), Daily Simple SOFR and (c) Canadian Dollars (solely following a Benchmark Transition Event and a Benchmark Replacement Date with respect to Term CORRA), Daily Simple CORRA, and when used in reference to any Loan or Borrowing, means that such Loan, or the Loans comprising such Borrowing, bears interest at a rate determined by reference to the applicable Adjusted Daily Simple RFR.</w:t>
      </w:r>
    </w:p>
    <w:p>
      <w:pPr>
        <w:pStyle w:val="TextBody"/>
        <w:bidi w:val="0"/>
        <w:spacing w:before="0" w:after="240"/>
        <w:jc w:val="both"/>
        <w:rPr/>
      </w:pPr>
      <w:r>
        <w:rPr>
          <w:color w:val="000000"/>
        </w:rPr>
        <w:t>“</w:t>
      </w:r>
      <w:r>
        <w:rPr>
          <w:rFonts w:ascii="Times New Roman" w:hAnsi="Times New Roman"/>
          <w:color w:val="000000"/>
          <w:sz w:val="22"/>
          <w:u w:val="single"/>
        </w:rPr>
        <w:t>RFR Borrowing</w:t>
      </w:r>
      <w:r>
        <w:rPr>
          <w:rFonts w:ascii="Times New Roman" w:hAnsi="Times New Roman"/>
          <w:color w:val="000000"/>
          <w:sz w:val="20"/>
        </w:rPr>
        <w:t xml:space="preserve">” </w:t>
      </w:r>
      <w:r>
        <w:rPr>
          <w:rFonts w:ascii="Times New Roman" w:hAnsi="Times New Roman"/>
          <w:color w:val="000000"/>
          <w:sz w:val="22"/>
        </w:rPr>
        <w:t>means, as to any Borrowing, the RFR Loans comprising such Borrowing.</w:t>
      </w:r>
    </w:p>
    <w:p>
      <w:pPr>
        <w:pStyle w:val="TextBody"/>
        <w:bidi w:val="0"/>
        <w:spacing w:before="0" w:after="240"/>
        <w:jc w:val="both"/>
        <w:rPr/>
      </w:pPr>
      <w:bookmarkStart w:id="55" w:name="docxtextref318"/>
      <w:bookmarkEnd w:id="55"/>
      <w:r>
        <w:rPr>
          <w:color w:val="000000"/>
        </w:rPr>
        <w:t>“</w:t>
      </w:r>
      <w:r>
        <w:rPr>
          <w:rFonts w:ascii="Times New Roman" w:hAnsi="Times New Roman"/>
          <w:color w:val="000000"/>
          <w:sz w:val="22"/>
          <w:u w:val="single"/>
        </w:rPr>
        <w:t>RFR Business Day</w:t>
      </w:r>
      <w:r>
        <w:rPr>
          <w:rFonts w:ascii="Times New Roman" w:hAnsi="Times New Roman"/>
          <w:color w:val="000000"/>
          <w:sz w:val="20"/>
        </w:rPr>
        <w:t xml:space="preserve">” </w:t>
      </w:r>
      <w:r>
        <w:rPr>
          <w:rFonts w:ascii="Times New Roman" w:hAnsi="Times New Roman"/>
          <w:color w:val="000000"/>
          <w:sz w:val="22"/>
        </w:rPr>
        <w:t>means, for any Loan denominated in (a) Pounds Sterling, any day except for (i)</w:t>
      </w:r>
      <w:r>
        <w:rPr>
          <w:rFonts w:ascii="Times New Roman" w:hAnsi="Times New Roman"/>
          <w:color w:val="000000"/>
          <w:sz w:val="20"/>
        </w:rPr>
        <w:t xml:space="preserve"> </w:t>
      </w:r>
      <w:r>
        <w:rPr>
          <w:rFonts w:ascii="Times New Roman" w:hAnsi="Times New Roman"/>
          <w:color w:val="000000"/>
          <w:sz w:val="22"/>
        </w:rPr>
        <w:t>a Saturday, (ii) a Sunday or (iii) a day on which banks are closed for general business in London, (b) Dollars, a U.S. Government Securities Business Day and (c) Canadian Dollars, any day except for (i) a Saturday, (ii) a Sunday or (iii) a day on which commercial banks in Toronto are authorized or required by law to remain closed.</w:t>
      </w:r>
    </w:p>
    <w:p>
      <w:pPr>
        <w:pStyle w:val="TextBody"/>
        <w:bidi w:val="0"/>
        <w:spacing w:before="0" w:after="240"/>
        <w:jc w:val="both"/>
        <w:rPr/>
      </w:pPr>
      <w:r>
        <w:rPr>
          <w:color w:val="000000"/>
        </w:rPr>
        <w:t>“</w:t>
      </w:r>
      <w:r>
        <w:rPr>
          <w:rFonts w:ascii="Times New Roman" w:hAnsi="Times New Roman"/>
          <w:color w:val="000000"/>
          <w:sz w:val="22"/>
          <w:u w:val="single"/>
        </w:rPr>
        <w:t>RFR Interest Day</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RFR”.</w:t>
      </w:r>
    </w:p>
    <w:p>
      <w:pPr>
        <w:pStyle w:val="TextBody"/>
        <w:bidi w:val="0"/>
        <w:spacing w:before="0" w:after="240"/>
        <w:jc w:val="both"/>
        <w:rPr/>
      </w:pPr>
      <w:r>
        <w:rPr>
          <w:color w:val="000000"/>
        </w:rPr>
        <w:t>“</w:t>
      </w:r>
      <w:r>
        <w:rPr>
          <w:rFonts w:ascii="Times New Roman" w:hAnsi="Times New Roman"/>
          <w:color w:val="000000"/>
          <w:sz w:val="22"/>
          <w:u w:val="single"/>
        </w:rPr>
        <w:t>RFR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Adjusted Daily Simple RFR.</w:t>
      </w:r>
    </w:p>
    <w:p>
      <w:pPr>
        <w:pStyle w:val="TextBody"/>
        <w:bidi w:val="0"/>
        <w:spacing w:before="0" w:after="240"/>
        <w:jc w:val="both"/>
        <w:rPr/>
      </w:pPr>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means S&amp;P Global Ratings (formerly Standard &amp; Poor’s Ratings Services, a Standard &amp; Poor’s Financial Services LLC business).</w:t>
      </w:r>
    </w:p>
    <w:p>
      <w:pPr>
        <w:pStyle w:val="TextBody"/>
        <w:bidi w:val="0"/>
        <w:spacing w:before="0" w:after="240"/>
        <w:jc w:val="both"/>
        <w:rPr/>
      </w:pPr>
      <w:r>
        <w:rPr>
          <w:color w:val="000000"/>
        </w:rPr>
        <w:t>“</w:t>
      </w:r>
      <w:r>
        <w:rPr>
          <w:rFonts w:ascii="Times New Roman" w:hAnsi="Times New Roman"/>
          <w:color w:val="000000"/>
          <w:sz w:val="22"/>
          <w:u w:val="single"/>
        </w:rPr>
        <w:t>Sale and Leaseback Transaction</w:t>
      </w:r>
      <w:r>
        <w:rPr>
          <w:rFonts w:ascii="Times New Roman" w:hAnsi="Times New Roman"/>
          <w:color w:val="000000"/>
          <w:sz w:val="20"/>
        </w:rPr>
        <w:t xml:space="preserve">” </w:t>
      </w:r>
      <w:r>
        <w:rPr>
          <w:rFonts w:ascii="Times New Roman" w:hAnsi="Times New Roman"/>
          <w:color w:val="000000"/>
          <w:sz w:val="22"/>
        </w:rPr>
        <w:t>means any sale or other transfer of any property or asset by any Person with the intent to lease such property or asset as lessee.</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region or territory which is itself the subject or target of any Sanctions (as of the Effective Date, the so-called Donetsk People’s Republic, the so-called Luhansk People’s Republic, the Crimea, Zaporizhzhia and Kherson Regions of Ukraine, Cuba, Iran and North Korea).</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56" w:name="docxtextref321"/>
      <w:bookmarkEnd w:id="56"/>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w:t>
      </w:r>
      <w:r>
        <w:rPr>
          <w:rFonts w:ascii="Times New Roman" w:hAnsi="Times New Roman"/>
          <w:color w:val="000000"/>
          <w:sz w:val="20"/>
        </w:rPr>
        <w:t xml:space="preserve"> </w:t>
      </w:r>
      <w:r>
        <w:rPr>
          <w:rFonts w:ascii="Times New Roman" w:hAnsi="Times New Roman"/>
          <w:color w:val="000000"/>
          <w:sz w:val="22"/>
        </w:rPr>
        <w:t>any Person listed in any Sanctions-related list of designated Persons maintained by the U.S. government by OFAC, the U.S. Department of State, the United Nations Security Council, the European Union, any European Union member state, His Majesty’s Treasury of the United Kingdom or the Government of Canada,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the Government of Canada.</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2"/>
          <w:u w:val="single"/>
        </w:rPr>
        <w:t>Secured Letter of Credit</w:t>
      </w:r>
      <w:r>
        <w:rPr>
          <w:rFonts w:ascii="Times New Roman" w:hAnsi="Times New Roman"/>
          <w:color w:val="000000"/>
          <w:sz w:val="20"/>
        </w:rPr>
        <w:t xml:space="preserve">” </w:t>
      </w:r>
      <w:r>
        <w:rPr>
          <w:rFonts w:ascii="Times New Roman" w:hAnsi="Times New Roman"/>
          <w:color w:val="000000"/>
          <w:sz w:val="22"/>
        </w:rPr>
        <w:t>means a Letter of Credit in respect of which the Company has deposited an amount in cash equal to 100% of the face amount of such Letter of Credit prior to the issuance thereof in the manner described in Section 2.06(j) and otherwise on terms and conditions reasonably acceptable to the applicable Issuing Bank and the Administrative Agent.</w:t>
      </w:r>
    </w:p>
    <w:p>
      <w:pPr>
        <w:pStyle w:val="TextBody"/>
        <w:bidi w:val="0"/>
        <w:spacing w:before="0" w:after="24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means the United States Securities Act of 1933.</w:t>
      </w:r>
    </w:p>
    <w:p>
      <w:pPr>
        <w:pStyle w:val="TextBody"/>
        <w:bidi w:val="0"/>
        <w:spacing w:before="0" w:after="240"/>
        <w:jc w:val="both"/>
        <w:rPr/>
      </w:pPr>
      <w:r>
        <w:rPr>
          <w:color w:val="000000"/>
        </w:rPr>
        <w:t>“</w:t>
      </w:r>
      <w:r>
        <w:rPr>
          <w:rFonts w:ascii="Times New Roman" w:hAnsi="Times New Roman"/>
          <w:color w:val="000000"/>
          <w:sz w:val="22"/>
          <w:u w:val="single"/>
        </w:rPr>
        <w:t>SOFR</w:t>
      </w:r>
      <w:r>
        <w:rPr>
          <w:rFonts w:ascii="Times New Roman" w:hAnsi="Times New Roman"/>
          <w:color w:val="000000"/>
          <w:sz w:val="20"/>
        </w:rPr>
        <w:t xml:space="preserve">” </w:t>
      </w:r>
      <w:r>
        <w:rPr>
          <w:rFonts w:ascii="Times New Roman" w:hAnsi="Times New Roman"/>
          <w:color w:val="000000"/>
          <w:sz w:val="22"/>
        </w:rPr>
        <w:t>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2"/>
          <w:u w:val="single"/>
        </w:rPr>
        <w:t>SOFR Administrator</w:t>
      </w:r>
      <w:r>
        <w:rPr>
          <w:rFonts w:ascii="Times New Roman" w:hAnsi="Times New Roman"/>
          <w:color w:val="000000"/>
          <w:sz w:val="20"/>
        </w:rPr>
        <w:t xml:space="preserve">” </w:t>
      </w:r>
      <w:r>
        <w:rPr>
          <w:rFonts w:ascii="Times New Roman" w:hAnsi="Times New Roman"/>
          <w:color w:val="000000"/>
          <w:sz w:val="22"/>
        </w:rPr>
        <w:t>means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2"/>
          <w:u w:val="single"/>
        </w:rPr>
        <w:t>SOFR Administrator’s Website</w:t>
      </w:r>
      <w:r>
        <w:rPr>
          <w:rFonts w:ascii="Times New Roman" w:hAnsi="Times New Roman"/>
          <w:color w:val="000000"/>
          <w:sz w:val="20"/>
        </w:rPr>
        <w:t xml:space="preserve">” </w:t>
      </w:r>
      <w:r>
        <w:rPr>
          <w:rFonts w:ascii="Times New Roman" w:hAnsi="Times New Roman"/>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before="0" w:after="240"/>
        <w:jc w:val="both"/>
        <w:rPr/>
      </w:pPr>
      <w:r>
        <w:rPr>
          <w:color w:val="000000"/>
        </w:rPr>
        <w:t>“</w:t>
      </w:r>
      <w:r>
        <w:rPr>
          <w:rFonts w:ascii="Times New Roman" w:hAnsi="Times New Roman"/>
          <w:color w:val="000000"/>
          <w:sz w:val="22"/>
          <w:u w:val="single"/>
        </w:rPr>
        <w:t>SOFR Determination Date</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SOFR”.</w:t>
      </w:r>
    </w:p>
    <w:p>
      <w:pPr>
        <w:pStyle w:val="TextBody"/>
        <w:bidi w:val="0"/>
        <w:spacing w:before="0" w:after="240"/>
        <w:jc w:val="both"/>
        <w:rPr/>
      </w:pPr>
      <w:r>
        <w:rPr>
          <w:color w:val="000000"/>
        </w:rPr>
        <w:t>“</w:t>
      </w:r>
      <w:r>
        <w:rPr>
          <w:rFonts w:ascii="Times New Roman" w:hAnsi="Times New Roman"/>
          <w:color w:val="000000"/>
          <w:sz w:val="22"/>
          <w:u w:val="single"/>
        </w:rPr>
        <w:t>SOFR Rate Day</w:t>
      </w:r>
      <w:r>
        <w:rPr>
          <w:rFonts w:ascii="Times New Roman" w:hAnsi="Times New Roman"/>
          <w:color w:val="000000"/>
          <w:sz w:val="20"/>
        </w:rPr>
        <w:t xml:space="preserve">” </w:t>
      </w:r>
      <w:r>
        <w:rPr>
          <w:rFonts w:ascii="Times New Roman" w:hAnsi="Times New Roman"/>
          <w:color w:val="000000"/>
          <w:sz w:val="22"/>
        </w:rPr>
        <w:t>has the meaning specified in the definition of “Daily Simple SOFR”.</w:t>
      </w:r>
    </w:p>
    <w:p>
      <w:pPr>
        <w:pStyle w:val="TextBody"/>
        <w:bidi w:val="0"/>
        <w:spacing w:before="0" w:after="240"/>
        <w:jc w:val="both"/>
        <w:rPr/>
      </w:pPr>
      <w:r>
        <w:rPr>
          <w:color w:val="000000"/>
        </w:rPr>
        <w:t>“</w:t>
      </w:r>
      <w:r>
        <w:rPr>
          <w:rFonts w:ascii="Times New Roman" w:hAnsi="Times New Roman"/>
          <w:color w:val="000000"/>
          <w:sz w:val="22"/>
          <w:u w:val="single"/>
        </w:rPr>
        <w:t>SONIA</w:t>
      </w:r>
      <w:r>
        <w:rPr>
          <w:rFonts w:ascii="Times New Roman" w:hAnsi="Times New Roman"/>
          <w:color w:val="000000"/>
          <w:sz w:val="20"/>
        </w:rPr>
        <w:t xml:space="preserve">” </w:t>
      </w:r>
      <w:r>
        <w:rPr>
          <w:rFonts w:ascii="Times New Roman" w:hAnsi="Times New Roman"/>
          <w:color w:val="000000"/>
          <w:sz w:val="22"/>
        </w:rPr>
        <w:t>means,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before="0" w:after="240"/>
        <w:jc w:val="both"/>
        <w:rPr/>
      </w:pPr>
      <w:r>
        <w:rPr>
          <w:color w:val="000000"/>
        </w:rPr>
        <w:t>“</w:t>
      </w:r>
      <w:r>
        <w:rPr>
          <w:rFonts w:ascii="Times New Roman" w:hAnsi="Times New Roman"/>
          <w:color w:val="000000"/>
          <w:sz w:val="22"/>
          <w:u w:val="single"/>
        </w:rPr>
        <w:t>SONIA Administrator</w:t>
      </w:r>
      <w:r>
        <w:rPr>
          <w:rFonts w:ascii="Times New Roman" w:hAnsi="Times New Roman"/>
          <w:color w:val="000000"/>
          <w:sz w:val="20"/>
        </w:rPr>
        <w:t xml:space="preserve">” </w:t>
      </w:r>
      <w:r>
        <w:rPr>
          <w:rFonts w:ascii="Times New Roman" w:hAnsi="Times New Roman"/>
          <w:color w:val="000000"/>
          <w:sz w:val="22"/>
        </w:rPr>
        <w:t>means the Bank of England (or any successor administrator of the Sterling Overnight Index Average).</w:t>
      </w:r>
    </w:p>
    <w:p>
      <w:pPr>
        <w:pStyle w:val="TextBody"/>
        <w:bidi w:val="0"/>
        <w:spacing w:before="0" w:after="240"/>
        <w:jc w:val="both"/>
        <w:rPr/>
      </w:pPr>
      <w:r>
        <w:rPr>
          <w:color w:val="000000"/>
        </w:rPr>
        <w:t>“</w:t>
      </w:r>
      <w:r>
        <w:rPr>
          <w:rFonts w:ascii="Times New Roman" w:hAnsi="Times New Roman"/>
          <w:color w:val="000000"/>
          <w:sz w:val="22"/>
          <w:u w:val="single"/>
        </w:rPr>
        <w:t>SONIA Administrator’s Website</w:t>
      </w:r>
      <w:r>
        <w:rPr>
          <w:rFonts w:ascii="Times New Roman" w:hAnsi="Times New Roman"/>
          <w:color w:val="000000"/>
          <w:sz w:val="20"/>
        </w:rPr>
        <w:t xml:space="preserve">” </w:t>
      </w:r>
      <w:r>
        <w:rPr>
          <w:rFonts w:ascii="Times New Roman" w:hAnsi="Times New Roman"/>
          <w:color w:val="000000"/>
          <w:sz w:val="22"/>
        </w:rPr>
        <w:t>means the Bank of England’s website, currently at http://www.bankofengland.co.uk, or any successor source for the Sterling Overnight Index Average identified as such by the SONIA Administrator from time to time.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Statutory Reserve Rate</w:t>
      </w:r>
      <w:r>
        <w:rPr>
          <w:rFonts w:ascii="Times New Roman" w:hAnsi="Times New Roman"/>
          <w:color w:val="000000"/>
          <w:sz w:val="20"/>
        </w:rPr>
        <w:t xml:space="preserve">” </w:t>
      </w:r>
      <w:r>
        <w:rPr>
          <w:rFonts w:ascii="Times New Roman" w:hAnsi="Times New Roman"/>
          <w:color w:val="000000"/>
          <w:sz w:val="22"/>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any Indebtedness of the Company or any Subsidiary the payment of which is subordinated to payment of the obligations under the Loan Documents.</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with respect to any Person (the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any subsidiary of the Company.</w:t>
      </w:r>
    </w:p>
    <w:p>
      <w:pPr>
        <w:pStyle w:val="TextBody"/>
        <w:bidi w:val="0"/>
        <w:spacing w:before="0" w:after="240"/>
        <w:jc w:val="both"/>
        <w:rPr/>
      </w:pPr>
      <w:r>
        <w:rPr>
          <w:color w:val="000000"/>
        </w:rPr>
        <w:t>“</w:t>
      </w:r>
      <w:r>
        <w:rPr>
          <w:rFonts w:ascii="Times New Roman" w:hAnsi="Times New Roman"/>
          <w:color w:val="000000"/>
          <w:sz w:val="22"/>
          <w:u w:val="single"/>
        </w:rPr>
        <w:t>Subsidiary Borrower</w:t>
      </w:r>
      <w:r>
        <w:rPr>
          <w:rFonts w:ascii="Times New Roman" w:hAnsi="Times New Roman"/>
          <w:color w:val="000000"/>
          <w:sz w:val="20"/>
        </w:rPr>
        <w:t xml:space="preserve">” </w:t>
      </w:r>
      <w:r>
        <w:rPr>
          <w:rFonts w:ascii="Times New Roman" w:hAnsi="Times New Roman"/>
          <w:color w:val="000000"/>
          <w:sz w:val="22"/>
        </w:rPr>
        <w:t>means any Eligible Subsidiary that becomes a Subsidiary Borrower pursuant to Section 2.23 and that has not ceased to be a Subsidiary Borrower pursuant to such Section.</w:t>
      </w:r>
    </w:p>
    <w:p>
      <w:pPr>
        <w:pStyle w:val="TextBody"/>
        <w:bidi w:val="0"/>
        <w:spacing w:before="0" w:after="240"/>
        <w:jc w:val="both"/>
        <w:rPr/>
      </w:pPr>
      <w:r>
        <w:rPr>
          <w:color w:val="000000"/>
        </w:rPr>
        <w:t>“</w:t>
      </w:r>
      <w:r>
        <w:rPr>
          <w:rFonts w:ascii="Times New Roman" w:hAnsi="Times New Roman"/>
          <w:color w:val="000000"/>
          <w:sz w:val="22"/>
          <w:u w:val="single"/>
        </w:rPr>
        <w:t>Supported QFC</w:t>
      </w:r>
      <w:r>
        <w:rPr>
          <w:rFonts w:ascii="Times New Roman" w:hAnsi="Times New Roman"/>
          <w:color w:val="000000"/>
          <w:sz w:val="20"/>
        </w:rPr>
        <w:t xml:space="preserve">” </w:t>
      </w:r>
      <w:r>
        <w:rPr>
          <w:rFonts w:ascii="Times New Roman" w:hAnsi="Times New Roman"/>
          <w:color w:val="000000"/>
          <w:sz w:val="22"/>
        </w:rPr>
        <w:t>has the meaning assigned to it in Section 9.18.</w:t>
      </w:r>
    </w:p>
    <w:p>
      <w:pPr>
        <w:pStyle w:val="TextBody"/>
        <w:bidi w:val="0"/>
        <w:spacing w:before="0" w:after="240"/>
        <w:jc w:val="both"/>
        <w:rPr/>
      </w:pPr>
      <w:r>
        <w:rPr>
          <w:color w:val="000000"/>
        </w:rPr>
        <w:t>“</w:t>
      </w:r>
      <w:r>
        <w:rPr>
          <w:rFonts w:ascii="Times New Roman" w:hAnsi="Times New Roman"/>
          <w:color w:val="000000"/>
          <w:sz w:val="22"/>
          <w:u w:val="single"/>
        </w:rPr>
        <w:t>Swap Agreement</w:t>
      </w:r>
      <w:r>
        <w:rPr>
          <w:rFonts w:ascii="Times New Roman" w:hAnsi="Times New Roman"/>
          <w:color w:val="000000"/>
          <w:sz w:val="20"/>
        </w:rPr>
        <w:t xml:space="preserve">” </w:t>
      </w:r>
      <w:r>
        <w:rPr>
          <w:rFonts w:ascii="Times New Roman" w:hAnsi="Times New Roman"/>
          <w:color w:val="000000"/>
          <w:sz w:val="22"/>
        </w:rPr>
        <w:t xml:space="preserve">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phantom stock or similar plan providing for payments only on account of services provided by current or former directors, officers, employees or consultants of the Company or the Subsidiaries shall be a Swap Agreement.</w:t>
      </w:r>
    </w:p>
    <w:p>
      <w:pPr>
        <w:pStyle w:val="TextBody"/>
        <w:bidi w:val="0"/>
        <w:spacing w:before="0" w:after="240"/>
        <w:jc w:val="both"/>
        <w:rPr/>
      </w:pPr>
      <w:r>
        <w:rPr>
          <w:color w:val="000000"/>
        </w:rPr>
        <w:t>“</w:t>
      </w:r>
      <w:r>
        <w:rPr>
          <w:rFonts w:ascii="Times New Roman" w:hAnsi="Times New Roman"/>
          <w:color w:val="000000"/>
          <w:sz w:val="22"/>
          <w:u w:val="single"/>
        </w:rPr>
        <w:t>T2</w:t>
      </w:r>
      <w:r>
        <w:rPr>
          <w:rFonts w:ascii="Times New Roman" w:hAnsi="Times New Roman"/>
          <w:color w:val="000000"/>
          <w:sz w:val="20"/>
        </w:rPr>
        <w:t xml:space="preserve">” </w:t>
      </w:r>
      <w:r>
        <w:rPr>
          <w:rFonts w:ascii="Times New Roman" w:hAnsi="Times New Roman"/>
          <w:color w:val="000000"/>
          <w:sz w:val="22"/>
        </w:rPr>
        <w:t>means the real time gross settlement system operated by the Eurosystem, or any successor system.</w:t>
      </w:r>
    </w:p>
    <w:p>
      <w:pPr>
        <w:pStyle w:val="TextBody"/>
        <w:bidi w:val="0"/>
        <w:spacing w:before="0" w:after="240"/>
        <w:jc w:val="both"/>
        <w:rPr/>
      </w:pPr>
      <w:r>
        <w:rPr>
          <w:color w:val="000000"/>
        </w:rPr>
        <w:t>“</w:t>
      </w:r>
      <w:r>
        <w:rPr>
          <w:rFonts w:ascii="Times New Roman" w:hAnsi="Times New Roman"/>
          <w:color w:val="000000"/>
          <w:sz w:val="22"/>
          <w:u w:val="single"/>
        </w:rPr>
        <w:t>TARGET Day</w:t>
      </w:r>
      <w:r>
        <w:rPr>
          <w:rFonts w:ascii="Times New Roman" w:hAnsi="Times New Roman"/>
          <w:color w:val="000000"/>
          <w:sz w:val="20"/>
        </w:rPr>
        <w:t xml:space="preserve">” </w:t>
      </w:r>
      <w:r>
        <w:rPr>
          <w:rFonts w:ascii="Times New Roman" w:hAnsi="Times New Roman"/>
          <w:color w:val="000000"/>
          <w:sz w:val="22"/>
        </w:rPr>
        <w:t>means any day on which T2 (or, if such payment system ceases to be operative, such other payment system, if any, reasonably determined by the Administrative Agent to be a suitable replacement) is open for the settlement of payments in euro.</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value added taxes, or any other goods and services, use or sales taxes,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A-1 Lender</w:t>
      </w:r>
      <w:r>
        <w:rPr>
          <w:rFonts w:ascii="Times New Roman" w:hAnsi="Times New Roman"/>
          <w:color w:val="000000"/>
          <w:sz w:val="20"/>
        </w:rPr>
        <w:t xml:space="preserve">” </w:t>
      </w:r>
      <w:r>
        <w:rPr>
          <w:rFonts w:ascii="Times New Roman" w:hAnsi="Times New Roman"/>
          <w:color w:val="000000"/>
          <w:sz w:val="22"/>
        </w:rPr>
        <w:t>means, as of any date of determination, each Lender having a Term A-1 Loan Commitment or that holds Term A-1 Loans.</w:t>
      </w:r>
    </w:p>
    <w:p>
      <w:pPr>
        <w:pStyle w:val="TextBody"/>
        <w:bidi w:val="0"/>
        <w:spacing w:before="0" w:after="240"/>
        <w:jc w:val="both"/>
        <w:rPr/>
      </w:pPr>
      <w:r>
        <w:rPr>
          <w:color w:val="000000"/>
        </w:rPr>
        <w:t>“</w:t>
      </w:r>
      <w:r>
        <w:rPr>
          <w:rFonts w:ascii="Times New Roman" w:hAnsi="Times New Roman"/>
          <w:color w:val="000000"/>
          <w:sz w:val="22"/>
          <w:u w:val="single"/>
        </w:rPr>
        <w:t>Term A-1 Loan Commitment</w:t>
      </w:r>
      <w:r>
        <w:rPr>
          <w:rFonts w:ascii="Times New Roman" w:hAnsi="Times New Roman"/>
          <w:color w:val="000000"/>
          <w:sz w:val="20"/>
        </w:rPr>
        <w:t xml:space="preserve">” </w:t>
      </w:r>
      <w:r>
        <w:rPr>
          <w:rFonts w:ascii="Times New Roman" w:hAnsi="Times New Roman"/>
          <w:color w:val="000000"/>
          <w:sz w:val="22"/>
        </w:rPr>
        <w:t xml:space="preserve">means (a) with respect to any Term A-1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opposite such Lender’s name under the heading “Term A-1 Loan Commitment”, or in the Assignment and Assumption or other documentation or record (as such term is defined in Section 9-102(a)(70) of the New York Uniform Commercial Code) as provided in Section 9.04(b)(ii)(C) pursuant to which such Lender shall have assumed its Term A-1 Loan Commitment, as applicable, and giving effect to (i) any reduction in such amount from time to time pursuant to Section 2.09 and (ii) any reduction or increase in such amount from time to time pursuant to assignments by or to such Lender pursuant to Section 9.04 and (b) as to all Term A-1 Lenders, the aggregate commitments of all Term A-1 Lenders to make Term A-1 Loans. After advancing the Term A-1 Loan, each reference to a Term A-1 Lender’s Term A-1 Loan Commitment shall refer to that Term A-1 Lender’s Applicable Percentage of the Term A-1 Loans. The initial aggregate amount of the Term A-1 Loan Commitments on the Effective Date is $250,000,000.</w:t>
      </w:r>
    </w:p>
    <w:p>
      <w:pPr>
        <w:pStyle w:val="TextBody"/>
        <w:bidi w:val="0"/>
        <w:spacing w:before="0" w:after="240"/>
        <w:jc w:val="both"/>
        <w:rPr/>
      </w:pPr>
      <w:r>
        <w:rPr>
          <w:color w:val="000000"/>
        </w:rPr>
        <w:t>“</w:t>
      </w:r>
      <w:r>
        <w:rPr>
          <w:rFonts w:ascii="Times New Roman" w:hAnsi="Times New Roman"/>
          <w:color w:val="000000"/>
          <w:sz w:val="22"/>
          <w:u w:val="single"/>
        </w:rPr>
        <w:t>Term A-1 Loan Maturity Date</w:t>
      </w:r>
      <w:r>
        <w:rPr>
          <w:rFonts w:ascii="Times New Roman" w:hAnsi="Times New Roman"/>
          <w:color w:val="000000"/>
          <w:sz w:val="20"/>
        </w:rPr>
        <w:t xml:space="preserve">” </w:t>
      </w:r>
      <w:r>
        <w:rPr>
          <w:rFonts w:ascii="Times New Roman" w:hAnsi="Times New Roman"/>
          <w:color w:val="000000"/>
          <w:sz w:val="22"/>
        </w:rPr>
        <w:t>means the date that occurs on the third (3</w:t>
      </w:r>
      <w:r>
        <w:rPr>
          <w:rFonts w:ascii="Times New Roman" w:hAnsi="Times New Roman"/>
          <w:color w:val="000000"/>
          <w:sz w:val="15"/>
        </w:rPr>
        <w:t>rd</w:t>
      </w:r>
      <w:r>
        <w:rPr>
          <w:rFonts w:ascii="Times New Roman" w:hAnsi="Times New Roman"/>
          <w:color w:val="000000"/>
          <w:sz w:val="22"/>
        </w:rPr>
        <w:t xml:space="preserve">) anniversary of the Effective Date, subject to extension (in the case of each Term A-1 Lender consenting thereto) as provided in Section 2.24;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in each case, if such date is not a Business Day, the Term A-1 Loan Maturity Date shall be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Term A-1 Loans</w:t>
      </w:r>
      <w:r>
        <w:rPr>
          <w:rFonts w:ascii="Times New Roman" w:hAnsi="Times New Roman"/>
          <w:color w:val="000000"/>
          <w:sz w:val="20"/>
        </w:rPr>
        <w:t xml:space="preserve">” </w:t>
      </w:r>
      <w:r>
        <w:rPr>
          <w:rFonts w:ascii="Times New Roman" w:hAnsi="Times New Roman"/>
          <w:color w:val="000000"/>
          <w:sz w:val="22"/>
        </w:rPr>
        <w:t>means the term loans made by the Term A-1 Lenders to the Company pursuant to Section 2.01(b).</w:t>
      </w:r>
    </w:p>
    <w:p>
      <w:pPr>
        <w:pStyle w:val="TextBody"/>
        <w:bidi w:val="0"/>
        <w:spacing w:before="0" w:after="240"/>
        <w:jc w:val="both"/>
        <w:rPr/>
      </w:pPr>
      <w:r>
        <w:rPr>
          <w:color w:val="000000"/>
        </w:rPr>
        <w:t>“</w:t>
      </w:r>
      <w:r>
        <w:rPr>
          <w:rFonts w:ascii="Times New Roman" w:hAnsi="Times New Roman"/>
          <w:color w:val="000000"/>
          <w:sz w:val="22"/>
          <w:u w:val="single"/>
        </w:rPr>
        <w:t>Term A-2 Lender</w:t>
      </w:r>
      <w:r>
        <w:rPr>
          <w:rFonts w:ascii="Times New Roman" w:hAnsi="Times New Roman"/>
          <w:color w:val="000000"/>
          <w:sz w:val="20"/>
        </w:rPr>
        <w:t xml:space="preserve">” </w:t>
      </w:r>
      <w:r>
        <w:rPr>
          <w:rFonts w:ascii="Times New Roman" w:hAnsi="Times New Roman"/>
          <w:color w:val="000000"/>
          <w:sz w:val="22"/>
        </w:rPr>
        <w:t>means, as of any date of determination, each Lender having a Term A-2 Loan Commitment or that holds Term A-2 Loans.</w:t>
      </w:r>
    </w:p>
    <w:p>
      <w:pPr>
        <w:pStyle w:val="TextBody"/>
        <w:bidi w:val="0"/>
        <w:spacing w:before="0" w:after="240"/>
        <w:jc w:val="both"/>
        <w:rPr/>
      </w:pPr>
      <w:r>
        <w:rPr>
          <w:color w:val="000000"/>
        </w:rPr>
        <w:t>“</w:t>
      </w:r>
      <w:r>
        <w:rPr>
          <w:rFonts w:ascii="Times New Roman" w:hAnsi="Times New Roman"/>
          <w:color w:val="000000"/>
          <w:sz w:val="22"/>
          <w:u w:val="single"/>
        </w:rPr>
        <w:t>Term A-2 Loan Commitment</w:t>
      </w:r>
      <w:r>
        <w:rPr>
          <w:rFonts w:ascii="Times New Roman" w:hAnsi="Times New Roman"/>
          <w:color w:val="000000"/>
          <w:sz w:val="20"/>
        </w:rPr>
        <w:t xml:space="preserve">” </w:t>
      </w:r>
      <w:r>
        <w:rPr>
          <w:rFonts w:ascii="Times New Roman" w:hAnsi="Times New Roman"/>
          <w:color w:val="000000"/>
          <w:sz w:val="22"/>
        </w:rPr>
        <w:t xml:space="preserve">means (a) with respect to any Term A-2 Lender, the amount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opposite such Lender’s name under the heading “Term A-2 Loan Commitment”, or in the Assignment and Assumption or other documentation or record (as such term is defined in Section 9-102(a)(70) of the New York Uniform Commercial Code) as provided in Section 9.04(b)(ii)(C) pursuant to which such Lender shall have assumed its Term A-2 Loan Commitment, as applicable, and giving effect to (i) any reduction in such amount from time to time pursuant to Section 2.09 and (ii) any reduction or increase in such amount from time to time pursuant to assignments by or to such Lender pursuant to Section 9.04 and (b) as to all Term A-2 Lenders, the aggregate commitments of all Term A-2 Lenders to make Term A-2 Loans. After advancing the Term A-2 Loan, each reference to a Term A-2 Lender’s Term A-2 Loan Commitment shall refer to that Term A-2 Lender’s Applicable Percentage of the Term A-2 Loans. The initial aggregate amount of the Term A-2 Loan Commitments on the Effective Date is $250,000,000.</w:t>
      </w:r>
    </w:p>
    <w:p>
      <w:pPr>
        <w:pStyle w:val="TextBody"/>
        <w:bidi w:val="0"/>
        <w:spacing w:before="0" w:after="240"/>
        <w:jc w:val="both"/>
        <w:rPr/>
      </w:pPr>
      <w:r>
        <w:rPr>
          <w:color w:val="000000"/>
        </w:rPr>
        <w:t>“</w:t>
      </w:r>
      <w:r>
        <w:rPr>
          <w:rFonts w:ascii="Times New Roman" w:hAnsi="Times New Roman"/>
          <w:color w:val="000000"/>
          <w:sz w:val="22"/>
          <w:u w:val="single"/>
        </w:rPr>
        <w:t>Term A-2 Loan Maturity Date</w:t>
      </w:r>
      <w:r>
        <w:rPr>
          <w:rFonts w:ascii="Times New Roman" w:hAnsi="Times New Roman"/>
          <w:color w:val="000000"/>
          <w:sz w:val="20"/>
        </w:rPr>
        <w:t xml:space="preserve">” </w:t>
      </w:r>
      <w:r>
        <w:rPr>
          <w:rFonts w:ascii="Times New Roman" w:hAnsi="Times New Roman"/>
          <w:color w:val="000000"/>
          <w:sz w:val="22"/>
        </w:rPr>
        <w:t>means the date that occurs on the fifth (5</w:t>
      </w:r>
      <w:r>
        <w:rPr>
          <w:rFonts w:ascii="Times New Roman" w:hAnsi="Times New Roman"/>
          <w:color w:val="000000"/>
          <w:sz w:val="15"/>
        </w:rPr>
        <w:t>th</w:t>
      </w:r>
      <w:r>
        <w:rPr>
          <w:rFonts w:ascii="Times New Roman" w:hAnsi="Times New Roman"/>
          <w:color w:val="000000"/>
          <w:sz w:val="22"/>
        </w:rPr>
        <w:t xml:space="preserve">) anniversary of the Effective Date, subject to extension (in the case of each Term A-2 Lender consenting thereto) as provided in Section 2.24;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in each case, if such date is not a Business Day, the Term A-2 Loan Maturity Date shall be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Term A-2 Loans</w:t>
      </w:r>
      <w:r>
        <w:rPr>
          <w:rFonts w:ascii="Times New Roman" w:hAnsi="Times New Roman"/>
          <w:color w:val="000000"/>
          <w:sz w:val="20"/>
        </w:rPr>
        <w:t xml:space="preserve">” </w:t>
      </w:r>
      <w:r>
        <w:rPr>
          <w:rFonts w:ascii="Times New Roman" w:hAnsi="Times New Roman"/>
          <w:color w:val="000000"/>
          <w:sz w:val="22"/>
        </w:rPr>
        <w:t>means the term loans made by the Term A-2 Lenders to the Company pursuant to Section 2.01(c).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Term Benchmark</w:t>
      </w:r>
      <w:r>
        <w:rPr>
          <w:rFonts w:ascii="Times New Roman" w:hAnsi="Times New Roman"/>
          <w:color w:val="000000"/>
          <w:sz w:val="20"/>
        </w:rPr>
        <w:t>”</w:t>
      </w:r>
      <w:r>
        <w:rPr>
          <w:rFonts w:ascii="Times New Roman" w:hAnsi="Times New Roman"/>
          <w:color w:val="000000"/>
          <w:sz w:val="22"/>
        </w:rPr>
        <w:t>, when used in reference to any Loan or Borrowing, means that such Loan, or the Loans comprising such Borrowing, bears interest at a rate determined by reference to the Adjusted Term SOFR Rate, the Adjusted EURIBO Rate or the Adjusted Term CORRA Rate.</w:t>
      </w:r>
    </w:p>
    <w:p>
      <w:pPr>
        <w:pStyle w:val="TextBody"/>
        <w:bidi w:val="0"/>
        <w:spacing w:before="0" w:after="240"/>
        <w:jc w:val="both"/>
        <w:rPr/>
      </w:pPr>
      <w:r>
        <w:rPr>
          <w:color w:val="000000"/>
        </w:rPr>
        <w:t>“</w:t>
      </w:r>
      <w:r>
        <w:rPr>
          <w:rFonts w:ascii="Times New Roman" w:hAnsi="Times New Roman"/>
          <w:color w:val="000000"/>
          <w:sz w:val="22"/>
          <w:u w:val="single"/>
        </w:rPr>
        <w:t>Term CORRA</w:t>
      </w:r>
      <w:r>
        <w:rPr>
          <w:rFonts w:ascii="Times New Roman" w:hAnsi="Times New Roman"/>
          <w:color w:val="000000"/>
          <w:sz w:val="20"/>
        </w:rPr>
        <w:t xml:space="preserve">” </w:t>
      </w:r>
      <w:r>
        <w:rPr>
          <w:rFonts w:ascii="Times New Roman" w:hAnsi="Times New Roman"/>
          <w:color w:val="000000"/>
          <w:sz w:val="22"/>
        </w:rPr>
        <w:t>means, for any calculation with respect to any Term Benchmark Borrowing denominated in Canadian Dollars, the Term CORRA Reference Rate for a tenor comparable to the applicable Interest Period on the day (such day, the “</w:t>
      </w:r>
      <w:r>
        <w:rPr>
          <w:rFonts w:ascii="Times New Roman" w:hAnsi="Times New Roman"/>
          <w:color w:val="000000"/>
          <w:sz w:val="22"/>
          <w:u w:val="single"/>
        </w:rPr>
        <w:t>Periodic Term CORRA Determination Day</w:t>
      </w:r>
      <w:r>
        <w:rPr>
          <w:rFonts w:ascii="Times New Roman" w:hAnsi="Times New Roman"/>
          <w:color w:val="000000"/>
          <w:sz w:val="20"/>
        </w:rPr>
        <w:t>”</w:t>
      </w:r>
      <w:r>
        <w:rPr>
          <w:rFonts w:ascii="Times New Roman" w:hAnsi="Times New Roman"/>
          <w:color w:val="000000"/>
          <w:sz w:val="22"/>
        </w:rPr>
        <w:t xml:space="preserve">) that is two (2) Business Days prior to the first day of such Interest Period, as such rate is published by the Term CORRA Administrator;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pStyle w:val="TextBody"/>
        <w:bidi w:val="0"/>
        <w:spacing w:before="0" w:after="240"/>
        <w:jc w:val="both"/>
        <w:rPr/>
      </w:pPr>
      <w:r>
        <w:rPr>
          <w:color w:val="000000"/>
        </w:rPr>
        <w:t>“</w:t>
      </w:r>
      <w:r>
        <w:rPr>
          <w:rFonts w:ascii="Times New Roman" w:hAnsi="Times New Roman"/>
          <w:color w:val="000000"/>
          <w:sz w:val="22"/>
          <w:u w:val="single"/>
        </w:rPr>
        <w:t>Term CORRA Administrator</w:t>
      </w:r>
      <w:r>
        <w:rPr>
          <w:rFonts w:ascii="Times New Roman" w:hAnsi="Times New Roman"/>
          <w:color w:val="000000"/>
          <w:sz w:val="20"/>
        </w:rPr>
        <w:t xml:space="preserve">” </w:t>
      </w:r>
      <w:r>
        <w:rPr>
          <w:rFonts w:ascii="Times New Roman" w:hAnsi="Times New Roman"/>
          <w:color w:val="000000"/>
          <w:sz w:val="22"/>
        </w:rPr>
        <w:t>means Candeal Benchmark Administration Services Inc., TSX Inc., or any successor administrator.</w:t>
      </w:r>
    </w:p>
    <w:p>
      <w:pPr>
        <w:pStyle w:val="TextBody"/>
        <w:bidi w:val="0"/>
        <w:spacing w:before="0" w:after="240"/>
        <w:jc w:val="both"/>
        <w:rPr/>
      </w:pPr>
      <w:r>
        <w:rPr>
          <w:color w:val="000000"/>
        </w:rPr>
        <w:t>“</w:t>
      </w:r>
      <w:r>
        <w:rPr>
          <w:rFonts w:ascii="Times New Roman" w:hAnsi="Times New Roman"/>
          <w:color w:val="000000"/>
          <w:sz w:val="22"/>
          <w:u w:val="single"/>
        </w:rPr>
        <w:t>Term CORRA Notice</w:t>
      </w:r>
      <w:r>
        <w:rPr>
          <w:rFonts w:ascii="Times New Roman" w:hAnsi="Times New Roman"/>
          <w:color w:val="000000"/>
          <w:sz w:val="20"/>
        </w:rPr>
        <w:t xml:space="preserve">” </w:t>
      </w:r>
      <w:r>
        <w:rPr>
          <w:rFonts w:ascii="Times New Roman" w:hAnsi="Times New Roman"/>
          <w:color w:val="000000"/>
          <w:sz w:val="22"/>
        </w:rPr>
        <w:t>means a notification by the Administrative Agent to the Lenders and the Company of the occurrence of a Term CORRA Reelection Event.</w:t>
      </w:r>
    </w:p>
    <w:p>
      <w:pPr>
        <w:pStyle w:val="TextBody"/>
        <w:bidi w:val="0"/>
        <w:spacing w:before="0" w:after="240"/>
        <w:jc w:val="both"/>
        <w:rPr/>
      </w:pPr>
      <w:r>
        <w:rPr>
          <w:color w:val="000000"/>
        </w:rPr>
        <w:t>“</w:t>
      </w:r>
      <w:r>
        <w:rPr>
          <w:rFonts w:ascii="Times New Roman" w:hAnsi="Times New Roman"/>
          <w:color w:val="000000"/>
          <w:sz w:val="22"/>
          <w:u w:val="single"/>
        </w:rPr>
        <w:t>Term CORRA Reelection Event</w:t>
      </w:r>
      <w:r>
        <w:rPr>
          <w:rFonts w:ascii="Times New Roman" w:hAnsi="Times New Roman"/>
          <w:color w:val="000000"/>
          <w:sz w:val="20"/>
        </w:rPr>
        <w:t xml:space="preserve">” </w:t>
      </w:r>
      <w:r>
        <w:rPr>
          <w:rFonts w:ascii="Times New Roman" w:hAnsi="Times New Roman"/>
          <w:color w:val="000000"/>
          <w:sz w:val="22"/>
        </w:rPr>
        <w:t>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w:t>
      </w:r>
    </w:p>
    <w:p>
      <w:pPr>
        <w:pStyle w:val="TextBody"/>
        <w:bidi w:val="0"/>
        <w:spacing w:before="0" w:after="240"/>
        <w:jc w:val="both"/>
        <w:rPr/>
      </w:pPr>
      <w:r>
        <w:rPr>
          <w:color w:val="000000"/>
        </w:rPr>
        <w:t>“</w:t>
      </w:r>
      <w:r>
        <w:rPr>
          <w:rFonts w:ascii="Times New Roman" w:hAnsi="Times New Roman"/>
          <w:color w:val="000000"/>
          <w:sz w:val="22"/>
          <w:u w:val="single"/>
        </w:rPr>
        <w:t>Term CORRA Reference Rate</w:t>
      </w:r>
      <w:r>
        <w:rPr>
          <w:rFonts w:ascii="Times New Roman" w:hAnsi="Times New Roman"/>
          <w:color w:val="000000"/>
          <w:sz w:val="20"/>
        </w:rPr>
        <w:t xml:space="preserve">” </w:t>
      </w:r>
      <w:r>
        <w:rPr>
          <w:rFonts w:ascii="Times New Roman" w:hAnsi="Times New Roman"/>
          <w:color w:val="000000"/>
          <w:sz w:val="22"/>
        </w:rPr>
        <w:t>means the forward-looking term rate based on CORRA.</w:t>
      </w:r>
    </w:p>
    <w:p>
      <w:pPr>
        <w:pStyle w:val="TextBody"/>
        <w:bidi w:val="0"/>
        <w:spacing w:before="0" w:after="240"/>
        <w:jc w:val="both"/>
        <w:rPr/>
      </w:pPr>
      <w:r>
        <w:rPr>
          <w:color w:val="000000"/>
        </w:rPr>
        <w:t>“</w:t>
      </w:r>
      <w:r>
        <w:rPr>
          <w:rFonts w:ascii="Times New Roman" w:hAnsi="Times New Roman"/>
          <w:color w:val="000000"/>
          <w:sz w:val="22"/>
          <w:u w:val="single"/>
        </w:rPr>
        <w:t>Term Lender</w:t>
      </w:r>
      <w:r>
        <w:rPr>
          <w:rFonts w:ascii="Times New Roman" w:hAnsi="Times New Roman"/>
          <w:color w:val="000000"/>
          <w:sz w:val="20"/>
        </w:rPr>
        <w:t xml:space="preserve">” </w:t>
      </w:r>
      <w:r>
        <w:rPr>
          <w:rFonts w:ascii="Times New Roman" w:hAnsi="Times New Roman"/>
          <w:color w:val="000000"/>
          <w:sz w:val="22"/>
        </w:rPr>
        <w:t>means a Term A-1 Lender or a Term A-2 Lender, or each of the foregoing, as the context requires, and “</w:t>
      </w:r>
      <w:r>
        <w:rPr>
          <w:rFonts w:ascii="Times New Roman" w:hAnsi="Times New Roman"/>
          <w:color w:val="000000"/>
          <w:sz w:val="22"/>
          <w:u w:val="single"/>
        </w:rPr>
        <w:t>Term Lenders</w:t>
      </w:r>
      <w:r>
        <w:rPr>
          <w:rFonts w:ascii="Times New Roman" w:hAnsi="Times New Roman"/>
          <w:color w:val="000000"/>
          <w:sz w:val="20"/>
        </w:rPr>
        <w:t xml:space="preserve">” </w:t>
      </w:r>
      <w:r>
        <w:rPr>
          <w:rFonts w:ascii="Times New Roman" w:hAnsi="Times New Roman"/>
          <w:color w:val="000000"/>
          <w:sz w:val="22"/>
        </w:rPr>
        <w:t>means the Term A-1 Lenders and the Term A-2 Lenders collectively.</w:t>
      </w:r>
    </w:p>
    <w:p>
      <w:pPr>
        <w:pStyle w:val="TextBody"/>
        <w:bidi w:val="0"/>
        <w:spacing w:before="0" w:after="240"/>
        <w:jc w:val="both"/>
        <w:rPr/>
      </w:pPr>
      <w:r>
        <w:rPr>
          <w:color w:val="000000"/>
        </w:rPr>
        <w:t>“</w:t>
      </w:r>
      <w:r>
        <w:rPr>
          <w:rFonts w:ascii="Times New Roman" w:hAnsi="Times New Roman"/>
          <w:color w:val="000000"/>
          <w:sz w:val="22"/>
          <w:u w:val="single"/>
        </w:rPr>
        <w:t>Term Loan Commitment</w:t>
      </w:r>
      <w:r>
        <w:rPr>
          <w:rFonts w:ascii="Times New Roman" w:hAnsi="Times New Roman"/>
          <w:color w:val="000000"/>
          <w:sz w:val="20"/>
        </w:rPr>
        <w:t xml:space="preserve">” </w:t>
      </w:r>
      <w:r>
        <w:rPr>
          <w:rFonts w:ascii="Times New Roman" w:hAnsi="Times New Roman"/>
          <w:color w:val="000000"/>
          <w:sz w:val="22"/>
        </w:rPr>
        <w:t>means the Term A-1 Loan Commitment of a Lender or the Term A-2 Loan Commitment of a Lender, or each of the foregoing, as the context requires, and “</w:t>
      </w:r>
      <w:r>
        <w:rPr>
          <w:rFonts w:ascii="Times New Roman" w:hAnsi="Times New Roman"/>
          <w:color w:val="000000"/>
          <w:sz w:val="22"/>
          <w:u w:val="single"/>
        </w:rPr>
        <w:t>Term Loan Commitments</w:t>
      </w:r>
      <w:r>
        <w:rPr>
          <w:rFonts w:ascii="Times New Roman" w:hAnsi="Times New Roman"/>
          <w:color w:val="000000"/>
          <w:sz w:val="20"/>
        </w:rPr>
        <w:t xml:space="preserve">” </w:t>
      </w:r>
      <w:r>
        <w:rPr>
          <w:rFonts w:ascii="Times New Roman" w:hAnsi="Times New Roman"/>
          <w:color w:val="000000"/>
          <w:sz w:val="22"/>
        </w:rPr>
        <w:t>means the Term A-1 Loan Commitments and the Term A-2 Loan Commitments collectively.</w:t>
      </w:r>
    </w:p>
    <w:p>
      <w:pPr>
        <w:pStyle w:val="TextBody"/>
        <w:bidi w:val="0"/>
        <w:spacing w:before="0" w:after="240"/>
        <w:jc w:val="both"/>
        <w:rPr/>
      </w:pPr>
      <w:r>
        <w:rPr>
          <w:color w:val="000000"/>
        </w:rPr>
        <w:t>“</w:t>
      </w:r>
      <w:r>
        <w:rPr>
          <w:rFonts w:ascii="Times New Roman" w:hAnsi="Times New Roman"/>
          <w:color w:val="000000"/>
          <w:sz w:val="22"/>
          <w:u w:val="single"/>
        </w:rPr>
        <w:t>Term Loans</w:t>
      </w:r>
      <w:r>
        <w:rPr>
          <w:rFonts w:ascii="Times New Roman" w:hAnsi="Times New Roman"/>
          <w:color w:val="000000"/>
          <w:sz w:val="20"/>
        </w:rPr>
        <w:t xml:space="preserve">” </w:t>
      </w:r>
      <w:r>
        <w:rPr>
          <w:rFonts w:ascii="Times New Roman" w:hAnsi="Times New Roman"/>
          <w:color w:val="000000"/>
          <w:sz w:val="22"/>
        </w:rPr>
        <w:t>means the Term A-1 Loans or the Term A-2 Loans, or each of the foregoing, as the context requires.</w:t>
      </w:r>
    </w:p>
    <w:p>
      <w:pPr>
        <w:pStyle w:val="TextBody"/>
        <w:bidi w:val="0"/>
        <w:spacing w:before="0" w:after="240"/>
        <w:jc w:val="both"/>
        <w:rPr/>
      </w:pPr>
      <w:r>
        <w:rPr>
          <w:color w:val="000000"/>
        </w:rPr>
        <w:t>“</w:t>
      </w:r>
      <w:r>
        <w:rPr>
          <w:rFonts w:ascii="Times New Roman" w:hAnsi="Times New Roman"/>
          <w:color w:val="000000"/>
          <w:sz w:val="22"/>
          <w:u w:val="single"/>
        </w:rPr>
        <w:t>Term SOFR Determination Day</w:t>
      </w:r>
      <w:r>
        <w:rPr>
          <w:rFonts w:ascii="Times New Roman" w:hAnsi="Times New Roman"/>
          <w:color w:val="000000"/>
          <w:sz w:val="20"/>
        </w:rPr>
        <w:t xml:space="preserve">” </w:t>
      </w:r>
      <w:r>
        <w:rPr>
          <w:rFonts w:ascii="Times New Roman" w:hAnsi="Times New Roman"/>
          <w:color w:val="000000"/>
          <w:sz w:val="22"/>
        </w:rPr>
        <w:t>has the meaning assigned to it under the definition of Term SOFR Reference Rate.</w:t>
      </w:r>
    </w:p>
    <w:p>
      <w:pPr>
        <w:pStyle w:val="TextBody"/>
        <w:bidi w:val="0"/>
        <w:spacing w:before="0" w:after="240"/>
        <w:jc w:val="both"/>
        <w:rPr/>
      </w:pPr>
      <w:r>
        <w:rPr>
          <w:color w:val="000000"/>
        </w:rPr>
        <w:t>“</w:t>
      </w:r>
      <w:r>
        <w:rPr>
          <w:rFonts w:ascii="Times New Roman" w:hAnsi="Times New Roman"/>
          <w:color w:val="000000"/>
          <w:sz w:val="22"/>
          <w:u w:val="single"/>
        </w:rPr>
        <w:t>Term SOFR Rate</w:t>
      </w:r>
      <w:r>
        <w:rPr>
          <w:rFonts w:ascii="Times New Roman" w:hAnsi="Times New Roman"/>
          <w:color w:val="000000"/>
          <w:sz w:val="20"/>
        </w:rPr>
        <w:t xml:space="preserve">” </w:t>
      </w:r>
      <w:r>
        <w:rPr>
          <w:rFonts w:ascii="Times New Roman" w:hAnsi="Times New Roman"/>
          <w:color w:val="000000"/>
          <w:sz w:val="22"/>
        </w:rPr>
        <w:t>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Term SOFR Reference Rate</w:t>
      </w:r>
      <w:r>
        <w:rPr>
          <w:rFonts w:ascii="Times New Roman" w:hAnsi="Times New Roman"/>
          <w:color w:val="000000"/>
          <w:sz w:val="20"/>
        </w:rPr>
        <w:t xml:space="preserve">” </w:t>
      </w:r>
      <w:r>
        <w:rPr>
          <w:rFonts w:ascii="Times New Roman" w:hAnsi="Times New Roman"/>
          <w:color w:val="000000"/>
          <w:sz w:val="22"/>
        </w:rPr>
        <w:t>means, for any day and time (such day, the “</w:t>
      </w:r>
      <w:r>
        <w:rPr>
          <w:rFonts w:ascii="Times New Roman" w:hAnsi="Times New Roman"/>
          <w:color w:val="000000"/>
          <w:sz w:val="22"/>
          <w:u w:val="single"/>
        </w:rPr>
        <w:t>Term SOFR Determination Day</w:t>
      </w:r>
      <w:r>
        <w:rPr>
          <w:rFonts w:ascii="Times New Roman" w:hAnsi="Times New Roman"/>
          <w:color w:val="000000"/>
          <w:sz w:val="20"/>
        </w:rPr>
        <w:t>”</w:t>
      </w:r>
      <w:r>
        <w:rPr>
          <w:rFonts w:ascii="Times New Roman" w:hAnsi="Times New Roman"/>
          <w:color w:val="000000"/>
          <w:sz w:val="22"/>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24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means the execution, delivery and performance by the Loan Parties of this Agreement and the other Loan Documents, the borrowing of Loans and other credit extensions, the use of proceeds thereof and the issuance of Letters of Credit hereunder.</w:t>
      </w:r>
    </w:p>
    <w:p>
      <w:pPr>
        <w:pStyle w:val="TextBody"/>
        <w:bidi w:val="0"/>
        <w:spacing w:before="0" w:after="240"/>
        <w:jc w:val="both"/>
        <w:rPr/>
      </w:pPr>
      <w:r>
        <w:rPr>
          <w:color w:val="000000"/>
        </w:rPr>
        <w:t>“</w:t>
      </w:r>
      <w:r>
        <w:rPr>
          <w:rFonts w:ascii="Times New Roman" w:hAnsi="Times New Roman"/>
          <w:color w:val="000000"/>
          <w:sz w:val="22"/>
          <w:u w:val="single"/>
        </w:rPr>
        <w:t>Type</w:t>
      </w:r>
      <w:r>
        <w:rPr>
          <w:rFonts w:ascii="Times New Roman" w:hAnsi="Times New Roman"/>
          <w:color w:val="000000"/>
          <w:sz w:val="20"/>
        </w:rPr>
        <w:t>”</w:t>
      </w:r>
      <w:r>
        <w:rPr>
          <w:rFonts w:ascii="Times New Roman" w:hAnsi="Times New Roman"/>
          <w:color w:val="000000"/>
          <w:sz w:val="22"/>
        </w:rPr>
        <w:t>, when used in reference to any Loan or Borrowing, refers to whether the rate of interest on such Loan, or on the Loans comprising such Borrowing, is determined by reference to the Adjusted Term SOFR Rate, the Adjusted EURIBO Rate, the Adjusted Term CORRA Rate, the Adjusted Daily Simple RFR, the Alternate Base Rate, the Canadian Prime Rate or the Central Bank Rate.</w:t>
      </w:r>
    </w:p>
    <w:p>
      <w:pPr>
        <w:pStyle w:val="TextBody"/>
        <w:bidi w:val="0"/>
        <w:spacing w:before="0" w:after="240"/>
        <w:jc w:val="both"/>
        <w:rPr/>
      </w:pPr>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2"/>
          <w:u w:val="single"/>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2"/>
          <w:u w:val="single"/>
        </w:rPr>
        <w:t>Unsecured Letter of Credit</w:t>
      </w:r>
      <w:r>
        <w:rPr>
          <w:rFonts w:ascii="Times New Roman" w:hAnsi="Times New Roman"/>
          <w:color w:val="000000"/>
          <w:sz w:val="20"/>
        </w:rPr>
        <w:t xml:space="preserve">” </w:t>
      </w:r>
      <w:r>
        <w:rPr>
          <w:rFonts w:ascii="Times New Roman" w:hAnsi="Times New Roman"/>
          <w:color w:val="000000"/>
          <w:sz w:val="22"/>
        </w:rPr>
        <w:t>means a Letter of Credit that is not a Secured Letter of Credit.</w:t>
      </w:r>
    </w:p>
    <w:p>
      <w:pPr>
        <w:pStyle w:val="TextBody"/>
        <w:bidi w:val="0"/>
        <w:spacing w:before="0" w:after="240"/>
        <w:jc w:val="both"/>
        <w:rPr/>
      </w:pPr>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 “United States person” within the meaning of Section 7701(a)(30) of the Code.</w:t>
      </w:r>
    </w:p>
    <w:p>
      <w:pPr>
        <w:pStyle w:val="TextBody"/>
        <w:bidi w:val="0"/>
        <w:spacing w:before="0" w:after="240"/>
        <w:jc w:val="both"/>
        <w:rPr/>
      </w:pPr>
      <w:r>
        <w:rPr>
          <w:color w:val="000000"/>
        </w:rPr>
        <w:t>“</w:t>
      </w:r>
      <w:r>
        <w:rPr>
          <w:rFonts w:ascii="Times New Roman" w:hAnsi="Times New Roman"/>
          <w:color w:val="000000"/>
          <w:sz w:val="22"/>
          <w:u w:val="single"/>
        </w:rPr>
        <w:t>U.S. Special Resolution Regime</w:t>
      </w:r>
      <w:r>
        <w:rPr>
          <w:rFonts w:ascii="Times New Roman" w:hAnsi="Times New Roman"/>
          <w:color w:val="000000"/>
          <w:sz w:val="20"/>
        </w:rPr>
        <w:t xml:space="preserve">” </w:t>
      </w:r>
      <w:r>
        <w:rPr>
          <w:rFonts w:ascii="Times New Roman" w:hAnsi="Times New Roman"/>
          <w:color w:val="000000"/>
          <w:sz w:val="22"/>
        </w:rPr>
        <w:t>has the meaning assigned to it in Section 9.18.</w:t>
      </w:r>
    </w:p>
    <w:p>
      <w:pPr>
        <w:pStyle w:val="TextBody"/>
        <w:bidi w:val="0"/>
        <w:spacing w:before="0" w:after="240"/>
        <w:jc w:val="both"/>
        <w:rPr/>
      </w:pPr>
      <w:r>
        <w:rPr>
          <w:color w:val="000000"/>
        </w:rPr>
        <w:t>“</w:t>
      </w:r>
      <w:r>
        <w:rPr>
          <w:rFonts w:ascii="Times New Roman" w:hAnsi="Times New Roman"/>
          <w:color w:val="000000"/>
          <w:sz w:val="22"/>
          <w:u w:val="single"/>
        </w:rPr>
        <w:t>U.S. Tax Compliance Certificate</w:t>
      </w:r>
      <w:r>
        <w:rPr>
          <w:rFonts w:ascii="Times New Roman" w:hAnsi="Times New Roman"/>
          <w:color w:val="000000"/>
          <w:sz w:val="20"/>
        </w:rPr>
        <w:t xml:space="preserve">” </w:t>
      </w:r>
      <w:r>
        <w:rPr>
          <w:rFonts w:ascii="Times New Roman" w:hAnsi="Times New Roman"/>
          <w:color w:val="000000"/>
          <w:sz w:val="22"/>
        </w:rPr>
        <w:t>has the meaning assigned to such term in Section 2.17(f)(ii)(B)(3).</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Withdrawal Liability</w:t>
      </w:r>
      <w:r>
        <w:rPr>
          <w:rFonts w:ascii="Times New Roman" w:hAnsi="Times New Roman"/>
          <w:color w:val="000000"/>
          <w:sz w:val="20"/>
        </w:rPr>
        <w:t xml:space="preserve">” </w:t>
      </w:r>
      <w:r>
        <w:rPr>
          <w:rFonts w:ascii="Times New Roman" w:hAnsi="Times New Roman"/>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1.02. </w:t>
      </w:r>
      <w:r>
        <w:rPr>
          <w:rFonts w:ascii="Times New Roman" w:hAnsi="Times New Roman"/>
          <w:b w:val="false"/>
          <w:color w:val="000000"/>
          <w:sz w:val="22"/>
          <w:u w:val="single"/>
        </w:rPr>
        <w:t>Classification of Loans and Borrowings</w:t>
      </w:r>
      <w:r>
        <w:rPr>
          <w:rFonts w:ascii="Times New Roman" w:hAnsi="Times New Roman"/>
          <w:b w:val="false"/>
          <w:color w:val="000000"/>
          <w:sz w:val="22"/>
        </w:rPr>
        <w:t>. For purposes of this Agreement, Loans may be classified and referred to by Class (</w:t>
      </w:r>
      <w:r>
        <w:rPr>
          <w:rFonts w:ascii="Times New Roman" w:hAnsi="Times New Roman"/>
          <w:b w:val="false"/>
          <w:color w:val="000000"/>
          <w:sz w:val="22"/>
          <w:u w:val="single"/>
        </w:rPr>
        <w:t>e.g.</w:t>
      </w:r>
      <w:r>
        <w:rPr>
          <w:rFonts w:ascii="Times New Roman" w:hAnsi="Times New Roman"/>
          <w:b w:val="false"/>
          <w:color w:val="000000"/>
          <w:sz w:val="22"/>
        </w:rPr>
        <w:t>, a “</w:t>
      </w:r>
      <w:r>
        <w:rPr>
          <w:rFonts w:ascii="Times New Roman" w:hAnsi="Times New Roman"/>
          <w:b w:val="false"/>
          <w:color w:val="000000"/>
          <w:sz w:val="22"/>
          <w:u w:val="single"/>
        </w:rPr>
        <w:t>Revolving Loan</w:t>
      </w:r>
      <w:r>
        <w:rPr>
          <w:rFonts w:ascii="Times New Roman" w:hAnsi="Times New Roman"/>
          <w:color w:val="000000"/>
          <w:sz w:val="20"/>
        </w:rPr>
        <w:t>”</w:t>
      </w:r>
      <w:r>
        <w:rPr>
          <w:rFonts w:ascii="Times New Roman" w:hAnsi="Times New Roman"/>
          <w:b w:val="false"/>
          <w:color w:val="000000"/>
          <w:sz w:val="22"/>
        </w:rPr>
        <w:t>) or by Type (</w:t>
      </w:r>
      <w:r>
        <w:rPr>
          <w:rFonts w:ascii="Times New Roman" w:hAnsi="Times New Roman"/>
          <w:b w:val="false"/>
          <w:color w:val="000000"/>
          <w:sz w:val="22"/>
          <w:u w:val="single"/>
        </w:rPr>
        <w:t>e.g</w:t>
      </w:r>
      <w:r>
        <w:rPr>
          <w:rFonts w:ascii="Times New Roman" w:hAnsi="Times New Roman"/>
          <w:b w:val="false"/>
          <w:color w:val="000000"/>
          <w:sz w:val="22"/>
        </w:rPr>
        <w:t>., a “</w:t>
      </w:r>
      <w:r>
        <w:rPr>
          <w:rFonts w:ascii="Times New Roman" w:hAnsi="Times New Roman"/>
          <w:b w:val="false"/>
          <w:color w:val="000000"/>
          <w:sz w:val="22"/>
          <w:u w:val="single"/>
        </w:rPr>
        <w:t>Term Benchmark Loan</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b w:val="false"/>
          <w:color w:val="000000"/>
          <w:sz w:val="22"/>
          <w:u w:val="single"/>
        </w:rPr>
        <w:t>RFR Loan</w:t>
      </w:r>
      <w:r>
        <w:rPr>
          <w:rFonts w:ascii="Times New Roman" w:hAnsi="Times New Roman"/>
          <w:color w:val="000000"/>
          <w:sz w:val="20"/>
        </w:rPr>
        <w:t>”</w:t>
      </w:r>
      <w:r>
        <w:rPr>
          <w:rFonts w:ascii="Times New Roman" w:hAnsi="Times New Roman"/>
          <w:b w:val="false"/>
          <w:color w:val="000000"/>
          <w:sz w:val="22"/>
        </w:rPr>
        <w:t>) or by Class and Type (</w:t>
      </w:r>
      <w:r>
        <w:rPr>
          <w:rFonts w:ascii="Times New Roman" w:hAnsi="Times New Roman"/>
          <w:b w:val="false"/>
          <w:color w:val="000000"/>
          <w:sz w:val="22"/>
          <w:u w:val="single"/>
        </w:rPr>
        <w:t>e.g</w:t>
      </w:r>
      <w:r>
        <w:rPr>
          <w:rFonts w:ascii="Times New Roman" w:hAnsi="Times New Roman"/>
          <w:b w:val="false"/>
          <w:color w:val="000000"/>
          <w:sz w:val="22"/>
        </w:rPr>
        <w:t>., a “</w:t>
      </w:r>
      <w:r>
        <w:rPr>
          <w:rFonts w:ascii="Times New Roman" w:hAnsi="Times New Roman"/>
          <w:b w:val="false"/>
          <w:color w:val="000000"/>
          <w:sz w:val="22"/>
          <w:u w:val="single"/>
        </w:rPr>
        <w:t>Term Benchmark Revolving Loan</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b w:val="false"/>
          <w:color w:val="000000"/>
          <w:sz w:val="22"/>
          <w:u w:val="single"/>
        </w:rPr>
        <w:t>RFR Revolving Loan</w:t>
      </w:r>
      <w:r>
        <w:rPr>
          <w:rFonts w:ascii="Times New Roman" w:hAnsi="Times New Roman"/>
          <w:color w:val="000000"/>
          <w:sz w:val="20"/>
        </w:rPr>
        <w:t>”</w:t>
      </w:r>
      <w:r>
        <w:rPr>
          <w:rFonts w:ascii="Times New Roman" w:hAnsi="Times New Roman"/>
          <w:b w:val="false"/>
          <w:color w:val="000000"/>
          <w:sz w:val="22"/>
        </w:rPr>
        <w:t>). Borrowings also may be classified and referred to by Class (</w:t>
      </w:r>
      <w:r>
        <w:rPr>
          <w:rFonts w:ascii="Times New Roman" w:hAnsi="Times New Roman"/>
          <w:b w:val="false"/>
          <w:color w:val="000000"/>
          <w:sz w:val="22"/>
          <w:u w:val="single"/>
        </w:rPr>
        <w:t>e.g</w:t>
      </w:r>
      <w:r>
        <w:rPr>
          <w:rFonts w:ascii="Times New Roman" w:hAnsi="Times New Roman"/>
          <w:b w:val="false"/>
          <w:color w:val="000000"/>
          <w:sz w:val="22"/>
        </w:rPr>
        <w:t>., a “</w:t>
      </w:r>
      <w:r>
        <w:rPr>
          <w:rFonts w:ascii="Times New Roman" w:hAnsi="Times New Roman"/>
          <w:b w:val="false"/>
          <w:color w:val="000000"/>
          <w:sz w:val="22"/>
          <w:u w:val="single"/>
        </w:rPr>
        <w:t>Revolving Borrowing</w:t>
      </w:r>
      <w:r>
        <w:rPr>
          <w:rFonts w:ascii="Times New Roman" w:hAnsi="Times New Roman"/>
          <w:color w:val="000000"/>
          <w:sz w:val="20"/>
        </w:rPr>
        <w:t>”</w:t>
      </w:r>
      <w:r>
        <w:rPr>
          <w:rFonts w:ascii="Times New Roman" w:hAnsi="Times New Roman"/>
          <w:b w:val="false"/>
          <w:color w:val="000000"/>
          <w:sz w:val="22"/>
        </w:rPr>
        <w:t>) or by Type (</w:t>
      </w:r>
      <w:r>
        <w:rPr>
          <w:rFonts w:ascii="Times New Roman" w:hAnsi="Times New Roman"/>
          <w:b w:val="false"/>
          <w:color w:val="000000"/>
          <w:sz w:val="22"/>
          <w:u w:val="single"/>
        </w:rPr>
        <w:t>e.g</w:t>
      </w:r>
      <w:r>
        <w:rPr>
          <w:rFonts w:ascii="Times New Roman" w:hAnsi="Times New Roman"/>
          <w:b w:val="false"/>
          <w:color w:val="000000"/>
          <w:sz w:val="22"/>
        </w:rPr>
        <w:t>., a “</w:t>
      </w:r>
      <w:r>
        <w:rPr>
          <w:rFonts w:ascii="Times New Roman" w:hAnsi="Times New Roman"/>
          <w:b w:val="false"/>
          <w:color w:val="000000"/>
          <w:sz w:val="22"/>
          <w:u w:val="single"/>
        </w:rPr>
        <w:t>Term Benchmark Borrowing</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b w:val="false"/>
          <w:color w:val="000000"/>
          <w:sz w:val="22"/>
          <w:u w:val="single"/>
        </w:rPr>
        <w:t>RFR Borrowing</w:t>
      </w:r>
      <w:r>
        <w:rPr>
          <w:rFonts w:ascii="Times New Roman" w:hAnsi="Times New Roman"/>
          <w:color w:val="000000"/>
          <w:sz w:val="20"/>
        </w:rPr>
        <w:t>”</w:t>
      </w:r>
      <w:r>
        <w:rPr>
          <w:rFonts w:ascii="Times New Roman" w:hAnsi="Times New Roman"/>
          <w:b w:val="false"/>
          <w:color w:val="000000"/>
          <w:sz w:val="22"/>
        </w:rPr>
        <w:t>) or by Class and Type (</w:t>
      </w:r>
      <w:r>
        <w:rPr>
          <w:rFonts w:ascii="Times New Roman" w:hAnsi="Times New Roman"/>
          <w:b w:val="false"/>
          <w:color w:val="000000"/>
          <w:sz w:val="22"/>
          <w:u w:val="single"/>
        </w:rPr>
        <w:t>e.g</w:t>
      </w:r>
      <w:r>
        <w:rPr>
          <w:rFonts w:ascii="Times New Roman" w:hAnsi="Times New Roman"/>
          <w:b w:val="false"/>
          <w:color w:val="000000"/>
          <w:sz w:val="22"/>
        </w:rPr>
        <w:t>., a “</w:t>
      </w:r>
      <w:r>
        <w:rPr>
          <w:rFonts w:ascii="Times New Roman" w:hAnsi="Times New Roman"/>
          <w:b w:val="false"/>
          <w:color w:val="000000"/>
          <w:sz w:val="22"/>
          <w:u w:val="single"/>
        </w:rPr>
        <w:t>Term Benchmark Revolving Borrowing</w:t>
      </w:r>
      <w:r>
        <w:rPr>
          <w:rFonts w:ascii="Times New Roman" w:hAnsi="Times New Roman"/>
          <w:color w:val="000000"/>
          <w:sz w:val="20"/>
        </w:rPr>
        <w:t xml:space="preserve">” </w:t>
      </w:r>
      <w:r>
        <w:rPr>
          <w:rFonts w:ascii="Times New Roman" w:hAnsi="Times New Roman"/>
          <w:b w:val="false"/>
          <w:color w:val="000000"/>
          <w:sz w:val="22"/>
        </w:rPr>
        <w:t>or an “</w:t>
      </w:r>
      <w:r>
        <w:rPr>
          <w:rFonts w:ascii="Times New Roman" w:hAnsi="Times New Roman"/>
          <w:b w:val="false"/>
          <w:color w:val="000000"/>
          <w:sz w:val="22"/>
          <w:u w:val="single"/>
        </w:rPr>
        <w:t>RFR Revolving Borrowing</w:t>
      </w:r>
      <w:r>
        <w:rPr>
          <w:rFonts w:ascii="Times New Roman" w:hAnsi="Times New Roman"/>
          <w:color w:val="000000"/>
          <w:sz w:val="20"/>
        </w:rPr>
        <w:t>”</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1.03. </w:t>
      </w:r>
      <w:r>
        <w:rPr>
          <w:rFonts w:ascii="Times New Roman" w:hAnsi="Times New Roman"/>
          <w:b w:val="false"/>
          <w:color w:val="000000"/>
          <w:sz w:val="22"/>
          <w:u w:val="single"/>
        </w:rPr>
        <w:t>Terms Generally</w:t>
      </w:r>
      <w:r>
        <w:rPr>
          <w:rFonts w:ascii="Times New Roman" w:hAnsi="Times New Roman"/>
          <w:b w:val="false"/>
          <w:color w:val="000000"/>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1.04. </w:t>
      </w:r>
      <w:r>
        <w:rPr>
          <w:rFonts w:ascii="Times New Roman" w:hAnsi="Times New Roman"/>
          <w:b w:val="false"/>
          <w:color w:val="000000"/>
          <w:sz w:val="22"/>
          <w:u w:val="single"/>
        </w:rPr>
        <w:t>Accounting Terms; GAAP; Pro Forma Calculations</w:t>
      </w:r>
      <w:r>
        <w:rPr>
          <w:rFonts w:ascii="Times New Roman" w:hAnsi="Times New Roman"/>
          <w:b w:val="false"/>
          <w:color w:val="000000"/>
          <w:sz w:val="22"/>
        </w:rPr>
        <w:t xml:space="preserve">. (a) Except as otherwise expressly provided herein, all terms of an accounting or financial nature shall be construed in accordance with GAAP, as in effect from time to time;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before="0" w:after="240"/>
        <w:jc w:val="both"/>
        <w:rPr>
          <w:rFonts w:ascii="Times New Roman" w:hAnsi="Times New Roman"/>
          <w:sz w:val="20"/>
        </w:rPr>
      </w:pPr>
      <w:r>
        <w:rPr>
          <w:rFonts w:ascii="Times New Roman" w:hAnsi="Times New Roman"/>
          <w:color w:val="000000"/>
          <w:sz w:val="22"/>
        </w:rPr>
        <w:t>(b) All pro forma computations required to be made hereunder giving effect to any Acquisition or disposition</w:t>
      </w:r>
      <w:r>
        <w:rPr>
          <w:rFonts w:ascii="Times New Roman" w:hAnsi="Times New Roman"/>
          <w:color w:val="002060"/>
          <w:sz w:val="22"/>
        </w:rPr>
        <w:t xml:space="preserve">, </w:t>
      </w:r>
      <w:r>
        <w:rPr>
          <w:rFonts w:ascii="Times New Roman" w:hAnsi="Times New Roman"/>
          <w:color w:val="000000"/>
          <w:sz w:val="22"/>
        </w:rPr>
        <w:t>or issuance, incurrence or assumption of Indebtedness, or other transaction shall in each case be calculated giving pro forma effect thereto (and, in the case of any pro forma computation made hereunder to determine whether such Acquisition, disposition,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w:t>
      </w:r>
      <w:r>
        <w:rPr>
          <w:rFonts w:ascii="Times New Roman" w:hAnsi="Times New Roman"/>
          <w:color w:val="002060"/>
          <w:sz w:val="20"/>
        </w:rPr>
        <w:t xml:space="preserve"> </w:t>
      </w:r>
      <w:r>
        <w:rPr>
          <w:rFonts w:ascii="Times New Roman" w:hAnsi="Times New Roman"/>
          <w:color w:val="000000"/>
          <w:sz w:val="22"/>
        </w:rPr>
        <w:t>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including: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all Indebtedness (whether under this Agreement or otherwise) and any other balance sheet adjustments incurred or made in connection with such Acquisition, if any, which shall be deemed to have been incurred or made on the first day of such period, and all Indebtedness of the Person to be acquired in such Acquisition which was repaid concurrently with the consummation of such Acquisition, if any, which shall be deemed to have been repaid on the first day of such period concurrently with the deemed incurrence of the Indebtedness, if any, incurred in connection with such Acquisition;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the foregoing, any of the determinations made pursuant to this Section 1.04(b) shall be made subject to the limitations set forth in the definition of Consolidated EBITDA.</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1.05. </w:t>
      </w:r>
      <w:r>
        <w:rPr>
          <w:rFonts w:ascii="Times New Roman" w:hAnsi="Times New Roman"/>
          <w:b w:val="false"/>
          <w:color w:val="000000"/>
          <w:sz w:val="22"/>
          <w:u w:val="single"/>
        </w:rPr>
        <w:t>Status of Obligations</w:t>
      </w:r>
      <w:r>
        <w:rPr>
          <w:rFonts w:ascii="Times New Roman" w:hAnsi="Times New Roman"/>
          <w:b w:val="false"/>
          <w:color w:val="000000"/>
          <w:sz w:val="22"/>
        </w:rPr>
        <w:t>. In the event that the Company or any other Loan Party shall at any time issue or have outstanding any Subordinated Indebtedness, the Company shall take or cause such other Loan Party to take all such actions as shall be necessary to cause the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Obligations are hereby designated as “senior indebtedness” and as “designated senior indebtedness” and words of similar import under and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1.06. </w:t>
      </w:r>
      <w:r>
        <w:rPr>
          <w:rFonts w:ascii="Times New Roman" w:hAnsi="Times New Roman"/>
          <w:b w:val="false"/>
          <w:color w:val="000000"/>
          <w:sz w:val="22"/>
          <w:u w:val="single"/>
        </w:rPr>
        <w:t>Amendment and Restatement of the Existing Credit Agreement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parties to this Agreement agree that, on the Effective Date, the terms and provisions of the Existing Credit Agreement shall be and hereby are amended, superseded and restated in their entirety by the terms and provisions of this Agreement. This Agreement is not intended to be, and shall not constitute, a novation. All Revolving Loans made, and Obligations incurred, under the Existing Credit Agreement which are outstanding on the Effective Date shall continue as Revolving Loans and Obligations, respectively, under (and shall be governed by the terms of) this Agreement and the other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Without limiting the foregoing, upon the effectiveness of the amendment and restatement contemplated hereby on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all references in the “Loan Documents” (as defined in the Existing Credit Agreement) to the “Administrative Agent”, the “Credit Agreement” and the “Loan Documents” shall be deemed to refer to the Administrative Agent, this Agreement and the Loan Documents;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 xml:space="preserve">the “Revolving Commitments” (as defined in the Existing Credit Agreement) shall be redesignated as Revolving Commitments hereunder as set forth on </w:t>
      </w:r>
      <w:r>
        <w:rPr>
          <w:rFonts w:ascii="Times New Roman" w:hAnsi="Times New Roman"/>
          <w:color w:val="000000"/>
          <w:sz w:val="22"/>
          <w:u w:val="single"/>
        </w:rPr>
        <w:t>Schedule 2.01</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Administrative Agent shall make such reallocations, sales, assignments or other relevant actions in respect of, in the case of a “Revolving Lender”, it’s “Revolving Commitments” and “Revolving Credit Exposure” (each as defined in and in effect under the Existing Credit Agreement) as are necessary in order that each such Lender’s Revolving Credit Exposure hereunder reflects such Lender’s Applicable Percentage thereof on the Effective Date, and the Company and each Lender that was a Lender under the Existing Credit Agreement (constituting the “Required Lenders” under and as defined therein) hereby agrees (with effect immediately prior to the Effective Date) that (x) such reallocation, sales and assignments shall be deemed to have been effected by way of, and subject to the terms and conditions of, Assignment and Assumptions, without the payment of any related assignment fee, and, except for promissory notes requested by a Lender in accordance with the terms hereof, no other documents or instruments shall be, or shall be required to be, executed in connection with such assignments (all of which are hereby waived), (y) such reallocation shall satisfy the assignment provisions of Section 9.02(d)(i) of the Existing Credit Agreement and (z) in connection with such reallocation, the Borrowers shall pay all interest and fees on the outstanding Loans accrued to the date hereof to the Administrative Agent for the account of the Lenders party hereto other than “breakage” costs waived pursuant to Section 1.06(v)(y) below;</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each Lender who was a Lender under the Existing Credit Agreement hereby agrees to waive (x) any requirement under the Existing Credit Agreement for prior notice of any termination or reduction of Commitments under (and as defined in) the Existing Credit Agreement or prepayment of Loans outstanding under (and as defined in) the Existing Credit Agreement, in each case, to the extent required, to be made on the Effective Date as provided herein and (y) all losses, costs and expenses incurred by such Lender under Section 2.16 hereof in connection with the sale and assignment of any Term Benchmark Loans (as defined in this Agreement as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Effective Date) (including the “Term Benchmark Loans” under the Existing Credit Agreement) and such reallocation described in this Section 1.06.</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1.07. </w:t>
      </w:r>
      <w:r>
        <w:rPr>
          <w:rFonts w:ascii="Times New Roman" w:hAnsi="Times New Roman"/>
          <w:b w:val="false"/>
          <w:color w:val="000000"/>
          <w:sz w:val="22"/>
          <w:u w:val="single"/>
        </w:rPr>
        <w:t>Interest Rates; Benchmark Notification</w:t>
      </w:r>
      <w:r>
        <w:rPr>
          <w:rFonts w:ascii="Times New Roman" w:hAnsi="Times New Roman"/>
          <w:b w:val="false"/>
          <w:color w:val="000000"/>
          <w:sz w:val="22"/>
        </w:rPr>
        <w:t>. The interest rate on a Loan denominated in Dollars or a Foreign Currency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except, solely with respect to the administration of such rate by the Administrative Agent, to the extent of direct and actual damages as are determined by a court of competent jurisdiction to have resulted from the Administrative Agent’s gross negligence or willful misconduct in its administration of such rate.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1.08. </w:t>
      </w:r>
      <w:r>
        <w:rPr>
          <w:rFonts w:ascii="Times New Roman" w:hAnsi="Times New Roman"/>
          <w:b w:val="false"/>
          <w:color w:val="000000"/>
          <w:sz w:val="22"/>
          <w:u w:val="single"/>
        </w:rPr>
        <w:t>Divisions</w:t>
      </w:r>
      <w:r>
        <w:rPr>
          <w:rFonts w:ascii="Times New Roman" w:hAnsi="Times New Roman"/>
          <w:b w:val="false"/>
          <w:color w:val="000000"/>
          <w:sz w:val="22"/>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1.09. </w:t>
      </w:r>
      <w:r>
        <w:rPr>
          <w:rFonts w:ascii="Times New Roman" w:hAnsi="Times New Roman"/>
          <w:b w:val="false"/>
          <w:color w:val="000000"/>
          <w:sz w:val="22"/>
          <w:u w:val="single"/>
        </w:rPr>
        <w:t>Letter of Credit Amounts</w:t>
      </w:r>
      <w:r>
        <w:rPr>
          <w:rFonts w:ascii="Times New Roman" w:hAnsi="Times New Roman"/>
          <w:b w:val="false"/>
          <w:color w:val="000000"/>
          <w:sz w:val="22"/>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1.10. </w:t>
      </w:r>
      <w:r>
        <w:rPr>
          <w:rFonts w:ascii="Times New Roman" w:hAnsi="Times New Roman"/>
          <w:b w:val="false"/>
          <w:color w:val="000000"/>
          <w:sz w:val="22"/>
          <w:u w:val="single"/>
        </w:rPr>
        <w:t>Exchange Rates; Currency Equivalents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Administrative Agent or the relevant Issuing Bank, as applicable, shall calculate the Dollar Amount of Term Benchmark Borrowings, RFR Borrowings or Letters of Credit denominated in Foreign Currencies. Such Dollar Amount shall become effective as of such Computation Date and shall be the Dollar Amount of such amounts until the next Computation Date to occur. Except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financial statements and other financial information delivered by the Company hereunder or calculating financial covenants hereunder or except as otherwise provided herein, the applicable amount of any Agreed Currency (other than Dollars) for purposes of the Loan Documents shall be such Dollar Amount as so calculated by the Administrative Agent or the relevant Issuing Bank, as applicable.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reasonably determined by the Administrative Agent or the relevant Issuing Bank, as the case may be.</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II</w:t>
      </w:r>
      <w:r>
        <w:rPr>
          <w:rFonts w:ascii="Times New Roman" w:hAnsi="Times New Roman"/>
          <w:b w:val="false"/>
          <w:color w:val="000000"/>
          <w:sz w:val="22"/>
          <w:u w:val="single"/>
        </w:rPr>
        <w:br/>
        <w:br/>
        <w:t>The Credits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2.01. </w:t>
      </w:r>
      <w:r>
        <w:rPr>
          <w:rFonts w:ascii="Times New Roman" w:hAnsi="Times New Roman"/>
          <w:b w:val="false"/>
          <w:color w:val="000000"/>
          <w:sz w:val="22"/>
          <w:u w:val="single"/>
        </w:rPr>
        <w:t>Commitments</w:t>
      </w:r>
      <w:r>
        <w:rPr>
          <w:rFonts w:ascii="Times New Roman" w:hAnsi="Times New Roman"/>
          <w:b w:val="false"/>
          <w:color w:val="000000"/>
          <w:sz w:val="22"/>
        </w:rPr>
        <w:t>. Subject to the terms and conditions set forth herein, (a) each Revolving Lender (severally and not jointly) agrees to make Revolving Loans to the Borrowers in Agreed Currencies from time to time during the Availability Period in an aggregate principal amount that will not result in, subject to Sections 2.04 and 2.11(b), (i) the Dollar Amount of such Lender’s Revolving Credit Exposure exceeding such Lender’s Revolving Commitment or (ii) the sum of the Dollar Amount of the total Revolving Credit Exposures exceeding the aggregate Revolving Commitments, (b) each Term A-1 Lender with a Term A-1 Loan Commitment (severally and not jointly) agrees to make a Term A-1 Loan to the Company in Dollars on the Effective Date, in an amount equal to such Lender’s Term A-1 Loan Commitment by making immediately available funds available to the Administrative Agent’s designated account, not later than the time specified by the Administrative Agent and (c) each Term A-2 Lender with a Term A-2 Loan Commitment (severally and not jointly) agrees to make a Term A-2 Loan to the Company in Dollars on the Effective Date, in an amount equal to such Lender’s Term A-2 Loan Commitment by making immediately available funds available to the Administrative Agent’s designated account, not later than the time specified by the Administrative Agent. Within the foregoing limits and subject to the terms and conditions set forth herein, the Borrowers may borrow, prepay and reborrow Revolving Loans. Amounts repaid or prepaid in respect of Term Loans may not be reborrowed.</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2.02. </w:t>
      </w:r>
      <w:r>
        <w:rPr>
          <w:rFonts w:ascii="Times New Roman" w:hAnsi="Times New Roman"/>
          <w:b w:val="false"/>
          <w:color w:val="000000"/>
          <w:sz w:val="22"/>
          <w:u w:val="single"/>
        </w:rPr>
        <w:t>Loans and Borrowings</w:t>
      </w:r>
      <w:r>
        <w:rPr>
          <w:rFonts w:ascii="Times New Roman" w:hAnsi="Times New Roman"/>
          <w:b w:val="false"/>
          <w:color w:val="000000"/>
          <w:sz w:val="22"/>
        </w:rPr>
        <w:t xml:space="preserve">. (a) Each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the Commitments of the Lenders are several and no Lender shall be responsible for any other Lender’s failure to make Loans as required. The Term Loans shall amortize as set forth in Section 2.10.</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Subject to Section 2.14, each Revolving Borrowing and Term Loan Borrowing shall be comprised (i) in the case of Borrowings in Dollars, entirely of ABR Loans or Term Benchmark Loans (or, subject to the final paragraph of Section 2.03, RFR Loans) and (ii) in the case of Borrowings in any other Agreed Currency, entirely of Term Benchmark Loans or RFR Loans, as applicable, in each case of the same Agreed Currency, as the relevant Borrower may request in accordance herewith;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each ABR Loan shall only be made in Dollars.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exercise of such option shall not affect the obligation of the relevant Borrower to repay such Loan in accordance with the terms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At the commencement of each Interest Period for any Term Benchmark Borrowing, such Borrowing shall be in an aggregate amount that is an integral multiple of $1,000,000 (or, if such Borrowing is denominated in a Foreign Currency, 1,000,000 units of such currency) and not less than $1,000,000 (or, if such Borrowing is denominated in a Foreign Currency, 1,000,000 units of such currency). At the time that each ABR Borrowing and/or RFR Borrowing is made, such Borrowing shall be in an aggregate Dollar Amount that is an integral multiple of $500,000 and not less than $1,000,000;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an ABR Revolving Borrowing may be in an aggregate amount that is equal to the entire unused balance of the aggregate Revolving Commitments or that is required to finance the reimbursement of an LC Disbursement as contemplated by Section 2.06(e). Borrowings of more than one Type and Class may be outstanding at the same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there shall not at any time be more than a total of twelve (12) Term Benchmark Borrowings or RFR Borrowings outstanding.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Notwithstanding any other provision of this Agreement, no Borrower shall be entitled to request, or to elect to convert or continue, any Borrowing if the Interest Period requested with respect thereto would end after the applicable Maturity Date.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2.03. </w:t>
      </w:r>
      <w:r>
        <w:rPr>
          <w:rFonts w:ascii="Times New Roman" w:hAnsi="Times New Roman"/>
          <w:b w:val="false"/>
          <w:color w:val="000000"/>
          <w:sz w:val="22"/>
          <w:u w:val="single"/>
        </w:rPr>
        <w:t>Requests for Borrowings</w:t>
      </w:r>
      <w:r>
        <w:rPr>
          <w:rFonts w:ascii="Times New Roman" w:hAnsi="Times New Roman"/>
          <w:b w:val="false"/>
          <w:color w:val="000000"/>
          <w:sz w:val="22"/>
        </w:rPr>
        <w:t xml:space="preserve">. To request a Borrowing, the applicable Borrower, or the Company on behalf of the applicable Borrower, shall notify the Administrative Agent of such request (a) (i) in the case of a Term Benchmark Borrowing denominated in Dollars, not later than 11:00 a.m., New York City time, three (3) U.S. Government Securities Business Days before the date of the proposed Borrowing, (ii) in the case of a Term Benchmark Borrowing denominated in euro or Canadian Dollars, not later than 11:00 a.m., New York City time, four (4) Business Days before the date of the proposed Borrowing, (iii) in the case of an RFR Borrowing denominated in Pounds Sterling, not later than 11:00 a.m., New York City time, five (5) RFR Business Days before the date of the proposed Borrowing, (iv) in the case of an RFR Borrowing denominated in Dollars, not later than 11:00 a.m., New York City time, five (5) RFR Business Days before the date of the proposed Borrowing and (v) in the case of an RFR Borrowing denominated in Canadian Dollars, not later than 12:00 noon, New York City time, five (5) RFR Business Days before the date of the proposed Borrowing or (b) in the case of an ABR Borrowing, not later than 12:00 noon, New York City time, on the date of the proposed Borrowing. Each such Borrowing Request shall be irrevocable (unless the Company revokes such Borrowing Request in writing to the Administrative Agent prior to the time that the Administrative Agent shall advise the Lenders of such Borrowing Request pursuant to the terms of this Section 2.03) and shall be signed by a Responsible Officer of the applicable Borrower, or the Company on behalf of the applicable Borrower;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if such Borrowing Request is submitted through an Approved Borrower Portal, the foregoing signature requirement may be waived at the sole discretion of the Administrative Agent. Each such Borrowing Request shall specify the following information in compliance with Section 2.02:</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name of the applicable Borrower;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the Agreed Currency and aggregate principal amount of the requested Borrowing;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date of such Borrowing, which shall be a Business Day;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whether such Borrowing is to be an ABR Borrowing, a Term Benchmark Borrowing or an RFR Borrowing and whether such Borrowing is a Revolving Borrowing, a Term A-1 Loan Borrowing or a Term A-2 Loan Borrowing;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in the case of a Term Benchmark Borrowing, the initial Interest Period to be applicable thereto, which shall be a period contemplated by the definition of the term “Interest Period”;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 </w:t>
      </w:r>
      <w:r>
        <w:rPr>
          <w:rFonts w:ascii="Times New Roman" w:hAnsi="Times New Roman"/>
          <w:color w:val="000000"/>
          <w:sz w:val="22"/>
        </w:rPr>
        <w:t>the location and number of the applicable Borrower’s account to which funds are to be disbursed, which shall comply with the requirements of Section 2.07.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Borrowing Requests submitted pursuant to this Section 2.03 may be delivered via email.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no election as to the currency of a Borrowing is specified, then the requested Borrowing shall be made in Dollars. If no election as to the Type of Borrowing is specified, then, in the case of a Borrowing denominated in Dollars, the requested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in no event shall any Borrower be permitted to request pursuant to this Section 2.03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and the Canadian Prime Rate), 2.14(a) and 2.14(f), as applicable).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2.04. </w:t>
      </w:r>
      <w:r>
        <w:rPr>
          <w:rFonts w:ascii="Times New Roman" w:hAnsi="Times New Roman"/>
          <w:b w:val="false"/>
          <w:color w:val="000000"/>
          <w:sz w:val="22"/>
          <w:u w:val="single"/>
        </w:rPr>
        <w:t>Determination of Dollar Amounts</w:t>
      </w:r>
      <w:r>
        <w:rPr>
          <w:rFonts w:ascii="Times New Roman" w:hAnsi="Times New Roman"/>
          <w:b w:val="false"/>
          <w:color w:val="000000"/>
          <w:sz w:val="22"/>
        </w:rPr>
        <w:t>. The Administrative Agent will determine the Dollar Amount 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any Loan denominated in a Foreign Currency, on each of the following: (i) the date of the Borrowing of such Loan and (ii) (A) with respect to a Term Benchmark Loan, each date of a conversion or continuation of such Loan pursuant to the terms of this Agreement and (B) with respect to an RFR Loan, each date that is on the numerically corresponding day in each calendar month that is one month after the Borrowing of such Loan (or, if there is no such numerically corresponding day in such month, then the last day of such month),</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any Letter of Credit denominated in a Foreign Currency, on each of the following: (i) the date on which such Letter of Credit is issued, (ii) the first Business Day of each calendar quarter and (iii) the date of any amendment of such Letter of Credit that has the effect of increasing the face amount thereof,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any Credit Event, on any additional date as the Administrative Agent may determine at any time when an Event of Default exists.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2.05. </w:t>
      </w:r>
      <w:r>
        <w:rPr>
          <w:rFonts w:ascii="Times New Roman" w:hAnsi="Times New Roman"/>
          <w:b w:val="false"/>
          <w:color w:val="000000"/>
          <w:sz w:val="22"/>
        </w:rPr>
        <w:t>[</w:t>
      </w:r>
      <w:r>
        <w:rPr>
          <w:rFonts w:ascii="Times New Roman" w:hAnsi="Times New Roman"/>
          <w:b w:val="false"/>
          <w:color w:val="000000"/>
          <w:sz w:val="22"/>
          <w:u w:val="single"/>
        </w:rPr>
        <w:t>Intentionally Omitted</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2.06. </w:t>
      </w:r>
      <w:r>
        <w:rPr>
          <w:rFonts w:ascii="Times New Roman" w:hAnsi="Times New Roman"/>
          <w:b w:val="false"/>
          <w:color w:val="000000"/>
          <w:sz w:val="22"/>
          <w:u w:val="single"/>
        </w:rPr>
        <w:t>Letters of Credit</w:t>
      </w:r>
      <w:r>
        <w:rPr>
          <w:rFonts w:ascii="Times New Roman" w:hAnsi="Times New Roman"/>
          <w:b w:val="false"/>
          <w:color w:val="000000"/>
          <w:sz w:val="22"/>
        </w:rPr>
        <w:t xml:space="preserve">. (a) </w:t>
      </w:r>
      <w:r>
        <w:rPr>
          <w:rFonts w:ascii="Times New Roman" w:hAnsi="Times New Roman"/>
          <w:b w:val="false"/>
          <w:color w:val="000000"/>
          <w:sz w:val="22"/>
          <w:u w:val="single"/>
        </w:rPr>
        <w:t>General</w:t>
      </w:r>
      <w:r>
        <w:rPr>
          <w:rFonts w:ascii="Times New Roman" w:hAnsi="Times New Roman"/>
          <w:b w:val="false"/>
          <w:color w:val="000000"/>
          <w:sz w:val="22"/>
        </w:rPr>
        <w:t xml:space="preserve">. Subject to the terms and conditions set forth herein, the Company may request the issuance of Letters of Credit denominated in Agreed Currencies as the applicant thereof for the support of its or its Subsidiaries’ obligations, in a form reasonably acceptable to the Administrative Agent and the relevant Issuing Bank, at any time and from time to time during the Availability Period;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there shall not at any time be more than a total of 20 Letters of Credit outstanding. In the event of any conflict between the terms and conditions of this Agreement and the terms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and conditions of any form of letter of credit application or other agreement submitted by the Company to, or entered into by the Company with, the relevant Issuing Bank relating to any Letter of Credit, the terms and conditions of this Agreement shall control. The letters of credit identified on </w:t>
      </w:r>
      <w:r>
        <w:rPr>
          <w:rFonts w:ascii="Times New Roman" w:hAnsi="Times New Roman"/>
          <w:b w:val="false"/>
          <w:color w:val="000000"/>
          <w:sz w:val="22"/>
          <w:u w:val="single"/>
        </w:rPr>
        <w:t>Schedule 2.06</w:t>
      </w:r>
      <w:r>
        <w:rPr>
          <w:rFonts w:ascii="Times New Roman" w:hAnsi="Times New Roman"/>
          <w:color w:val="000000"/>
          <w:sz w:val="20"/>
        </w:rPr>
        <w:t xml:space="preserve"> </w:t>
      </w:r>
      <w:r>
        <w:rPr>
          <w:rFonts w:ascii="Times New Roman" w:hAnsi="Times New Roman"/>
          <w:b w:val="false"/>
          <w:color w:val="000000"/>
          <w:sz w:val="22"/>
        </w:rPr>
        <w:t>(the “</w:t>
      </w:r>
      <w:r>
        <w:rPr>
          <w:rFonts w:ascii="Times New Roman" w:hAnsi="Times New Roman"/>
          <w:b w:val="false"/>
          <w:color w:val="000000"/>
          <w:sz w:val="22"/>
          <w:u w:val="single"/>
        </w:rPr>
        <w:t>Existing Letters of Credit</w:t>
      </w:r>
      <w:r>
        <w:rPr>
          <w:rFonts w:ascii="Times New Roman" w:hAnsi="Times New Roman"/>
          <w:color w:val="000000"/>
          <w:sz w:val="20"/>
        </w:rPr>
        <w:t>”</w:t>
      </w:r>
      <w:r>
        <w:rPr>
          <w:rFonts w:ascii="Times New Roman" w:hAnsi="Times New Roman"/>
          <w:b w:val="false"/>
          <w:color w:val="000000"/>
          <w:sz w:val="22"/>
        </w:rPr>
        <w:t>) shall be deemed to be “Letters of Credit” issued on the Effective Date for all purposes of the Loan Documents. No Issuing Bank shall be under any obligation to issue, amended or extend any Letter of Credit if (i)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amendment or extension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amendment or extension of such Letter of Credit would violate one or more policies of such Issuing Bank applicable to letters of credit generally.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Notice of Issuance, Amendment, Extension; Certain Conditions</w:t>
      </w:r>
      <w:r>
        <w:rPr>
          <w:rFonts w:ascii="Times New Roman" w:hAnsi="Times New Roman"/>
          <w:color w:val="000000"/>
          <w:sz w:val="22"/>
        </w:rPr>
        <w:t>. To request the issuance of a Letter of Credit (or the amendment or extension of an outstanding Letter of Credit), the Company shall hand deliver or telecopy (or transmit by electronic communication, including an Approved Borrower Portal, if arrangements for doing so have been approved by the relevant Issuing Bank) to the relevant Issuing Bank and the Administrative Agent (reasonably in advance of the requested date of issuance, amendment or extension, but in any event no less than three (3)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applicable Issuing Bank and using such Issuing Bank’s standard form (each, a “</w:t>
      </w:r>
      <w:r>
        <w:rPr>
          <w:rFonts w:ascii="Times New Roman" w:hAnsi="Times New Roman"/>
          <w:color w:val="000000"/>
          <w:sz w:val="22"/>
          <w:u w:val="single"/>
        </w:rPr>
        <w:t>Letter of Credit Agreement</w:t>
      </w:r>
      <w:r>
        <w:rPr>
          <w:rFonts w:ascii="Times New Roman" w:hAnsi="Times New Roman"/>
          <w:color w:val="000000"/>
          <w:sz w:val="20"/>
        </w:rPr>
        <w:t>”</w:t>
      </w:r>
      <w:r>
        <w:rPr>
          <w:rFonts w:ascii="Times New Roman" w:hAnsi="Times New Roman"/>
          <w:color w:val="000000"/>
          <w:sz w:val="22"/>
        </w:rPr>
        <w:t>). In the event of any conflict between the terms and conditions of this Agreement and the terms and conditions of any Letter of Credit Agreement, the terms and conditions of this Agreement shall control. A Letter of Credit shall be issued at the discretion of the applicable Issuing Bank following receipt of the relevant request delivered by the Company pursuant to this Section 2.06(b). In each case, a Letter of Credit shall be issued, amended or extended only if (and upon issuance, amendment or extension of each Letter of Credit the Company shall be deemed to represent and warrant that), after giving effect to such issuance, amendment or extension subject to Sections 2.04 and 2.11(b), (i) the Dollar Amount of the LC Exposure shall not exceed $50,000,000, (ii) the sum of the Dollar Amount of the total Revolving Credit Exposures shall not exceed the aggregate Revolving Commitments and (iii) the Dollar Amount of each Lender’s Revolving Credit Exposure (solely in such Person’s capacity as a Lender and not as an Issuing Bank) shall not exceed such Lender’s Revolving Commitment.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Expiration Date</w:t>
      </w:r>
      <w:r>
        <w:rPr>
          <w:rFonts w:ascii="Times New Roman" w:hAnsi="Times New Roman"/>
          <w:color w:val="000000"/>
          <w:sz w:val="22"/>
        </w:rPr>
        <w:t xml:space="preserve">.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(5) Business Days prior to the Revolving Credit Maturity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requested by the Company or a Subsidiary Borrower (or the Company on behalf of a Subsidiary Borrower), a Letter of Credit issued by such Issuing Bank may provide for the extension thereof for additional one year periods containing an expiry date of more than twelve months after the date of issuance (which expiry date shall not extend beyond the date referred to in the foregoing clause (ii)). Notwithstanding the foregoing, any Letter of Credit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issued in the final year of this Agreement may expire no later than one year after the Revolving Credit Maturity Date so long as the Company cash collateralizes an amount equal to 105% of the face amount of such Letter of Credit, concurrently with the issuance (or, as applicable, concurrently with any amendment or extension) of such Letter of Credit, in the manner described in Section 2.06(j) and otherwise on terms and conditions reasonably acceptable to the applicable Issuing Bank and the Administrative Agent.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Participations</w:t>
      </w:r>
      <w:r>
        <w:rPr>
          <w:rFonts w:ascii="Times New Roman" w:hAnsi="Times New Roman"/>
          <w:color w:val="000000"/>
          <w:sz w:val="22"/>
        </w:rPr>
        <w:t>. By the issuance of a Letter of Credit (or an amendment to a Letter of Credit increasing the amount or extending the term thereof) and without any further action on the part of the relevant Issuing Bank or the Revolving Lenders, the relevant Issuing Bank hereby grants to each Revolving Lender, and each Revolving Lender hereby acquires from the relevant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including after the Revolving Credit Maturity Date. Each Revolving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Reimbursement</w:t>
      </w:r>
      <w:r>
        <w:rPr>
          <w:rFonts w:ascii="Times New Roman" w:hAnsi="Times New Roman"/>
          <w:color w:val="000000"/>
          <w:sz w:val="22"/>
        </w:rPr>
        <w:t xml:space="preserve">.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Local Time, on the Business Day following the date that the Company shall have received notice of such LC Disbursement;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Company may, subject to the conditions to borrowing set forth herein, request in accordance with Section 2.03 that such payment be financed with (i) to the extent such LC Disbursement was made in Dollars, an ABR Revolving Borrowing or Term Benchmark Revolving Borrowing in Dollars in an amount equal to such LC Disbursement or (ii) to the extent that such LC Disbursement was made in a Foreign Currency, a Term Benchmark Revolving Borrowing or an RFR Borrowing in such Foreign Currency in an amount equal to such LC Disbursement and, in each case, to the extent so financed, the Company’s obligation to make such payment shall be discharged and replaced by the resulting ABR Revolving Borrowing, Term Benchmark Revolving Borrowing or RFR Revolving Borrowing, as applicable. If the Company fails to make such payment when due, the Administrative Agent shall notify each Revolving Lender of the applicable LC Disbursement, the payment then due from the Company in respect thereof and such Lender’s Applicable Percentage thereof. Promptly following receipt of such notice, each Revolving Lender shall pay to the Administrative Agent its Applicable Percentage of the payment then due from the Company, in the same manner as provided in Section 2.07 with respect to Loans made by such Lender (and Section 2.07 shall apply, </w:t>
      </w:r>
      <w:r>
        <w:rPr>
          <w:rFonts w:ascii="Times New Roman" w:hAnsi="Times New Roman"/>
          <w:color w:val="000000"/>
          <w:sz w:val="22"/>
          <w:u w:val="single"/>
        </w:rPr>
        <w:t>mutatis</w:t>
      </w:r>
      <w:r>
        <w:rPr>
          <w:rFonts w:ascii="Times New Roman" w:hAnsi="Times New Roman"/>
          <w:color w:val="000000"/>
          <w:sz w:val="20"/>
        </w:rPr>
        <w:t xml:space="preserve"> </w:t>
      </w:r>
      <w:r>
        <w:rPr>
          <w:rFonts w:ascii="Times New Roman" w:hAnsi="Times New Roman"/>
          <w:color w:val="000000"/>
          <w:sz w:val="22"/>
          <w:u w:val="single"/>
        </w:rPr>
        <w:t>mutandis</w:t>
      </w:r>
      <w:r>
        <w:rPr>
          <w:rFonts w:ascii="Times New Roman" w:hAnsi="Times New Roman"/>
          <w:color w:val="000000"/>
          <w:sz w:val="22"/>
        </w:rPr>
        <w:t>, to the payment obligations of the Revolving Lenders), and the Administrative Agent shall promptly pay to the relevant Issuing Bank the amounts so received by it from the Revolving Lenders. Promptly following receipt by the Administrative Agent of any payment from the Company pursuant to this paragraph, the Administrative Agent shall distribute such payment to the relevant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the relevant Issuing Bank for any LC Disbursement (other than the funding of Revolving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Loans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Dollar Amount thereof calculated on the date such LC Disbursement is made.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u w:val="single"/>
        </w:rPr>
        <w:t>Obligations Absolute</w:t>
      </w:r>
      <w:r>
        <w:rPr>
          <w:rFonts w:ascii="Times New Roman" w:hAnsi="Times New Roman"/>
          <w:color w:val="000000"/>
          <w:sz w:val="22"/>
        </w:rPr>
        <w:t xml:space="preserve">. The Company’s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the Company or any Subsidiary or in the relevant currency markets generally.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u w:val="single"/>
        </w:rPr>
        <w:t>Disbursement Procedures</w:t>
      </w:r>
      <w:r>
        <w:rPr>
          <w:rFonts w:ascii="Times New Roman" w:hAnsi="Times New Roman"/>
          <w:color w:val="000000"/>
          <w:sz w:val="22"/>
        </w:rPr>
        <w:t xml:space="preserve">. Each Issuing Bank shall, within the time allowed by applicable law or the specific terms of the Letter of Credit following its receipt thereof, examine all documents purporting to represent a demand for payment under a Letter of Credit. Each Issuing Bank shall promptly after such examination notify the Administrative Agent and the Company by telephone (confirmed by telecopy or email) of such demand for payment and whether such Issuing Bank has made or will make an LC Disbursement thereunder;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notice need not be given prior to payment by such Issuing Bank and any failure to give or delay in giving such notice shall not relieve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its obligation to reimburse such Issuing Bank and the Revolving Lenders with respect to any such LC Disbursement.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u w:val="single"/>
        </w:rPr>
        <w:t>Interim Interest</w:t>
      </w:r>
      <w:r>
        <w:rPr>
          <w:rFonts w:ascii="Times New Roman" w:hAnsi="Times New Roman"/>
          <w:color w:val="000000"/>
          <w:sz w:val="22"/>
        </w:rPr>
        <w:t xml:space="preserve">. If any Issuing Bank shall make any LC Disbursement, then, unless the Company shall reimburse such LC Disbursement in full in the applicable currency on the date such LC Disbursement is made, the unpaid amount thereof shall bear interest, for each day from and including the date such LC Disbursement is made to but excluding the date that the Company reimburses such LC Disbursement, at the rate per annum then applicable to ABR Revolving Loans (or in the case such LC Disbursement is denominated in a Foreign Currency, at the Overnight Rate for such Agreed Currency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the then effective Applicable Rate with respect to Term Benchmark Revolving Loans) and such interest shall be due and payable on the date when such reimbursement is payable;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Company fails to reimburse such LC Disbursement when due pursuant to paragraph (e) of this Section, then Section 2.13(d) shall apply. Interest accrued pursuant to this paragraph shall be for the account of the relevant Issuing Bank, except that interest accrued on and after the date of payment by any Revolving Lender pursuant to paragraph (e) of this Section to reimburse such Issuing Bank shall be for the account of such Lender to the extent of such payment.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u w:val="single"/>
        </w:rPr>
        <w:t>Replacement and Resignation of any Issuing Bank</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Any Issuing Bank may be replaced at any time by written agreement among the Company, the Administrative Agent, the replaced Issuing Bank and the successor Issuing Bank. The Administrative Agent shall notify the Revolving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it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Subject to the appointment and acceptance of a successor Issuing Bank that is reasonably acceptable to the Company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consent shall be required if an Event of Default under paragraphs (a), (b), (h) or (i) of Article VII shall have occurred and be continuing), the relevant Issuing Bank may resign as an Issuing Bank at any time upon thirty days’ prior written notice to the Administrative Agent, the Company and the Lenders, in which case, such Issuing Bank shall be replaced in accordance with Section 2.06(i)(i) above.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(j) </w:t>
      </w:r>
      <w:r>
        <w:rPr>
          <w:rFonts w:ascii="Times New Roman" w:hAnsi="Times New Roman"/>
          <w:color w:val="000000"/>
          <w:sz w:val="22"/>
          <w:u w:val="single"/>
        </w:rPr>
        <w:t>Cash Collateralization</w:t>
      </w:r>
      <w:r>
        <w:rPr>
          <w:rFonts w:ascii="Times New Roman" w:hAnsi="Times New Roman"/>
          <w:color w:val="000000"/>
          <w:sz w:val="22"/>
        </w:rPr>
        <w:t>. If any Event of Default shall occur and be continuing, on the Business Day that the Company receives notice from the Administrative Agent or the Required Lenders (or, if the maturity of the Revolving Loans has been accelerated, Revolving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Revolving Lenders (the “</w:t>
      </w:r>
      <w:r>
        <w:rPr>
          <w:rFonts w:ascii="Times New Roman" w:hAnsi="Times New Roman"/>
          <w:color w:val="000000"/>
          <w:sz w:val="22"/>
          <w:u w:val="single"/>
        </w:rPr>
        <w:t>LC Collateral Account</w:t>
      </w:r>
      <w:r>
        <w:rPr>
          <w:rFonts w:ascii="Times New Roman" w:hAnsi="Times New Roman"/>
          <w:color w:val="000000"/>
          <w:sz w:val="20"/>
        </w:rPr>
        <w:t>”</w:t>
      </w:r>
      <w:r>
        <w:rPr>
          <w:rFonts w:ascii="Times New Roman" w:hAnsi="Times New Roman"/>
          <w:color w:val="000000"/>
          <w:sz w:val="22"/>
        </w:rPr>
        <w:t xml:space="preserve">), an amount in cash equal to 105% of the Dollar Amount of the LC Exposure as of such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Disbursements and (ii) the obligation to deposit such cash collateral shall become effective immediately, and such deposit shall become immediately due and payable, without demand or other notice of any kind, upon the occurrence of any Event of Default with respect to the Company described in clause (h) or (i) of </w:t>
      </w:r>
      <w:r>
        <w:rPr>
          <w:rFonts w:ascii="Times New Roman" w:hAnsi="Times New Roman"/>
          <w:color w:val="000000"/>
          <w:sz w:val="22"/>
          <w:u w:val="single"/>
        </w:rPr>
        <w:t>Article VII</w:t>
      </w:r>
      <w:r>
        <w:rPr>
          <w:rFonts w:ascii="Times New Roman" w:hAnsi="Times New Roman"/>
          <w:color w:val="000000"/>
          <w:sz w:val="22"/>
        </w:rPr>
        <w:t xml:space="preserve">. For the purposes of this paragraph, the Foreign Currency LC Exposure shall be calculated using the applicable Dollar Amount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Obligations. In addition, and without limiting the foregoing or Section 2.06(c), if any LC Exposure remains outstanding after the expiration date specified in Section 2.06(c), the Borrowers shall immediately deposit into the LC Collateral Account an amount in cash equal to 105% of the Dollar Amount of such LC Exposure as of such date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any accrued and unpaid interest thereon.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consultation with the Company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together with related fees, costs and customary processing charges, and, to the extent not so applied, shall be held for the satisfaction of the reimbursement obligations of the Company for the LC Exposure at such time or, if the maturity of the Loans has been accelerated (but subject to the consent of Revolving Lenders with LC Exposure representing greater than 50% of the total LC Exposure), be applied to satisfy other Obligations. If the Company is required to provide an amount of cash collateral hereunder as a result of the occurrence of an Event of Default, such amount (to the extent not applied as aforesaid) shall be returned to the Company (with accrued interest thereon, if applicable) within three (3) Business Days after all Events of Default have been cured or waived.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(k) </w:t>
      </w:r>
      <w:r>
        <w:rPr>
          <w:rFonts w:ascii="Times New Roman" w:hAnsi="Times New Roman"/>
          <w:color w:val="000000"/>
          <w:sz w:val="22"/>
          <w:u w:val="single"/>
        </w:rPr>
        <w:t>Issuing Bank Agreements</w:t>
      </w:r>
      <w:r>
        <w:rPr>
          <w:rFonts w:ascii="Times New Roman" w:hAnsi="Times New Roman"/>
          <w:color w:val="000000"/>
          <w:sz w:val="22"/>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and currency of such payment(s), (iii) on any Business Day on which the Company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(l) </w:t>
      </w:r>
      <w:r>
        <w:rPr>
          <w:rFonts w:ascii="Times New Roman" w:hAnsi="Times New Roman"/>
          <w:color w:val="000000"/>
          <w:sz w:val="22"/>
          <w:u w:val="single"/>
        </w:rPr>
        <w:t>Letters of Credit Issued for Account of Subsidiaries</w:t>
      </w:r>
      <w:r>
        <w:rPr>
          <w:rFonts w:ascii="Times New Roman" w:hAnsi="Times New Roman"/>
          <w:color w:val="000000"/>
          <w:sz w:val="22"/>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Company (i) shall reimburse, indemnify and compensate such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2.07. </w:t>
      </w:r>
      <w:r>
        <w:rPr>
          <w:rFonts w:ascii="Times New Roman" w:hAnsi="Times New Roman"/>
          <w:b w:val="false"/>
          <w:color w:val="000000"/>
          <w:sz w:val="22"/>
          <w:u w:val="single"/>
        </w:rPr>
        <w:t>Funding of Borrowings</w:t>
      </w:r>
      <w:r>
        <w:rPr>
          <w:rFonts w:ascii="Times New Roman" w:hAnsi="Times New Roman"/>
          <w:b w:val="false"/>
          <w:color w:val="000000"/>
          <w:sz w:val="22"/>
        </w:rPr>
        <w:t xml:space="preserve">. (a) Each Lender shall make each Loan to be made by it hereunder on the proposed date thereof solely by wire transfer of immediately available funds, by 1:00 p.m., New York City time, to the account of the Administrative Agent most recently designated by it for such purpose by notice to the Lenders; provided that Term Loans shall be made as provided in Section 2.01(b) and Section 2.01(c), as applicable. The Administrative Agent will make such Loans available to the relevant Borrower by promptly crediting the amounts so received, in like funds, to (x) an account of such Borrower designated by such Borrower in the applicable Borrowing Request, in the case of Loans denominated in Dollars and (y) an account of such Borrower in the relevant jurisdiction and designated by such Borrower in the applicable Borrowing Request, in the case of Loans denominated in a Foreign Currency;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Revolving Loans made to finance the reimbursement of an LC Disbursement as provided in Section 2.06(e) shall be remitted by the Administrative Agent to the relevant Issuing Bank.</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Unless the Administrative Agent shall have received notice from a Lender prior to the proposed date of any Borrowing (or in the case of an ABR Borrowing, prior to 1:00 p.m.,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until the date of repayment thereof, at the interest rate applicable to such Loans; provided that if the Lender and a Borrower shall both pay such interest amounts, the amount paid by such Borrower shall be returned thereto. If such Lender pays such amount to the Administrative Agent, then such amount shall constitute such Lender’s Loan included in such Borrowing.</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2.08. </w:t>
      </w:r>
      <w:r>
        <w:rPr>
          <w:rFonts w:ascii="Times New Roman" w:hAnsi="Times New Roman"/>
          <w:b w:val="false"/>
          <w:color w:val="000000"/>
          <w:sz w:val="22"/>
          <w:u w:val="single"/>
        </w:rPr>
        <w:t>Interest Elections</w:t>
      </w:r>
      <w:r>
        <w:rPr>
          <w:rFonts w:ascii="Times New Roman" w:hAnsi="Times New Roman"/>
          <w:b w:val="false"/>
          <w:color w:val="000000"/>
          <w:sz w:val="22"/>
        </w:rPr>
        <w:t>. (a) Each Borrowing initially shall be of the Type and Agreed Currency specified in the 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To make an election pursuant to this Section, a Borrower, or the Company on its behalf, shall notify the Administrative Agent of such election (by irrevocable written notice (via an Interest Election Request signed by a Responsible Officer of such Borrower, or the Company on its behalf);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Interest Election Request is submitted through an Approved Borrower Portal, the foregoing signature requirement may be waived at the sole discretion of the Administrative Agent) by the time that a Borrowing Request would be required under Section 2.03 if such Borrower were requesting a Borrowing of the Type resulting from such election to be made on the effective date of such election.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Each Interest Election Request shall specify the following information in compliance with Section 2.02:</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the effective date of the election made pursuant to such Interest Election Request, which shall be a Business Day;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whether the resulting Borrowing is to be (x) in the case of Borrowings denominated in Dollars, an ABR Borrowing or a Term Benchmark Borrowing (or, subject to the last paragraph of this Section 2.08(c), an RFR Borrowing) and (y) in the case of Borrowings denominated in a Foreign Currency, a Term Benchmark Borrowing or an RFR Borrowing;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if the resulting Borrowing is a Term Benchmark Borrowing and the Interest Period to be applicable thereto after giving effect to such election, which Interest Period shall be a period contemplated by the definition of the term “Interest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Election Requests submitted pursuant to this Section 2.08 may be delivered via email.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any such Interest Election Request requests a Term Benchmark Borrowing but does not specify an Interest Period, then the applicable Borrower shall be deemed to have selected an Interest Period of one month’s duration.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in no event shall any Borrower be permitted to request pursuant to this Section 2.08(c)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the Canadian Prime Rate, Daily Simple SOFR and Daily Simple CORRA shall only apply to the extent provided in Sections 2.08(e) (solely with respect to the Central Bank Rate and the Canadian Prime Rate), 2.14(a) and 2.14(f), as applicable).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Promptly following receipt of an Interest Election Request, the Administrative Agent shall advise each Lender of the details thereof and of such Lender’s portion of each resulting Borrowing.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If the relevant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continued as a Term Benchmark Borrowing in Dollars with an Interest Period of one month’s duration. If the relevant Borrower fails to deliver a timely and complete Interest Election Request with respect to a Term Benchmark Borrowing denominated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Company, then, so long as an Event of Default is continuing (i) no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7" w:name="docxtextref438"/>
      <w:bookmarkEnd w:id="57"/>
      <w:r>
        <w:rPr>
          <w:rFonts w:ascii="Times New Roman" w:hAnsi="Times New Roman"/>
          <w:color w:val="000000"/>
          <w:sz w:val="22"/>
        </w:rPr>
        <w:t>outstanding Borrowing may be converted to or continued as a Term Benchmark Borrowing or an RFR Borrowing and (ii) unless repaid, (x)</w:t>
      </w:r>
      <w:r>
        <w:rPr>
          <w:rFonts w:ascii="Times New Roman" w:hAnsi="Times New Roman"/>
          <w:color w:val="000000"/>
          <w:sz w:val="20"/>
        </w:rPr>
        <w:t xml:space="preserve"> </w:t>
      </w:r>
      <w:r>
        <w:rPr>
          <w:rFonts w:ascii="Times New Roman" w:hAnsi="Times New Roman"/>
          <w:color w:val="000000"/>
          <w:sz w:val="22"/>
        </w:rPr>
        <w:t xml:space="preserve">(A) each Term Benchmark Borrowing denominated in Dollars shall be converted to an ABR Borrowing at the end of the Interest Period applicable thereto and (B) each RFR Borrowing denominated in Dollars shall be converted to an ABR Borrowing immediately and </w:t>
      </w:r>
      <w:bookmarkStart w:id="58" w:name="docxtextref439"/>
      <w:bookmarkEnd w:id="58"/>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each Term Benchmark Borrowing and each RFR Borrowing, in each case denominated in a Foreign Currency shall bear interest at the Central Bank Rate for the applicable Agreed Currency (or in the case of Canadian Dollars, the Canadian Prime Rate)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Administrative Agent determines (which determination shall be conclusive and binding absent manifest error) that the Central Bank Rate for the applicable Agreed Currency (or in the case of Canadian Dollars, the Canadian Prime Rate) cannot be determined, any outstanding affected Term Benchmark Loans or RFR Loans denominated in any Foreign Currency shall either be (A) converted to an ABR Borrowing denominated in Dollars (in an amount equal to the Dollar Amount of such Foreign Currency) at the end of the applicable Interest Period or on the next applicable Interest Payment Date, as applicable, therefor or (B) prepaid at the end of the applicable Interest Period or on the next applicable Interest Payment Date, as applicable, in full;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no election is made by the relevant Borrower by the earlier of (x) the date that is three (3) Business Days after receipt by the Company of such notice and (y) the last day of the current Interest Period for the applicable Term Benchmark Loan or the next Interest Payment Date for the applicable RFR Loan, as applicable, such Borrower shall be deemed to have elected clause (A) above.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2.09. </w:t>
      </w:r>
      <w:r>
        <w:rPr>
          <w:rFonts w:ascii="Times New Roman" w:hAnsi="Times New Roman"/>
          <w:b w:val="false"/>
          <w:color w:val="000000"/>
          <w:sz w:val="22"/>
          <w:u w:val="single"/>
        </w:rPr>
        <w:t>Termination and Reduction of Commitments</w:t>
      </w:r>
      <w:r>
        <w:rPr>
          <w:rFonts w:ascii="Times New Roman" w:hAnsi="Times New Roman"/>
          <w:b w:val="false"/>
          <w:color w:val="000000"/>
          <w:sz w:val="22"/>
        </w:rPr>
        <w:t>. (a) Unless previously terminated, (i) the Term Loan Commitments shall terminate on the Effective Date upon the funding thereof and (ii) all Revolving Commitments shall terminate on the Revolving Credit Maturity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The Company may at any time terminate, or from time to time reduce, the Revolving Commitments;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each reduction of the Revolving Commitments shall be in an amount that is an integral multiple of $1,000,000 and not less than $5,000,000 and (ii) the Company shall not terminate or reduce the Revolving Commitments if, after giving effect to any concurrent prepayment of the Loans in accordance with Section 2.11, (A) the Dollar Amount of any Revolving Lender’s Revolving Credit Exposure would exceed its Revolving Commitment or (B) the Dollar Amount of the sum of the Revolving Credit Exposures would exceed the aggregate Revolving Commitments.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The Company shall notify the Administrative Agent of any election to terminate or reduce the Revolving Commitments under paragraph (b)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notice of termination of the Revolving Commitments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Revolving Commitments.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2.10. </w:t>
      </w:r>
      <w:r>
        <w:rPr>
          <w:rFonts w:ascii="Times New Roman" w:hAnsi="Times New Roman"/>
          <w:b w:val="false"/>
          <w:color w:val="000000"/>
          <w:sz w:val="22"/>
          <w:u w:val="single"/>
        </w:rPr>
        <w:t>Repayment and Amortization of Loans; Evidence of Debt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Repayment and Amortization of Loans.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Each Borrower hereby unconditionally promises to pay to the Administrative Agent for the account of each Revolving Lender the then unpaid principal amount of each Revolving Loan made to such Borrower on the Revolving Credit Maturity Date in the currency of such Loan.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To the extent not previously repaid, all unpaid Term A-1 Loans shall be paid in full in Dollars by the Company on the Term A-1 Loan Maturity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Company shall repay Term A-2 Loans on each date set forth below in the aggregate principal amount set forth opposite such date (as adjusted from time to time pursuant to Section 2.11(a)):</w:t>
      </w:r>
    </w:p>
    <w:tbl>
      <w:tblPr>
        <w:tblW w:w="8747" w:type="dxa"/>
        <w:jc w:val="left"/>
        <w:tblInd w:w="0" w:type="dxa"/>
        <w:tblLayout w:type="fixed"/>
        <w:tblCellMar>
          <w:top w:w="28" w:type="dxa"/>
          <w:left w:w="28" w:type="dxa"/>
          <w:bottom w:w="28" w:type="dxa"/>
          <w:right w:w="28" w:type="dxa"/>
        </w:tblCellMar>
      </w:tblPr>
      <w:tblGrid>
        <w:gridCol w:w="7516"/>
        <w:gridCol w:w="1231"/>
      </w:tblGrid>
      <w:tr>
        <w:trPr/>
        <w:tc>
          <w:tcPr>
            <w:tcW w:w="751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75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20"/>
              <w:jc w:val="center"/>
              <w:rPr>
                <w:rFonts w:ascii="Times New Roman" w:hAnsi="Times New Roman"/>
                <w:color w:val="000000"/>
                <w:sz w:val="22"/>
                <w:u w:val="single"/>
              </w:rPr>
            </w:pPr>
            <w:r>
              <w:rPr>
                <w:rFonts w:ascii="Times New Roman" w:hAnsi="Times New Roman"/>
                <w:color w:val="000000"/>
                <w:sz w:val="22"/>
                <w:u w:val="single"/>
              </w:rPr>
              <w:t>Date</w:t>
            </w:r>
          </w:p>
        </w:tc>
        <w:tc>
          <w:tcPr>
            <w:tcW w:w="1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20"/>
              <w:jc w:val="center"/>
              <w:rPr>
                <w:rFonts w:ascii="Times New Roman" w:hAnsi="Times New Roman"/>
                <w:color w:val="000000"/>
                <w:sz w:val="22"/>
                <w:u w:val="single"/>
              </w:rPr>
            </w:pPr>
            <w:r>
              <w:rPr>
                <w:rFonts w:ascii="Times New Roman" w:hAnsi="Times New Roman"/>
                <w:color w:val="000000"/>
                <w:sz w:val="22"/>
                <w:u w:val="single"/>
              </w:rPr>
              <w:t>Amount</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September 30, 2026</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December 31, 2026</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March 31, 2027</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2027</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September 30, 2027</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December 31, 2027</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March 31, 2028</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June 30, 2028</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$3,125,000</w:t>
            </w:r>
          </w:p>
        </w:tc>
      </w:tr>
      <w:tr>
        <w:trPr/>
        <w:tc>
          <w:tcPr>
            <w:tcW w:w="75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September 30, 2028 and the last day of each calendar quarter ending thereafter</w:t>
            </w:r>
          </w:p>
        </w:tc>
        <w:tc>
          <w:tcPr>
            <w:tcW w:w="1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$6,250,000</w:t>
            </w:r>
          </w:p>
        </w:tc>
      </w:tr>
    </w:tbl>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not previously repaid, all unpaid Term A-2 Loans shall be paid in full in Dollars by the Company on the Term A-2 Loan Maturity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The entries made in the accounts maintained pursuant to paragraph (b) or (c) of this Section shall be </w:t>
      </w:r>
      <w:r>
        <w:rPr>
          <w:rFonts w:ascii="Times New Roman" w:hAnsi="Times New Roman"/>
          <w:color w:val="000000"/>
          <w:sz w:val="22"/>
          <w:u w:val="single"/>
        </w:rPr>
        <w:t>prima</w:t>
      </w:r>
      <w:r>
        <w:rPr>
          <w:rFonts w:ascii="Times New Roman" w:hAnsi="Times New Roman"/>
          <w:color w:val="000000"/>
          <w:sz w:val="20"/>
        </w:rPr>
        <w:t xml:space="preserve"> </w:t>
      </w:r>
      <w:r>
        <w:rPr>
          <w:rFonts w:ascii="Times New Roman" w:hAnsi="Times New Roman"/>
          <w:color w:val="000000"/>
          <w:sz w:val="22"/>
          <w:u w:val="single"/>
        </w:rPr>
        <w:t>facie</w:t>
      </w:r>
      <w:r>
        <w:rPr>
          <w:rFonts w:ascii="Times New Roman" w:hAnsi="Times New Roman"/>
          <w:color w:val="000000"/>
          <w:sz w:val="20"/>
        </w:rPr>
        <w:t xml:space="preserve"> </w:t>
      </w:r>
      <w:r>
        <w:rPr>
          <w:rFonts w:ascii="Times New Roman" w:hAnsi="Times New Roman"/>
          <w:color w:val="000000"/>
          <w:sz w:val="22"/>
        </w:rPr>
        <w:t xml:space="preserve">evidence of the existence and amounts of the obligations recorded therein absent demonstrable error;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failure of any Lender or the Administrative Agent to maintain such accounts or any error therein shall not in any manner affect the Obligations.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permitted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2.11. </w:t>
      </w:r>
      <w:r>
        <w:rPr>
          <w:rFonts w:ascii="Times New Roman" w:hAnsi="Times New Roman"/>
          <w:b w:val="false"/>
          <w:color w:val="000000"/>
          <w:sz w:val="22"/>
          <w:u w:val="single"/>
        </w:rPr>
        <w:t>Prepayment of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Any Borrower shall have the right at any time and from time to time to prepay any Borrowing in whole or in part, subject to prior notice in accordance with the provisions of this Section 2.11(a). The applicable Borrower, or the Company on behalf of the applicable Borrower, shall notify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Administrative Agent by written notice (by telecopy or electronic communication, including an Approved Borrower Portal, if arrangements for doing so have been approved by the Administrative Agent) of any prepayment hereunder (i) (x) in the case of prepayment of a Term Benchmark Borrowing denominated in Dollars, not later than 11:00 a.m., New York City time, three (3) Business Days before the date of prepayment, (y) in the case of prepayment of a Term Benchmark Borrowing denominated in euro or Canadian Dollars, not later than 11:00 a.m., New York City time, four (4) Business Days before the date of prepayment and (z) in the case of prepayment of an RFR Borrowing, not later than 11:00 a.m., New York City time, five (5) RFR Business Days before the date of prepayment or (ii) in the case of prepayment of an ABR Borrowing, not later than 11:00 a.m., New York City time, on the date of prepayment. Each such notice shall be irrevocable and shall specify the prepayment date and the principal amount of each Borrowing or portion thereof to be prepaid;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notice of prepayment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A-1 Loan Borrowing shall be applied ratable to the Term A-1 Loans included in the prepaid Term A-1 Loan Borrowing, and each voluntary prepayment of a Term A-2 Loan Borrowing shall be applied ratably to the Term A-2 Loans included in the prepaid Term A-2 Loan Borrowing in such order of application as directed by the Company. Prepayments shall be accompanied by (i) accrued interest to the extent required by Section 2.13 and (ii) break funding payments to the extent required by Section 2.16.</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If at any time, (i) other than as a result of fluctuations in currency exchange rates, the sum of the aggregate principal Dollar Amount of all of the Revolving Credit Exposures (calculated, with respect to those Obligations denominated in Foreign Currencies, as of the most recent Computation Date with respect thereto) exceeds the aggregate Revolving Commitments or (ii) solely as a result of fluctuations in currency exchange rates, the sum of the aggregate principal Dollar Amount of all of the Revolving Credit Exposures (calculated, with respect to those Obligations denominated in Foreign Currencies, as of the most recent Computation Date with respect thereto) exceeds 105% of the aggregate Revolving Commitments, the Borrowers shall in each case immediately repay Revolving Borrowings or cash collateralize LC Exposure in an account with the Administrative Agent pursuant to Section 2.06(j), as applicable, in an aggregate principal amount sufficient to cause the aggregate Dollar Amount of all Revolving Credit Exposures (so calculated) to be less than or equal to the aggregate Revolving Commitments.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2.12. </w:t>
      </w:r>
      <w:r>
        <w:rPr>
          <w:rFonts w:ascii="Times New Roman" w:hAnsi="Times New Roman"/>
          <w:b w:val="false"/>
          <w:color w:val="000000"/>
          <w:sz w:val="22"/>
          <w:u w:val="single"/>
        </w:rPr>
        <w:t>Fees</w:t>
      </w:r>
      <w:r>
        <w:rPr>
          <w:rFonts w:ascii="Times New Roman" w:hAnsi="Times New Roman"/>
          <w:b w:val="false"/>
          <w:color w:val="000000"/>
          <w:sz w:val="22"/>
        </w:rPr>
        <w:t xml:space="preserve">. (a) The Company agrees to pay to the Administrative Agent for the account of each Revolving Lender a facility fee, which shall accrue at the applicable Facility Fee Rate (as specified in the definition of Applicable Rate) on the daily amount of the Revolving Commitment of such Lender (whether used or unused) during the period from and including the Effective Date to but excluding the date on which such Revolving Commitment terminates;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if such Lender continues to have any Revolving Credit Exposure after its Revolving Commitment terminates, then such facility fee shall continue to accrue on the daily amount of such Lender’s Revolving Credit Exposure from and including the date on which its Revolving Commitment terminates to but excluding the date on which such Lender ceases to have any Revolving Credit Exposure. Accrued facility fees shall be payable in arrears on the fifteenth (15</w:t>
      </w:r>
      <w:r>
        <w:rPr>
          <w:rFonts w:ascii="Times New Roman" w:hAnsi="Times New Roman"/>
          <w:b w:val="false"/>
          <w:color w:val="000000"/>
          <w:sz w:val="15"/>
        </w:rPr>
        <w:t>th</w:t>
      </w:r>
      <w:r>
        <w:rPr>
          <w:rFonts w:ascii="Times New Roman" w:hAnsi="Times New Roman"/>
          <w:b w:val="false"/>
          <w:color w:val="000000"/>
          <w:sz w:val="22"/>
        </w:rPr>
        <w:t xml:space="preserve">) day following the last day of March, June, September and December of each year and on the date on which the Revolving Commitments terminate, commencing on the first such date to occur after the Effective Date;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any facility fees accruing after the date on which the Revolving Commitments terminate shall be payable within one (1) Business Day following demand therefor. All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facility fees shall be computed on the basis of a year of 360 days and shall be payable for the actual number of days elapsed (including the first day and the last day of each period but excluding the date on which the Revolving Commitments terminate).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Company agrees to pay (i) to the Administrative Agent for the account of each Revolving Lender a participation fee with respect to its participations in Letters of Credit, which shall accrue at (x) in the case of any Secured Letter of Credit, the rate equal to fifty percent (50%) of the same Applicable Rate used to determine the interest rate applicable to Term Benchmark Revolving Loans on the daily Dollar Amount of such Lender’s LC Exposure in respect of Secured Letters of Credit (excluding any portion thereof attributable to unreimbursed LC Disbursements in respect of Secured Letters of Credit) and (y) in the case of any Unsecured Letter of Credit, the same Applicable Rate used to determine the interest rate applicable to Term Benchmark Revolving Loans on the daily Dollar Amount of such Lender’s LC Exposure in respect of Unsecured Letters of Credit (excluding any portion thereof attributable to unreimbursed LC Disbursements in respect of Unsecured Letters of Credit), in each case during the period from and including the Effective Date to but excluding the later of the date on which such Revolving Lender’s Revolving Commitment terminates and the date on which such Lender ceases to have any LC Exposure in respect of the applicable type of Letters of Credit and (ii) to the relevant Issuing Bank for its own account a fronting fee, which shall accrue at the rate per annum separately agreed between the Company and such Issuing Bank on the daily Dollar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or prior to the fifteenth (15</w:t>
      </w:r>
      <w:r>
        <w:rPr>
          <w:rFonts w:ascii="Times New Roman" w:hAnsi="Times New Roman"/>
          <w:color w:val="000000"/>
          <w:sz w:val="15"/>
        </w:rPr>
        <w:t>th</w:t>
      </w:r>
      <w:r>
        <w:rPr>
          <w:rFonts w:ascii="Times New Roman" w:hAnsi="Times New Roman"/>
          <w:color w:val="000000"/>
          <w:sz w:val="22"/>
        </w:rPr>
        <w:t xml:space="preserve">) day following such last day, commencing on the first such date to occur after the Effective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such fees shall be payable on the date on which the Revolving Commitments terminate and any such fees accruing after the date on which the Revolving Commitments terminate shall be payable within one (1) Business Day following demand therefor.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Company agrees to pay to the Administrative Agent, for its own account, fees payable in the amounts and at the times separately agreed upon between the Company and the Administrative Agent.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All fees payable hereunder shall be paid on the dates due, in Dollars (except as otherwise expressly provided in this Section 2.12) and immediately available funds, to the Administrative Agent (or to each Issuing Bank, in the case of fees payable to it) for distribution, in the case of facility fees and participation fees, to the applicable Lenders. Fees paid shall not be refundable under any circumstances.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2.13. </w:t>
      </w:r>
      <w:r>
        <w:rPr>
          <w:rFonts w:ascii="Times New Roman" w:hAnsi="Times New Roman"/>
          <w:b w:val="false"/>
          <w:color w:val="000000"/>
          <w:sz w:val="22"/>
          <w:u w:val="single"/>
        </w:rPr>
        <w:t>Interest</w:t>
      </w:r>
      <w:r>
        <w:rPr>
          <w:rFonts w:ascii="Times New Roman" w:hAnsi="Times New Roman"/>
          <w:b w:val="false"/>
          <w:color w:val="000000"/>
          <w:sz w:val="22"/>
        </w:rPr>
        <w:t>. (a) The Loans comprising each ABR Borrowing shall bear interest at the Alternate Base Rate plus the Applicable Rate.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Loans comprising each Term Benchmark Borrowing shall bear interest at the Adjusted Term SOFR Rate, the Adjusted EURIBO Rate or the Adjusted Term CORRA Rate, as applicable, for the Interest Period in effect for such Borrowing plus the Applicable Rate.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Each RFR Loan shall bear interest at a rate per annum equal to the applicable Adjusted Daily Simple RFR plus the Applicable Rate.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 xml:space="preserve">Accrued interest on each Loan shall be payable in arrears on each Interest Payment Date for such Loan and, in the case of Revolving Loans, upon termination of the Revolving Commitments;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interest accrued pursuant to paragraph (d) of this Section shall be payable within one (1) Business Day following demand therefor,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All interest hereunder shall be computed on the basis of a year of 360 days, except that interest computed by reference to the Daily Simple RFR with respect to Pounds Sterling, Term CORRA, Daily Simple CORRA (if applicable), the Canadian Prime Rate (if applicable)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EURIBO Rate, EURIBO Rate, Adjusted Term CORRA Rate, the Term CORRA, Adjusted Daily Simple RFR, Central Bank Rate or Canadian Prime Rate shall be determined by the Administrative Agent, and such determination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Interest in respect of Loans denominated in Dollars shall be paid in Dollars, and interest in respect of Loans denominated in a Foreign Currency shall be paid in such Foreign Currency.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2.14. </w:t>
      </w:r>
      <w:r>
        <w:rPr>
          <w:rFonts w:ascii="Times New Roman" w:hAnsi="Times New Roman"/>
          <w:b w:val="false"/>
          <w:color w:val="000000"/>
          <w:sz w:val="22"/>
          <w:u w:val="single"/>
        </w:rPr>
        <w:t>Alternate Rate of Interest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Subject to clauses (b), (c), (d), (e) and (f) of this Section 2.14, if: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the Adjusted EURIBO Rate or the Adjusted Term CORRA Rate (including because the Relevant Screen Rate is not available or published on a current basis) for the applicable Agreed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Currency and such Interest Period or (B) at any time, that adequate and reasonable means do not exist for ascertaining the applicable Adjusted Daily Simple RFR for the applicable Agreed Currency;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the Administrative Agent is advised by the Required Lenders that (A) prior to the commencement of any Interest Period for a Term Benchmark Borrowing, the Adjusted Term SOFR Rate, the Adjusted EURIBO Rate or the Adjusted Term CORRA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for the applicable Agreed Currency will not adequately and fairly reflect the cost to such Lenders of making or maintaining their Loans included in such Borrowing for the applicable Agreed Currency;</w:t>
      </w:r>
    </w:p>
    <w:p>
      <w:pPr>
        <w:pStyle w:val="TextBody"/>
        <w:bidi w:val="0"/>
        <w:spacing w:before="0" w:after="240"/>
        <w:jc w:val="both"/>
        <w:rPr>
          <w:rFonts w:ascii="Times New Roman" w:hAnsi="Times New Roman"/>
          <w:sz w:val="20"/>
        </w:rPr>
      </w:pPr>
      <w:bookmarkStart w:id="59" w:name="docxtextref474"/>
      <w:bookmarkEnd w:id="59"/>
      <w:r>
        <w:rPr>
          <w:rFonts w:ascii="Times New Roman" w:hAnsi="Times New Roman"/>
          <w:color w:val="000000"/>
          <w:sz w:val="22"/>
        </w:rPr>
        <w:t>then the Administrative Agent shall give notice thereof to the Company and the Lenders by telephone, telecopy or email as promptly as practicable thereafter and, until (x) the Administrative Agent notifies the Company and the Lenders that the circumstances giving rise to such notice no longer exist with respect to the relevant Benchmark and (y) the relevant Borrower delivers a new Interest Election Request in accordance with the terms of Section 2.08 or a new Borrowing Request in accordance with the terms of Section 2.03, (A)</w:t>
      </w:r>
      <w:r>
        <w:rPr>
          <w:rFonts w:ascii="Times New Roman" w:hAnsi="Times New Roman"/>
          <w:color w:val="000000"/>
          <w:sz w:val="20"/>
        </w:rPr>
        <w:t xml:space="preserve"> </w:t>
      </w:r>
      <w:r>
        <w:rPr>
          <w:rFonts w:ascii="Times New Roman" w:hAnsi="Times New Roman"/>
          <w:color w:val="000000"/>
          <w:sz w:val="22"/>
        </w:rPr>
        <w:t xml:space="preserve">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relevant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for the applicable Agreed Currency (or in the case of Canadian Dollars, the Canadian Prime Rate)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Administrative Agent determines (which determination shall be conclusive and binding absent manifest error) that the Central Bank Rate for the applicable Agreed Currency (or in the case of Canadian Dollars, the Canadian Prime Rate) cannot be determined, any outstanding affected Term Benchmark Loans denominated in such Foreign Currency shall, at the Borrower’s election prior to such day: </w:t>
      </w:r>
      <w:bookmarkStart w:id="60" w:name="docxtextref481"/>
      <w:bookmarkEnd w:id="60"/>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be prepaid by such Borrower on such day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61" w:name="docxtextref482"/>
      <w:bookmarkEnd w:id="61"/>
      <w:r>
        <w:rPr>
          <w:rFonts w:ascii="Times New Roman" w:hAnsi="Times New Roman"/>
          <w:color w:val="000000"/>
          <w:sz w:val="22"/>
        </w:rPr>
        <w:t>or (B)</w:t>
      </w:r>
      <w:r>
        <w:rPr>
          <w:rFonts w:ascii="Times New Roman" w:hAnsi="Times New Roman"/>
          <w:color w:val="000000"/>
          <w:sz w:val="20"/>
        </w:rPr>
        <w:t xml:space="preserve"> </w:t>
      </w:r>
      <w:r>
        <w:rPr>
          <w:rFonts w:ascii="Times New Roman" w:hAnsi="Times New Roman"/>
          <w:color w:val="000000"/>
          <w:sz w:val="22"/>
        </w:rPr>
        <w:t xml:space="preserve">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Agreed Currency (or in the case of Canadian Dollars, the Canadian Prime Rate)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Administrative Agent determines reasonably (which determination shall be conclusive and binding absent manifest error) that the Central Bank Rate for the applicable Agreed Currency (or in the case of Canadian Dollars, the Canadian Prime Rate) cannot be determined, any outstanding affected RFR Loans denominated in any Foreign Currency, at the relevant Borrower’s election, shall either </w:t>
      </w:r>
      <w:bookmarkStart w:id="62" w:name="docxtextref483"/>
      <w:bookmarkEnd w:id="62"/>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be converted into ABR Loans denominated in Dollars (in an amount equal to the Dollar Amount of such Foreign Currency) immediately or </w:t>
      </w:r>
      <w:bookmarkStart w:id="63" w:name="docxtextref484"/>
      <w:bookmarkEnd w:id="63"/>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be prepaid in full immediately.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(including any related adjustments) for all purposes hereunder and under any Loan Document in respect of any Benchmark setting at or after 5:00 p.m., New York City time, on the fifth (5</w:t>
      </w:r>
      <w:r>
        <w:rPr>
          <w:rFonts w:ascii="Times New Roman" w:hAnsi="Times New Roman"/>
          <w:color w:val="000000"/>
          <w:sz w:val="15"/>
        </w:rPr>
        <w:t>th</w:t>
      </w:r>
      <w:r>
        <w:rPr>
          <w:rFonts w:ascii="Times New Roman" w:hAnsi="Times New Roman"/>
          <w:color w:val="000000"/>
          <w:sz w:val="22"/>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jc w:val="both"/>
        <w:rPr>
          <w:rFonts w:ascii="Times New Roman" w:hAnsi="Times New Roman"/>
          <w:sz w:val="20"/>
        </w:rPr>
      </w:pPr>
      <w:bookmarkStart w:id="64" w:name="docxtextref491"/>
      <w:bookmarkEnd w:id="64"/>
      <w:r>
        <w:rPr>
          <w:rFonts w:ascii="Times New Roman" w:hAnsi="Times New Roman"/>
          <w:color w:val="010000"/>
          <w:sz w:val="22"/>
        </w:rPr>
        <w:t xml:space="preserve">(c) </w:t>
      </w:r>
      <w:r>
        <w:rPr>
          <w:rFonts w:ascii="Times New Roman" w:hAnsi="Times New Roman"/>
          <w:color w:val="000000"/>
          <w:sz w:val="22"/>
        </w:rPr>
        <w:t xml:space="preserve">(i) Notwithstanding anything to the contrary herein or in any other Loan Document, the Administrative Agent will have the right to make Benchmark Replacement Conforming Changes from time to time in consultation with the Company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clause (c)(ii) shall not be effective unless the Administrative Agent has delivered to the Lenders and the Company a Term CORRA Notice. For the avoidance of doubt, the Administrative Agent shall not be required to deliver a Term CORRA Notice after the occurrence of a Term CORRA Reelection Event and may do so in its sole discretion.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Notwithstanding anything to the contrary herein or in any other Loan Document, at any time (including in connection with the implementation of a Benchmark Replacement), (i) if the then-current Benchmark is a term rate (including the Term SOFR Rate, the EURIBO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 xml:space="preserve">Upon the Company’s receipt of notice of the commencement of a Benchmark Unavailability Period, any Borrower may revoke any request for (i) a Term Benchmark Borrowing, conversion to or continuation of Term Benchmark Loans to be made, converted or continued or (ii) a RFR Borrowing or conversion to RFR Loans, during any Benchmark Unavailability Period and, failing that, either (x) such Borrower will be deemed to have converted any request for a Term Benchmark Borrowing or RFR Borrowing, as applicable, denominated in Dollars into a request for a Borrowing of or conversion to (A) solely with respect to any such request for a Term Benchmark Borrowing,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(or in the case of Canadian Dollars, the Canadian Prime Rate) for the applicable Foreign Currency plus the CBR Spread;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Administrative Agent determines (which determination shall be conclusive and binding absent manifest error) that the Central Bank Rate (or in the case of Canadian Dollars, the Canadian Prime Rate) for the applicable Foreign Currency cannot be determined, any outstanding affected Term Benchmark Loans denominated in any Foreign Currency shall, at the relevant Borrower’s election prior to such day: (A) be prepaid by such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(or in the case of Canadian Dollars, the Canadian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Prime Rate) for the applicable Foreign Currency plus the CBR Spread; provided that, if the Administrative Agent determines reasonably (which determination shall be conclusive and binding absent manifest error) that the Central Bank Rate (or in the case of Canadian Dollars, the Canadian Prime Rate) for the applicable Foreign Currency cannot be determined, any outstanding affected RFR Loans denominated in such Foreign Currency, at the relevant Borrower’s election, shall either (A) be converted into ABR Loans denominated in Dollars (in an amount equal to the Dollar Amount of such Foreign Currency) immediately or (B) be prepaid in full immediately.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2.15. </w:t>
      </w:r>
      <w:r>
        <w:rPr>
          <w:rFonts w:ascii="Times New Roman" w:hAnsi="Times New Roman"/>
          <w:b w:val="false"/>
          <w:color w:val="000000"/>
          <w:sz w:val="22"/>
          <w:u w:val="single"/>
        </w:rPr>
        <w:t>Increased Costs</w:t>
      </w:r>
      <w:r>
        <w:rPr>
          <w:rFonts w:ascii="Times New Roman" w:hAnsi="Times New Roman"/>
          <w:b w:val="false"/>
          <w:color w:val="000000"/>
          <w:sz w:val="22"/>
        </w:rPr>
        <w:t>. (a) If any Change in Law shall:</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the Adjusted Term CORRA Rate or the Adjusted EURIBO Rate, in each case, if any) or any Issuing Bank;</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impose on any Lender or any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shall be to increase the cost to such Lender, such Issuing Bank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absent manifest error. The Company shall pay, or cause the other Borrowers to pay, such Lender or such Issuing Bank, as the case may be, the amount shown as due on any such certificate within ten (10) Business Days after receipt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if the Change in Law giving rise to such increased costs or reductions is retroactive, then the 180-day period referred to above shall be extended to include the period of retroactive effect thereof.</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2.16. </w:t>
      </w:r>
      <w:r>
        <w:rPr>
          <w:rFonts w:ascii="Times New Roman" w:hAnsi="Times New Roman"/>
          <w:b w:val="false"/>
          <w:color w:val="000000"/>
          <w:sz w:val="22"/>
          <w:u w:val="single"/>
        </w:rPr>
        <w:t>Break Funding 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bookmarkStart w:id="65" w:name="docxtextref507"/>
      <w:bookmarkEnd w:id="65"/>
      <w:r>
        <w:rPr>
          <w:rFonts w:ascii="Times New Roman" w:hAnsi="Times New Roman"/>
          <w:color w:val="010000"/>
          <w:sz w:val="22"/>
        </w:rPr>
        <w:t xml:space="preserve">(a) </w:t>
      </w:r>
      <w:r>
        <w:rPr>
          <w:rFonts w:ascii="Times New Roman" w:hAnsi="Times New Roman"/>
          <w:color w:val="000000"/>
          <w:sz w:val="22"/>
        </w:rPr>
        <w:t>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2.19 or 9.02(d) or (v) the failure by any Borrower to make any payment of any Loan or drawing under any Letter of Credit (or interest due thereof) denominated in a Foreign Currency on its scheduled</w:t>
      </w:r>
      <w:r>
        <w:rPr>
          <w:rFonts w:ascii="Times New Roman" w:hAnsi="Times New Roman"/>
          <w:color w:val="000000"/>
          <w:sz w:val="20"/>
        </w:rPr>
        <w:t xml:space="preserve"> </w:t>
      </w:r>
      <w:r>
        <w:rPr>
          <w:rFonts w:ascii="Times New Roman" w:hAnsi="Times New Roman"/>
          <w:color w:val="000000"/>
          <w:sz w:val="22"/>
        </w:rPr>
        <w:t>due date or any payment thereof in a different currency, then, in any such event, the Borrowers shall compensate each Lender for the loss and any reasonable cost and expense attributable to such event. A certificate of any Lender setting forth in reasonable detail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Business Days after receipt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With respect to RFR Loans, in the event of (i) the payment of any principal of any RFR Loan other than on the Interest Payment Date applicable thereto (including as a result of an Event of Default or as a result of any prepayment pursuant to Section 2.11), (ii) the failure to borrow or prepay any RFR Loan on the date specified in any notice delivered pursuant hereto (regardless of whether such notice may be revoked under Section 2.11(a) and is revoked in accordance therewith), (iii) the assignment of any RFR Loan other than on the Interest Payment Date applicable thereto as a result of a request by the Company pursuant to Section 2.19 or 9.02(d) or (iv)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and any reasonable cost and expense attributable to such event. A certificate of any Lender setting forth in reasonable detail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Business Days after receipt thereof.</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2.17. </w:t>
      </w:r>
      <w:r>
        <w:rPr>
          <w:rFonts w:ascii="Times New Roman" w:hAnsi="Times New Roman"/>
          <w:b w:val="false"/>
          <w:color w:val="000000"/>
          <w:sz w:val="22"/>
          <w:u w:val="single"/>
        </w:rPr>
        <w:t>Taxes</w:t>
      </w:r>
      <w:r>
        <w:rPr>
          <w:rFonts w:ascii="Times New Roman" w:hAnsi="Times New Roman"/>
          <w:b w:val="false"/>
          <w:color w:val="000000"/>
          <w:sz w:val="22"/>
        </w:rPr>
        <w:t xml:space="preserve">. (a) </w:t>
      </w:r>
      <w:r>
        <w:rPr>
          <w:rFonts w:ascii="Times New Roman" w:hAnsi="Times New Roman"/>
          <w:b w:val="false"/>
          <w:color w:val="000000"/>
          <w:sz w:val="22"/>
          <w:u w:val="single"/>
        </w:rPr>
        <w:t>Payments Free of Taxes</w:t>
      </w:r>
      <w:r>
        <w:rPr>
          <w:rFonts w:ascii="Times New Roman" w:hAnsi="Times New Roman"/>
          <w:b w:val="false"/>
          <w:color w:val="000000"/>
          <w:sz w:val="22"/>
        </w:rPr>
        <w:t>. Any and all payments by or on account of any obligation of any Loan Party under any Loan Document shall be made without deduction or withholding for any Taxes, except as required by applicable law. If any applicable law (as determined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Payment of Other Taxes by the Borrowers</w:t>
      </w:r>
      <w:r>
        <w:rPr>
          <w:rFonts w:ascii="Times New Roman" w:hAnsi="Times New Roman"/>
          <w:color w:val="000000"/>
          <w:sz w:val="22"/>
        </w:rPr>
        <w:t>. The relevant Borrower shall timely pay to the relevant Governmental Authority in accordance with applicable law, or at the option of the Administrative Agent timely reimburse it for, Other Taxes.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Evidence of Payments</w:t>
      </w:r>
      <w:r>
        <w:rPr>
          <w:rFonts w:ascii="Times New Roman" w:hAnsi="Times New Roman"/>
          <w:color w:val="000000"/>
          <w:sz w:val="22"/>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Indemnification by the Loan Parties</w:t>
      </w:r>
      <w:r>
        <w:rPr>
          <w:rFonts w:ascii="Times New Roman" w:hAnsi="Times New Roman"/>
          <w:color w:val="000000"/>
          <w:sz w:val="22"/>
        </w:rPr>
        <w:t>. The Loan Parties shall indemnify each Recipient, within 10 days after written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provided that such Recipient provides the Company the original or a copy of a receipt evidencing payment thereof or other evidence reasonably acceptable to the Company. A certificate as to the amount of such payment or liability prepared in good faith and delivered to the relevant Borrower by a Lender (with a copy to the Administrative Agent), or by the Administrative Agent on its own behalf or on behalf of a Lender, in each case, accompanied by a written statement thereof setting forth in reasonable detail the basis and calculation of such amounts,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Indemnification by the Lenders</w:t>
      </w:r>
      <w:r>
        <w:rPr>
          <w:rFonts w:ascii="Times New Roman" w:hAnsi="Times New Roman"/>
          <w:color w:val="000000"/>
          <w:sz w:val="22"/>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u w:val="single"/>
        </w:rPr>
        <w:t>Status of Lenders</w:t>
      </w:r>
      <w:r>
        <w:rPr>
          <w:rFonts w:ascii="Times New Roman" w:hAnsi="Times New Roman"/>
          <w:color w:val="000000"/>
          <w:sz w:val="22"/>
        </w:rPr>
        <w:t>. (i) Any Lender that is entitled to an exemption from or reduction of withholding Tax with respect to payments made under any Loan Document shall deliver to the Borrowers and the Administrative Agent, at the time or times required by applicable law or as reasonably requested by the Borrowers or the Administrative Agent, such properly completed and executed documentation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required by applicable law or as reasonably requested by the Borrowers or the Administrative Agent as will permit such payments to be made without withholding or at a reduced rate of withholding. In addition, any Lender, if required by applicable law or as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Without limiting the generality of the foregoing, in the event that any Borrower is a U.S.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pStyle w:val="TextBody"/>
        <w:bidi w:val="0"/>
        <w:jc w:val="both"/>
        <w:rPr>
          <w:rFonts w:ascii="Times New Roman" w:hAnsi="Times New Roman"/>
          <w:color w:val="000000"/>
          <w:sz w:val="22"/>
        </w:rPr>
      </w:pPr>
      <w:r>
        <w:rPr>
          <w:rFonts w:ascii="Times New Roman" w:hAnsi="Times New Roman"/>
          <w:color w:val="000000"/>
          <w:sz w:val="22"/>
        </w:rPr>
        <w:t>(1) 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in the case of a Foreign Lender claiming that its extension of credit will generate U.S. effectively connected income, an executed copy of IRS Form W-8ECI;</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 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G-1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hAnsi="Times New Roman"/>
          <w:color w:val="000000"/>
          <w:sz w:val="22"/>
          <w:u w:val="single"/>
        </w:rPr>
        <w:t>U.S. Tax Compliance Certificate</w:t>
      </w:r>
      <w:r>
        <w:rPr>
          <w:rFonts w:ascii="Times New Roman" w:hAnsi="Times New Roman"/>
          <w:color w:val="000000"/>
          <w:sz w:val="20"/>
        </w:rPr>
        <w:t>”</w:t>
      </w:r>
      <w:r>
        <w:rPr>
          <w:rFonts w:ascii="Times New Roman" w:hAnsi="Times New Roman"/>
          <w:color w:val="000000"/>
          <w:sz w:val="22"/>
        </w:rPr>
        <w:t>) and (y) an executed copy of IRS Form W-8BEN or IRS Form W-8BEN-E, as applicable; or</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to the extent a Foreign Lender is not the beneficial owner, an executed copy of IRS Form W-8IMY, accompanied by IRS Form W-8ECI, IRS Form W-8BEN or IRS Form W-8BEN-E, as applicable, a U.S. Tax Compliance Certificate substantially in the form of </w:t>
      </w:r>
      <w:r>
        <w:rPr>
          <w:rFonts w:ascii="Times New Roman" w:hAnsi="Times New Roman"/>
          <w:color w:val="000000"/>
          <w:sz w:val="22"/>
          <w:u w:val="single"/>
        </w:rPr>
        <w:t>Exhibit G-2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G-3</w:t>
      </w:r>
      <w:r>
        <w:rPr>
          <w:rFonts w:ascii="Times New Roman" w:hAnsi="Times New Roman"/>
          <w:color w:val="000000"/>
          <w:sz w:val="22"/>
        </w:rPr>
        <w:t xml:space="preserve">, IRS Form W-9, and/or other certification documents from each beneficial owner, as applicable;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G-4</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u w:val="single"/>
        </w:rPr>
        <w:t>Treatment of Certain Refunds</w:t>
      </w:r>
      <w:r>
        <w:rPr>
          <w:rFonts w:ascii="Times New Roman" w:hAnsi="Times New Roman"/>
          <w:color w:val="000000"/>
          <w:sz w:val="22"/>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u w:val="single"/>
        </w:rPr>
        <w:t>Survival</w:t>
      </w:r>
      <w:r>
        <w:rPr>
          <w:rFonts w:ascii="Times New Roman" w:hAnsi="Times New Roman"/>
          <w:color w:val="000000"/>
          <w:sz w:val="22"/>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u w:val="single"/>
        </w:rPr>
        <w:t>Defined Terms</w:t>
      </w:r>
      <w:r>
        <w:rPr>
          <w:rFonts w:ascii="Times New Roman" w:hAnsi="Times New Roman"/>
          <w:color w:val="000000"/>
          <w:sz w:val="22"/>
        </w:rPr>
        <w:t>. For purposes of this Section 2.17, the term “Lender” includes each Issuing Bank and the term “applicable law” includes FATCA.</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(j) </w:t>
      </w:r>
      <w:r>
        <w:rPr>
          <w:rFonts w:ascii="Times New Roman" w:hAnsi="Times New Roman"/>
          <w:color w:val="000000"/>
          <w:sz w:val="22"/>
          <w:u w:val="single"/>
        </w:rPr>
        <w:t>Certain FATCA Matters</w:t>
      </w:r>
      <w:r>
        <w:rPr>
          <w:rFonts w:ascii="Times New Roman" w:hAnsi="Times New Roman"/>
          <w:color w:val="000000"/>
          <w:sz w:val="22"/>
        </w:rPr>
        <w:t>. Solely for purposes of determining withholding Taxes imposed under FATCA, from and after the Effective Date, the Borrowers and the Administrative Agent shall treat (and the Lenders hereby authorize the Administrative Agent to treat) this Agreement and the Loans as not qualifying as “grandfathered obligations” within the meaning of Treasury Regulation Section 1.1471-2(b)(2)(i).</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2.18. </w:t>
      </w:r>
      <w:r>
        <w:rPr>
          <w:rFonts w:ascii="Times New Roman" w:hAnsi="Times New Roman"/>
          <w:b w:val="false"/>
          <w:color w:val="000000"/>
          <w:sz w:val="22"/>
          <w:u w:val="single"/>
        </w:rPr>
        <w:t>Payments Generally; Pro Rata Treatment; Sharing of Set-offs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Borrower shall make each payment or prepayment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at the Applicable Time, in the city of the Administrative Agent’s Foreign Currency Payment Office for such currency, in each case on the date when due,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and (ii) to the Administrative Agent at its at its applicable office or offices as described in the Administrative Questionnaire provided by the Administrative Agent to the Company from time to time, except payments to be made directly to the relevant Issuing Bank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 w:hAnsi="Times New Roman"/>
          <w:color w:val="000000"/>
          <w:sz w:val="22"/>
          <w:u w:val="single"/>
        </w:rPr>
        <w:t>Original Currency</w:t>
      </w:r>
      <w:r>
        <w:rPr>
          <w:rFonts w:ascii="Times New Roman" w:hAnsi="Times New Roman"/>
          <w:color w:val="000000"/>
          <w:sz w:val="20"/>
        </w:rPr>
        <w:t>”</w:t>
      </w:r>
      <w:r>
        <w:rPr>
          <w:rFonts w:ascii="Times New Roman" w:hAnsi="Times New Roman"/>
          <w:color w:val="000000"/>
          <w:sz w:val="22"/>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 Without limiting the generality of the foregoing, the Administrative Agent may require that any payments due under this Agreement be made in the United States. If, for any reason, any Borrower is prohibited by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law from making any required payment hereunder in a Foreign Currency, such Borrower shall make such payment in Dollars in the Dollar Amount of the Foreign Currency payment amount.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At the election of the Company,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a Borrower (or the Company on behalf of a Borrower) pursuant to Section 2.03 or a deemed request as provided in this Section or may be deducted from any deposit account of such Borrower maintained with the Administrative Agent. Each Borrower hereby irrevocably authorizes, at the Company’s request,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Sections 2.03 and (ii) the Administrative Agent to charge any deposit account of the relevant Borrower maintained with the Administrative Agent for each payment of principal, interest and fees as it becomes due hereunder or any other amount due under the Loan Documents.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If, except as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similarly situated Lender, then the Lender receiving such greater 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Unless the Administrative Agent shall have received notice from the relevant Borrower prior to the date on which any payment is due to the Administrative Agent for the account of the Lenders or the Issuing Banks hereunder that such Borrower will not make such payment, the Administrative Agent may assume that such Borrower has made such payment on such date in accordance herewith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may, in reliance upon such assumption, distribute to the Lenders or the Issuing Banks, as the case may be, the amount due. In such event, if such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If any Lender shall fail to make any payment required to be made by it pursuant to Section 2.06(d) or (e), 2.07(b), 2.18(e) or 9.03(c), then the Administrative Agent may, in its discretion (notwithstanding any contrary provision hereof), (i) apply any amounts thereafter received by the Administrative Agent for the account of such Lender and for the benefit of the Administrative Agent or the relevant Issuing Banks to satisfy such Lender’s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2.19. </w:t>
      </w:r>
      <w:r>
        <w:rPr>
          <w:rFonts w:ascii="Times New Roman" w:hAnsi="Times New Roman"/>
          <w:b w:val="false"/>
          <w:color w:val="000000"/>
          <w:sz w:val="22"/>
          <w:u w:val="single"/>
        </w:rPr>
        <w:t>Mitigation Obligations; Replacement of Lenders</w:t>
      </w:r>
      <w:r>
        <w:rPr>
          <w:rFonts w:ascii="Times New Roman" w:hAnsi="Times New Roman"/>
          <w:b w:val="false"/>
          <w:color w:val="000000"/>
          <w:sz w:val="22"/>
        </w:rPr>
        <w:t>. (a) If any Lender (or its Affiliate) requests compensation under Section 2.15, or if any Borrower is required to pay any Indemnified Taxes or additional amounts to any Lender (or its Affiliate) or any Governmental Authority for the account of any Lender (or its Affiliate)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(or its Affiliate) to any unreimbursed cost or expense and would not otherwise be disadvantageous to such Lender (or its Affiliate). The Company hereby agrees to pay all reasonable costs and expenses incurred by any Lender (or its Affiliate)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If (i) any Lender (or its Affiliate) requests compensation under Section 2.15, (ii) any Borrower is required to pay any Indemnified Taxes or additional amounts to any Lender (or its Affiliate) or any Governmental Authority for the account of any Lender (or its Affiliate)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assignment is made in accordance with the terms of Section 9.04,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assignment need not be a party thereto in order for such assignment to be effective and shall be deemed to have consented to and be bound by the terms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2.20. </w:t>
      </w:r>
      <w:r>
        <w:rPr>
          <w:rFonts w:ascii="Times New Roman" w:hAnsi="Times New Roman"/>
          <w:b w:val="false"/>
          <w:color w:val="000000"/>
          <w:sz w:val="22"/>
          <w:u w:val="single"/>
        </w:rPr>
        <w:t>Expansion Option</w:t>
      </w:r>
      <w:r>
        <w:rPr>
          <w:rFonts w:ascii="Times New Roman" w:hAnsi="Times New Roman"/>
          <w:b w:val="false"/>
          <w:color w:val="000000"/>
          <w:sz w:val="22"/>
        </w:rPr>
        <w:t>. The Company may from time to time elect to (1) increase the Revolving Commitments or (2) (x) enter into one or more tranches of incremental term loans or (y) increase an existing tranche of the initial Term Loans (each such new tranche or increase to existing tranche, an “</w:t>
      </w:r>
      <w:r>
        <w:rPr>
          <w:rFonts w:ascii="Times New Roman" w:hAnsi="Times New Roman"/>
          <w:b w:val="false"/>
          <w:color w:val="000000"/>
          <w:sz w:val="22"/>
          <w:u w:val="single"/>
        </w:rPr>
        <w:t>Incremental Term Loan</w:t>
      </w:r>
      <w:r>
        <w:rPr>
          <w:rFonts w:ascii="Times New Roman" w:hAnsi="Times New Roman"/>
          <w:color w:val="000000"/>
          <w:sz w:val="20"/>
        </w:rPr>
        <w:t>”</w:t>
      </w:r>
      <w:r>
        <w:rPr>
          <w:rFonts w:ascii="Times New Roman" w:hAnsi="Times New Roman"/>
          <w:b w:val="false"/>
          <w:color w:val="000000"/>
          <w:sz w:val="22"/>
        </w:rPr>
        <w:t>), in each case in minimum increments of $15,000,000 so long as, after giving effect thereto, the aggregate amount of such increases in Revolving Commitments and all such Incremental Term Loans does not exceed $1,000,000,000. The Company may arrange for any such increase or tranche to be provided by one or more Lenders (each Lender so agreeing to an increase in its Revolving Commitment or provide a Revolving Commitment (in the case of an existing Term Lender), or to participate in such Incremental Term Loans, an “</w:t>
      </w:r>
      <w:r>
        <w:rPr>
          <w:rFonts w:ascii="Times New Roman" w:hAnsi="Times New Roman"/>
          <w:b w:val="false"/>
          <w:color w:val="000000"/>
          <w:sz w:val="22"/>
          <w:u w:val="single"/>
        </w:rPr>
        <w:t>Increasing Lender</w:t>
      </w:r>
      <w:r>
        <w:rPr>
          <w:rFonts w:ascii="Times New Roman" w:hAnsi="Times New Roman"/>
          <w:color w:val="000000"/>
          <w:sz w:val="20"/>
        </w:rPr>
        <w:t>”</w:t>
      </w:r>
      <w:r>
        <w:rPr>
          <w:rFonts w:ascii="Times New Roman" w:hAnsi="Times New Roman"/>
          <w:b w:val="false"/>
          <w:color w:val="000000"/>
          <w:sz w:val="22"/>
        </w:rPr>
        <w:t>), or by one or more new banks, financial institutions or other entities (each such new bank, financial institution or other entity, an “</w:t>
      </w:r>
      <w:r>
        <w:rPr>
          <w:rFonts w:ascii="Times New Roman" w:hAnsi="Times New Roman"/>
          <w:b w:val="false"/>
          <w:color w:val="000000"/>
          <w:sz w:val="22"/>
          <w:u w:val="single"/>
        </w:rPr>
        <w:t>Augmenting Lender</w:t>
      </w:r>
      <w:r>
        <w:rPr>
          <w:rFonts w:ascii="Times New Roman" w:hAnsi="Times New Roman"/>
          <w:color w:val="000000"/>
          <w:sz w:val="20"/>
        </w:rPr>
        <w:t>”</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no Ineligible Institution may be an Augmenting Lender), which agree to increase their existing Revolving Commitments, or to participate in such Incremental Term Loans, or provide new Revolving Commitments, as the case may be;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 xml:space="preserve">that (i) each Augmenting Lender, shall be subject to the approval of the Company and the Administrative Agent (which approvals shall not be unreasonably withheld and shall be evidenced by the Administrative Agent’s execution of the agreement substantially in the form of </w:t>
      </w:r>
      <w:r>
        <w:rPr>
          <w:rFonts w:ascii="Times New Roman" w:hAnsi="Times New Roman"/>
          <w:b w:val="false"/>
          <w:color w:val="000000"/>
          <w:sz w:val="22"/>
          <w:u w:val="single"/>
        </w:rPr>
        <w:t>Exhibit C</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Exhibit D</w:t>
      </w:r>
      <w:r>
        <w:rPr>
          <w:rFonts w:ascii="Times New Roman" w:hAnsi="Times New Roman"/>
          <w:b w:val="false"/>
          <w:color w:val="000000"/>
          <w:sz w:val="22"/>
        </w:rPr>
        <w:t xml:space="preserve">, as the case may be) and (ii) (x) in the case of an Increasing Lender, the Company and such Increasing Lender execute an agreement substantially in the form of </w:t>
      </w:r>
      <w:r>
        <w:rPr>
          <w:rFonts w:ascii="Times New Roman" w:hAnsi="Times New Roman"/>
          <w:b w:val="false"/>
          <w:color w:val="000000"/>
          <w:sz w:val="22"/>
          <w:u w:val="single"/>
        </w:rPr>
        <w:t>Exhibit C</w:t>
      </w:r>
      <w:r>
        <w:rPr>
          <w:rFonts w:ascii="Times New Roman" w:hAnsi="Times New Roman"/>
          <w:color w:val="000000"/>
          <w:sz w:val="20"/>
        </w:rPr>
        <w:t xml:space="preserve"> </w:t>
      </w:r>
      <w:r>
        <w:rPr>
          <w:rFonts w:ascii="Times New Roman" w:hAnsi="Times New Roman"/>
          <w:b w:val="false"/>
          <w:color w:val="000000"/>
          <w:sz w:val="22"/>
        </w:rPr>
        <w:t xml:space="preserve">hereto, and (y) in the case of an Augmenting Lender, the Company and such Augmenting Lender execute an agreement substantially in the form of </w:t>
      </w:r>
      <w:r>
        <w:rPr>
          <w:rFonts w:ascii="Times New Roman" w:hAnsi="Times New Roman"/>
          <w:b w:val="false"/>
          <w:color w:val="000000"/>
          <w:sz w:val="22"/>
          <w:u w:val="single"/>
        </w:rPr>
        <w:t>Exhibit D</w:t>
      </w:r>
      <w:r>
        <w:rPr>
          <w:rFonts w:ascii="Times New Roman" w:hAnsi="Times New Roman"/>
          <w:color w:val="000000"/>
          <w:sz w:val="20"/>
        </w:rPr>
        <w:t xml:space="preserve"> </w:t>
      </w:r>
      <w:r>
        <w:rPr>
          <w:rFonts w:ascii="Times New Roman" w:hAnsi="Times New Roman"/>
          <w:b w:val="false"/>
          <w:color w:val="000000"/>
          <w:sz w:val="22"/>
        </w:rPr>
        <w:t xml:space="preserve">hereto. No consent of any Lender (other than the Lenders participating in the increase or any Incremental Term Loan, which consent shall be deemed to have occurred upon execution of an agreement substantially in the form of </w:t>
      </w:r>
      <w:r>
        <w:rPr>
          <w:rFonts w:ascii="Times New Roman" w:hAnsi="Times New Roman"/>
          <w:b w:val="false"/>
          <w:color w:val="000000"/>
          <w:sz w:val="22"/>
          <w:u w:val="single"/>
        </w:rPr>
        <w:t>Exhibit C</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Exhibit D</w:t>
      </w:r>
      <w:r>
        <w:rPr>
          <w:rFonts w:ascii="Times New Roman" w:hAnsi="Times New Roman"/>
          <w:b w:val="false"/>
          <w:color w:val="000000"/>
          <w:sz w:val="22"/>
        </w:rPr>
        <w:t xml:space="preserve">, as the case may be) shall be required for any increase in Revolving Commitments or Incremental Term Loan pursuant to this Section 2.20. Increases and new Revolving Commitments and Incremental Term Loans created pursuant to this Section 2.20 shall become effective on the date agreed by the Company, the Administrative Agent and the relevant Increasing Lenders or Augmenting Lenders, and the Administrative Agent shall notify each Lender thereof. Notwithstanding the foregoing, no increase in the Revolving Commitments (or in the Revolving Commitment of any Lender), increase in an existing tranche of the initial Term Loans or tranche of Incremental Term Loans shall become effective under this paragraph unless, (i) on the proposed date of the effectiveness of such increase or, in the case of Incremental Term Loans, on the date specified in the agreement substantially in the form of </w:t>
      </w:r>
      <w:r>
        <w:rPr>
          <w:rFonts w:ascii="Times New Roman" w:hAnsi="Times New Roman"/>
          <w:b w:val="false"/>
          <w:color w:val="000000"/>
          <w:sz w:val="22"/>
          <w:u w:val="single"/>
        </w:rPr>
        <w:t>Exhibit C</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Exhibit D</w:t>
      </w:r>
      <w:r>
        <w:rPr>
          <w:rFonts w:ascii="Times New Roman" w:hAnsi="Times New Roman"/>
          <w:b w:val="false"/>
          <w:color w:val="000000"/>
          <w:sz w:val="22"/>
        </w:rPr>
        <w:t>, as the case may be, (A) the conditions set forth in paragraphs (a) and (b) of Section 4.02 shall be satisfied or waived by the Administrative Agent, the Increasing Lenders and the Augmenting Lenders and the Administrative Agent shall have received a certificate to that effect dated such date and executed by a Financial Officer of the Company and (B) the Company shall be in compliance (on a pro forma basis) with the covenants contained in Section 6.05 and (ii) the Administrative Agent shall have received (to the extent not previously received, or to the extent reasonably requested, in each case by the Administrative Agent) documents and opinions consistent with those delivered on the Effective Date as to the organizational power and authority of the Borrowers to borrow hereunder after giving effect to such increase or Incremental Term Loan.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the Borrowers shall be deemed to have repaid and reborrowed all outstanding Revolving Loans as of the date of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The Incremental Term Loans (a) shall rank pari passu in right of payment with the Revolving Loans and the initial Term Loans, (b) shall not mature earlier than the latest Maturity Date hereunder (but may have amortization prior to such date) and (c) shall be treated substantially the same as (and in any event no more favorably than) the Revolving Loans and the initial Term Loans (it being understood that any Incremental Term Loans that are increases to a tranche an existing Class of initial Term Loans shall be considered Term Loans of the same Class);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(i) the terms and conditions applicable to any tranche of Incremental Term Loans maturing after the latest Maturity Date hereunder then in effect at the time of the effectiveness of such tranche of Incremental Term Loans may provide for material additional or different financial or other covenants or prepayment requirements applicable only during periods after such Maturity Date or, so long as also applying for the benefit of the Term Loans and Revolving Loans outstanding prior to giving effect thereto, may provide for additional covenants and/or events of default agreed upon by the Company, the Administrative Agent, the Augmenting Lenders and the Increasing Lenders and (ii) any new tranche of Incremental Term Loans may be priced differently than the Revolving Loans and the initial Term Loans and may provide for amortization payments as agreed upon by the Company, the Administrative Agent, the Augmenting Lenders and the Increasing Lenders. Incremental Term Loans may be made hereunder pursuant to an amendment or restatement (an “</w:t>
      </w:r>
      <w:r>
        <w:rPr>
          <w:rFonts w:ascii="Times New Roman" w:hAnsi="Times New Roman"/>
          <w:b w:val="false"/>
          <w:color w:val="000000"/>
          <w:sz w:val="22"/>
          <w:u w:val="single"/>
        </w:rPr>
        <w:t>Incremental Term Loan Amendment</w:t>
      </w:r>
      <w:r>
        <w:rPr>
          <w:rFonts w:ascii="Times New Roman" w:hAnsi="Times New Roman"/>
          <w:color w:val="000000"/>
          <w:sz w:val="20"/>
        </w:rPr>
        <w:t>”</w:t>
      </w:r>
      <w:r>
        <w:rPr>
          <w:rFonts w:ascii="Times New Roman" w:hAnsi="Times New Roman"/>
          <w:b w:val="false"/>
          <w:color w:val="000000"/>
          <w:sz w:val="22"/>
        </w:rPr>
        <w:t>)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2.20 (including, with respect to any Incremental Term Loans that are increases to an existing tranche of the initial Term Loans, amending the amortization terms in respect of such initial Term Loans so that the amortization due to the original Term Lenders in respect of such initial Term Loans (the “</w:t>
      </w:r>
      <w:r>
        <w:rPr>
          <w:rFonts w:ascii="Times New Roman" w:hAnsi="Times New Roman"/>
          <w:b w:val="false"/>
          <w:color w:val="000000"/>
          <w:sz w:val="22"/>
          <w:u w:val="single"/>
        </w:rPr>
        <w:t>Original Lenders</w:t>
      </w:r>
      <w:r>
        <w:rPr>
          <w:rFonts w:ascii="Times New Roman" w:hAnsi="Times New Roman"/>
          <w:color w:val="000000"/>
          <w:sz w:val="20"/>
        </w:rPr>
        <w:t>”</w:t>
      </w:r>
      <w:r>
        <w:rPr>
          <w:rFonts w:ascii="Times New Roman" w:hAnsi="Times New Roman"/>
          <w:b w:val="false"/>
          <w:color w:val="000000"/>
          <w:sz w:val="22"/>
        </w:rPr>
        <w:t xml:space="preserve">) and the amortization due to the new Term Lenders in respect of the increase of such initial Term Loans are correctly reflected; provided that in no event shall the amortization due to the Original Lenders be reduced pursuant to such Incremental Term Loan Amendment). Nothing contained in this Section 2.20 shall constitute, or otherwise be deemed to be, a commitment on the part of any Lender to increase its Revolving Commitment hereunder, or provide Incremental Term Loans, at any time (other than as otherwise expressly agreed to by any applicable Lender in the agreements substantially in the form of </w:t>
      </w:r>
      <w:r>
        <w:rPr>
          <w:rFonts w:ascii="Times New Roman" w:hAnsi="Times New Roman"/>
          <w:b w:val="false"/>
          <w:color w:val="000000"/>
          <w:sz w:val="22"/>
          <w:u w:val="single"/>
        </w:rPr>
        <w:t>Exhibit C</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Exhibit D</w:t>
      </w:r>
      <w:r>
        <w:rPr>
          <w:rFonts w:ascii="Times New Roman" w:hAnsi="Times New Roman"/>
          <w:color w:val="000000"/>
          <w:sz w:val="20"/>
        </w:rPr>
        <w:t xml:space="preserve"> </w:t>
      </w:r>
      <w:r>
        <w:rPr>
          <w:rFonts w:ascii="Times New Roman" w:hAnsi="Times New Roman"/>
          <w:b w:val="false"/>
          <w:color w:val="000000"/>
          <w:sz w:val="22"/>
        </w:rPr>
        <w:t>as provided above). In connection with any increase of the Revolving Commitments or Incremental Term Loans pursuant to this Section 2.20,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2.21. </w:t>
      </w:r>
      <w:r>
        <w:rPr>
          <w:rFonts w:ascii="Times New Roman" w:hAnsi="Times New Roman"/>
          <w:b w:val="false"/>
          <w:color w:val="000000"/>
          <w:sz w:val="22"/>
          <w:u w:val="single"/>
        </w:rPr>
        <w:t>Judgment Currency</w:t>
      </w:r>
      <w:r>
        <w:rPr>
          <w:rFonts w:ascii="Times New Roman" w:hAnsi="Times New Roman"/>
          <w:b w:val="false"/>
          <w:color w:val="000000"/>
          <w:sz w:val="22"/>
        </w:rPr>
        <w:t>. If for the purposes of obtaining judgment in any court it is necessary to convert a sum due from any Borrower hereunder in the currency expressed to be payable herein (the “</w:t>
      </w:r>
      <w:r>
        <w:rPr>
          <w:rFonts w:ascii="Times New Roman" w:hAnsi="Times New Roman"/>
          <w:b w:val="false"/>
          <w:color w:val="000000"/>
          <w:sz w:val="22"/>
          <w:u w:val="single"/>
        </w:rPr>
        <w:t>specified currency</w:t>
      </w:r>
      <w:r>
        <w:rPr>
          <w:rFonts w:ascii="Times New Roman" w:hAnsi="Times New Roman"/>
          <w:color w:val="000000"/>
          <w:sz w:val="20"/>
        </w:rPr>
        <w:t>”</w:t>
      </w:r>
      <w:r>
        <w:rPr>
          <w:rFonts w:ascii="Times New Roman" w:hAnsi="Times New Roman"/>
          <w:b w:val="false"/>
          <w:color w:val="000000"/>
          <w:sz w:val="22"/>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which final, non</w:t>
        <w:noBreakHyphen/>
        <w:t>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2.22. </w:t>
      </w:r>
      <w:r>
        <w:rPr>
          <w:rFonts w:ascii="Times New Roman" w:hAnsi="Times New Roman"/>
          <w:b w:val="false"/>
          <w:color w:val="000000"/>
          <w:sz w:val="22"/>
          <w:u w:val="single"/>
        </w:rPr>
        <w:t>Defaulting Lenders</w:t>
      </w:r>
      <w:r>
        <w:rPr>
          <w:rFonts w:ascii="Times New Roman" w:hAnsi="Times New Roman"/>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fees shall cease to accrue on the Commitment of such Defaulting Lender pursuant to Section 2.12(a);</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any payment of principal, interest, fees or other amounts received by the Administrative Agent for the account of such Defaulting Lender (whether voluntary or mandatory, at maturity, pursuant to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 xml:space="preserve">or otherwise) or received by the Administrative Agent from a Defaulting Lender pursuant to Section 9.08 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such Defaulting Lender to any Issuing Bank hereunder; </w:t>
      </w:r>
      <w:r>
        <w:rPr>
          <w:rFonts w:ascii="Times New Roman" w:hAnsi="Times New Roman"/>
          <w:color w:val="000000"/>
          <w:sz w:val="22"/>
          <w:u w:val="single"/>
        </w:rPr>
        <w:t>third</w:t>
      </w:r>
      <w:r>
        <w:rPr>
          <w:rFonts w:ascii="Times New Roman" w:hAnsi="Times New Roman"/>
          <w:color w:val="000000"/>
          <w:sz w:val="22"/>
        </w:rPr>
        <w:t xml:space="preserve">, to cash collateralize LC Exposure with respect to such Defaulting Lender in accordance with this Section; </w:t>
      </w:r>
      <w:r>
        <w:rPr>
          <w:rFonts w:ascii="Times New Roman" w:hAnsi="Times New Roman"/>
          <w:color w:val="000000"/>
          <w:sz w:val="22"/>
          <w:u w:val="single"/>
        </w:rPr>
        <w:t>fourth</w:t>
      </w:r>
      <w:r>
        <w:rPr>
          <w:rFonts w:ascii="Times New Roman" w:hAnsi="Times New Roman"/>
          <w:color w:val="000000"/>
          <w:sz w:val="22"/>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or the Issuing Banks as a result of any judgment of a court of competent jurisdiction obtained by any Lender, the Issuing Banks against such Defaulting Lender as a result of such Defaulting Lender’s breach of its obligations under this Agreement or under any other Loan Document; </w:t>
      </w:r>
      <w:r>
        <w:rPr>
          <w:rFonts w:ascii="Times New Roman" w:hAnsi="Times New Roman"/>
          <w:color w:val="000000"/>
          <w:sz w:val="22"/>
          <w:u w:val="single"/>
        </w:rPr>
        <w:t>seventh</w:t>
      </w:r>
      <w:r>
        <w:rPr>
          <w:rFonts w:ascii="Times New Roman" w:hAnsi="Times New Roman"/>
          <w:color w:val="000000"/>
          <w:sz w:val="22"/>
        </w:rPr>
        <w:t>,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the Commitment and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 w:hAnsi="Times New Roman"/>
          <w:color w:val="000000"/>
          <w:sz w:val="22"/>
          <w:u w:val="single"/>
        </w:rPr>
        <w:t>provided</w:t>
      </w:r>
      <w:r>
        <w:rPr>
          <w:rFonts w:ascii="Times New Roman" w:hAnsi="Times New Roman"/>
          <w:color w:val="000000"/>
          <w:sz w:val="22"/>
        </w:rPr>
        <w:t>, that, except as otherwise provided in Section 9.02, this clause (b) shall not apply to the vote of a Defaulting Lender except as expressly permitted by the last sentence set forth in Section 9.02(b);</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if any LC Exposure exists at the time such Lender becomes a Defaulting Lender then: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all or any part of the LC Exposure of such Defaulting Lender shall be reallocated among the non-Defaulting Lenders in accordance with their respective Applicable Percentages but only to the extent that (x) the sum of all non-Defaulting Lenders’ Revolving Credit Exposures plus such Defaulting Lender’s LC Exposure does not exceed the total of all non-Defaulting Lenders’ Revolving Commitments and (y) such reallocation does not, as to any non-Defaulting Lender, cause such non-Defaulting Lender’s Revolving Credit Exposure to exceed its Revolving Commitment;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if the reallocation described in clause (i) above cannot, or can only partially, be effected, the Company shall within two (2) Business Days following notice by the Administrative Agent cash collateralize for the benefit of the relevant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 or such Person remains a Defaulting Lender;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if the LC Exposure of the non-Defaulting Lenders is reallocated pursuant to clause (i) above, then the fees payable to the Lenders pursuant to Section 2.12(b) shall be adjusted in accordance with such non-Defaulting Lenders’ Applicable Percentages;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if all or any portion of such Defaulting Lender’s LC Exposure is neither reallocated nor cash collateralized pursuant to clause (i) or (ii) above, then, without prejudice to any rights or remedies of the relevant Issuing Bank or any other Lender hereunder, all facility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such Issuing Bank until and to the extent that such LC Exposure is reallocated and/or cash collateralized;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so long as such Lender is a Defaulting Lender, no Issuing Bank shall be required to issue, amend or increase any Letter of Credit, unless it is satisfied that the related exposure and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Defaulting Lender’s then outstanding LC Exposure will be 100% covered by the Revolving Commitments of the non-Defaulting Lenders and/or cash collateral will be provided by the Company in accordance with Section 2.22(d), and participating interests in any such newly issued or increased Letter of Credit shall be allocated among non-Defaulting Lenders in a manner consistent with Section 2.22(d)(i) (and such Defaulting Lender shall not participate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Company or such Lender, satisfactory to such Issuing Bank to defease any risk to it in respect of such Lender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the Administrative Agent, the Company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Applicable Percentage. At such time, any cash collateral provided by the Company in accordance with Section (d)(ii) above shall be promptly returned to the Company.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2.23. </w:t>
      </w:r>
      <w:r>
        <w:rPr>
          <w:rFonts w:ascii="Times New Roman" w:hAnsi="Times New Roman"/>
          <w:b w:val="false"/>
          <w:color w:val="000000"/>
          <w:sz w:val="22"/>
          <w:u w:val="single"/>
        </w:rPr>
        <w:t>Designation of Subsidiary Borrowers</w:t>
      </w:r>
      <w:r>
        <w:rPr>
          <w:rFonts w:ascii="Times New Roman" w:hAnsi="Times New Roman"/>
          <w:b w:val="false"/>
          <w:color w:val="000000"/>
          <w:sz w:val="22"/>
        </w:rPr>
        <w:t xml:space="preserve">. The Company may at any time and from time to time designate any Eligible Subsidiary as a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Subsidiary Borrower and a party to this Agreement. Each Subsidiary Borrower shall remain a Subsidiary Borrower until the Company shall have executed and delivered to the Administrative Agent a Borrowing Subsidiary Termination with respect to such Subsidiary, whereupon such Subsidiary shall cease to be a Subsidiary Borrower and a party to this Agreement. Notwithstanding the preceding sentence, no Borrowing Subsidiary Termination will become effective as to any Subsidiary Borrower at a time when any principal of or interest on any Loan to such Borrower shall be outstanding hereunder,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such Borrowing Subsidiary Termination shall be effective to terminate the right of such Subsidiary Borrower to make further Borrowings under this Agreement. As soon as practicable upon receipt of a Borrowing Subsidiary Agreement, the Administrative Agent shall furnish a copy thereof to each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set forth herein or in any other Loan Document to the contrary, (i) the parties agree that the obligations of Borrowers hereunder to make payments of principal and interest regarding the Loans are not joint and several obligations of Borrowers (other than as expressly set forth in Article X solely with respect to the Company), and (ii) the parties agree that the Subsidiary Borrowers are not obligated to pay, and do not guaranty, collaterally support or otherwise have any responsibility with respect to, the obligations of the Company.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2.24. </w:t>
      </w:r>
      <w:r>
        <w:rPr>
          <w:rFonts w:ascii="Times New Roman" w:hAnsi="Times New Roman"/>
          <w:b w:val="false"/>
          <w:color w:val="000000"/>
          <w:sz w:val="22"/>
          <w:u w:val="single"/>
        </w:rPr>
        <w:t>Extension of Maturity Date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Requests for Extension</w:t>
      </w:r>
      <w:r>
        <w:rPr>
          <w:rFonts w:ascii="Times New Roman" w:hAnsi="Times New Roman"/>
          <w:color w:val="000000"/>
          <w:sz w:val="22"/>
        </w:rPr>
        <w:t>. The Company may, by notice to the Administrative Agent (who shall promptly notify the applicable Class of Lenders) not earlier than 180 days and not later than 30 days prior to each anniversary of the Effective Date (each such date, an “</w:t>
      </w:r>
      <w:r>
        <w:rPr>
          <w:rFonts w:ascii="Times New Roman" w:hAnsi="Times New Roman"/>
          <w:color w:val="000000"/>
          <w:sz w:val="22"/>
          <w:u w:val="single"/>
        </w:rPr>
        <w:t>Extension Date</w:t>
      </w:r>
      <w:r>
        <w:rPr>
          <w:rFonts w:ascii="Times New Roman" w:hAnsi="Times New Roman"/>
          <w:color w:val="000000"/>
          <w:sz w:val="20"/>
        </w:rPr>
        <w:t>”</w:t>
      </w:r>
      <w:r>
        <w:rPr>
          <w:rFonts w:ascii="Times New Roman" w:hAnsi="Times New Roman"/>
          <w:color w:val="000000"/>
          <w:sz w:val="22"/>
        </w:rPr>
        <w:t>), request that each Lender extend such Lender’s Revolving Credit Maturity Date, Term A-1 Loan Maturity Date or Term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A-2 Loan Maturity Date, as the case may be, to the date that is one year after the applicable Maturity Date then in effect for such Lender (the “</w:t>
      </w:r>
      <w:r>
        <w:rPr>
          <w:rFonts w:ascii="Times New Roman" w:hAnsi="Times New Roman"/>
          <w:color w:val="000000"/>
          <w:sz w:val="22"/>
          <w:u w:val="single"/>
        </w:rPr>
        <w:t>Existing Maturity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Lender Elections to Extend</w:t>
      </w:r>
      <w:r>
        <w:rPr>
          <w:rFonts w:ascii="Times New Roman" w:hAnsi="Times New Roman"/>
          <w:color w:val="000000"/>
          <w:sz w:val="22"/>
        </w:rPr>
        <w:t>. Each Lender of the applicable Class, acting in its sole and individual discretion, shall, by notice to the Administrative Agent given not later than the date that is 15 days after the date on which the Administrative Agent received the Company’s extension request (the “</w:t>
      </w:r>
      <w:r>
        <w:rPr>
          <w:rFonts w:ascii="Times New Roman" w:hAnsi="Times New Roman"/>
          <w:color w:val="000000"/>
          <w:sz w:val="22"/>
          <w:u w:val="single"/>
        </w:rPr>
        <w:t>Lender Notice Date</w:t>
      </w:r>
      <w:r>
        <w:rPr>
          <w:rFonts w:ascii="Times New Roman" w:hAnsi="Times New Roman"/>
          <w:color w:val="000000"/>
          <w:sz w:val="20"/>
        </w:rPr>
        <w:t>”</w:t>
      </w:r>
      <w:r>
        <w:rPr>
          <w:rFonts w:ascii="Times New Roman" w:hAnsi="Times New Roman"/>
          <w:color w:val="000000"/>
          <w:sz w:val="22"/>
        </w:rPr>
        <w:t>), advise the Administrative Agent whether or not such Lender agrees to such extension (each applicable Lender that determines to so extend its Revolving Credit Maturity Date, Term A-1 Loan Maturity Date or Term A-2 Loan Maturity Date, as the case may be, an “</w:t>
      </w:r>
      <w:r>
        <w:rPr>
          <w:rFonts w:ascii="Times New Roman" w:hAnsi="Times New Roman"/>
          <w:color w:val="000000"/>
          <w:sz w:val="22"/>
          <w:u w:val="single"/>
        </w:rPr>
        <w:t>Extending Lender</w:t>
      </w:r>
      <w:r>
        <w:rPr>
          <w:rFonts w:ascii="Times New Roman" w:hAnsi="Times New Roman"/>
          <w:color w:val="000000"/>
          <w:sz w:val="20"/>
        </w:rPr>
        <w:t>”</w:t>
      </w:r>
      <w:r>
        <w:rPr>
          <w:rFonts w:ascii="Times New Roman" w:hAnsi="Times New Roman"/>
          <w:color w:val="000000"/>
          <w:sz w:val="22"/>
        </w:rPr>
        <w:t>). Each Lender of the applicable Class that determines not to so extend its Revolving Credit Maturity Date, Term A-1 Loan Maturity Date or Term A-2 Loan Maturity Date, as the case may be (a “</w:t>
      </w:r>
      <w:r>
        <w:rPr>
          <w:rFonts w:ascii="Times New Roman" w:hAnsi="Times New Roman"/>
          <w:color w:val="000000"/>
          <w:sz w:val="22"/>
          <w:u w:val="single"/>
        </w:rPr>
        <w:t>Non-Extending Lender</w:t>
      </w:r>
      <w:r>
        <w:rPr>
          <w:rFonts w:ascii="Times New Roman" w:hAnsi="Times New Roman"/>
          <w:color w:val="000000"/>
          <w:sz w:val="20"/>
        </w:rPr>
        <w:t>”</w:t>
      </w:r>
      <w:r>
        <w:rPr>
          <w:rFonts w:ascii="Times New Roman" w:hAnsi="Times New Roman"/>
          <w:color w:val="000000"/>
          <w:sz w:val="22"/>
        </w:rPr>
        <w:t>), shall notify the Administrative Agent of such fact promptly after such determination (but in any event no later than the Lender Notice Date), and any Lender of the applicable Class that does not so advise the Administrative Agent on or before the Lender Notice Date shall be deemed to be a Non-Extending Lender. The election of any Lender to agree to such extension shall not obligate any other Lender to so agree, and it is understood and agreed that no Lender shall have any obligation whatsoever to agree to any request made by the Company for extension of the Revolving Credit Maturity Date, the Term A-1 Loan Maturity Date or the Term A-2 Loan Maturity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u w:val="single"/>
        </w:rPr>
        <w:t>Notification by Administrative Agent</w:t>
      </w:r>
      <w:r>
        <w:rPr>
          <w:rFonts w:ascii="Times New Roman" w:hAnsi="Times New Roman"/>
          <w:color w:val="000000"/>
          <w:sz w:val="22"/>
        </w:rPr>
        <w:t>. The Administrative Agent shall notify the Company of each applicable Lender’s determination under this Section no later than the date that is the earlier of (i) 15 days prior to the applicable Extension Date (or, if such date is not a Business Day, on the next preceding Business Day) and (ii) 20 days following the Lender Notice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u w:val="single"/>
        </w:rPr>
        <w:t>Additional Commitment Lenders</w:t>
      </w:r>
      <w:r>
        <w:rPr>
          <w:rFonts w:ascii="Times New Roman" w:hAnsi="Times New Roman"/>
          <w:color w:val="000000"/>
          <w:sz w:val="22"/>
        </w:rPr>
        <w:t>. The Company shall have the right, but shall not be obligated, on or before the applicable Maturity Date for any Non-Extending Lender to replace such Non-Extending Lender with, and add as “Revolving Lenders” (in the case of any extension of the Revolving Credit Maturity Date) or add as “Term A-1 Lenders” (in the case of any extension of the Term A-1 Loan Maturity Date) or add as “Term A-2 Lenders” (in the case of any extension of the Term A-2 Loan Maturity Date) under this Agreement in place thereof, one or more financial institutions (other than any Ineligible Institution) (each, an “</w:t>
      </w:r>
      <w:r>
        <w:rPr>
          <w:rFonts w:ascii="Times New Roman" w:hAnsi="Times New Roman"/>
          <w:color w:val="000000"/>
          <w:sz w:val="22"/>
          <w:u w:val="single"/>
        </w:rPr>
        <w:t>Additional Commitment Lender</w:t>
      </w:r>
      <w:r>
        <w:rPr>
          <w:rFonts w:ascii="Times New Roman" w:hAnsi="Times New Roman"/>
          <w:color w:val="000000"/>
          <w:sz w:val="20"/>
        </w:rPr>
        <w:t>”</w:t>
      </w:r>
      <w:r>
        <w:rPr>
          <w:rFonts w:ascii="Times New Roman" w:hAnsi="Times New Roman"/>
          <w:color w:val="000000"/>
          <w:sz w:val="22"/>
        </w:rPr>
        <w:t xml:space="preserve">) approved by the Administrative Agent in accordance with the procedures provided in Section 2.19(b), each of which applicable Additional Commitment Lenders shall have entered into an Assignment and Assumption (in accordance with and subject to the restrictions contained in Section 9.04, with the Company or replacement Lender obligated to pay any applicable processing or recordation fee) with such Non-Extending Lender (and each Non-Extending Lender agrees to so execute such Assignment and Assumption), pursuant to which such Additional Commitment Lenders shall, effective on or before the applicable Maturity Date for such Non-Extending Lender, assume a Revolving Commitment, Term A-1 Loans or Term A-2 Loans, as the case may be (and, if any such Additional Commitment Lender is already a Lender of the applicable Class, its Revolving Commitment, its outstanding Term A-1 Loans and/or its outstanding Term A-2 Loans, as applicable, so assumed shall be in addition to such Lender’s Revolving Commitment, its outstanding Term A-1 Loans and/or its outstanding Term A-2 Loan, as applicable, hereunder on such date). Prior to any Non-Extending Lender being replaced by one or more Additional Commitment Lenders pursuant hereto, such Non-Extending Lender may elect, in its sole discretion, by giving irrevocable notice thereof to the Administrative Agent and the Company (which notice shall set forth such Lender’s new applicable Maturity Date), to become an Extending Lender. The Administrative Agent may effect such amendments to this Agreement as are reasonably necessary to provide for any such extensions with the consent of the Company but without the consent of any other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amendments to the scheduled amortization of the Term Loans any Class held by Extending Lenders and any Additional Commitment Lenders shall be subject to the consent of the applicable Extending Lenders and Additional Commitment Lenders of such Class.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Minimum Extension Requirement</w:t>
      </w:r>
      <w:r>
        <w:rPr>
          <w:rFonts w:ascii="Times New Roman" w:hAnsi="Times New Roman"/>
          <w:color w:val="000000"/>
          <w:sz w:val="22"/>
        </w:rPr>
        <w:t>. If (and only if) the total of the applicable Revolving Commitments or the applicable outstanding Term Loans of the Lenders of the applicable Class that have agreed to extend their applicable Maturity Date and the new or increased Revolving Commitments or the applicable newly assumed outstanding Term Loans of any Additional Commitment Lenders is more than 50% of the aggregate amount of the Revolving Commitments or the applicable outstanding Term Loans, as applicable, in effect immediately prior to the applicable Extension Date, then, effective as of the applicable Extension Date, the applicable Maturity Date of each Extending Lender and of each Additional Commitment Lender of the applicable Class shall be extended to the date that is one year after the Existing Maturity Date for such Class of Commitments (except that, if such date is not a Business Day, such applicable Maturity Date as so extended shall be the next preceding Business Day) and each Additional Commitment Lender of such Class shall thereupon become a “Revolving Lender”, a “Term A-1 Lender” and/or a “Term A-2 Lender”, as the case may be, for all purposes of this Agreement and shall be bound by the provisions of this Agreement as a Revolving Lender, a Term A-1 Lender and/or a Term A-2 Lender, as the case may be, hereunder and shall have the obligations of a Revolving Lender, a Term A-1 Lender and/or a Term A-2 Lender, as the case may be, hereunder.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u w:val="single"/>
        </w:rPr>
        <w:t>Conditions to Effectiveness of Extension</w:t>
      </w:r>
      <w:r>
        <w:rPr>
          <w:rFonts w:ascii="Times New Roman" w:hAnsi="Times New Roman"/>
          <w:color w:val="000000"/>
          <w:sz w:val="22"/>
        </w:rPr>
        <w:t>. Notwithstanding the foregoing, (x) no more than two (2) extensions of the Revolving Credit Maturity Date, no more than two (2) extensions of the Term A-1 Loan Maturity Date and no more than two (2) extension of the Term A-2 Loan Maturity Date shall be permitted hereunder and (y) any extension of any Maturity Date pursuant to this Section 2.24 shall not be effective with respect to any Extending Lender and each Additional Commitment Lender unless: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Company, the Administrative Agent, each Extending Lender and each Additional Commitment Lender (if any) shall have entered into a letter agreement confirming the applicable extension (the date of such letter agreement, the “</w:t>
      </w:r>
      <w:r>
        <w:rPr>
          <w:rFonts w:ascii="Times New Roman" w:hAnsi="Times New Roman"/>
          <w:color w:val="000000"/>
          <w:sz w:val="22"/>
          <w:u w:val="single"/>
        </w:rPr>
        <w:t>Confirmation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no Default or Event of Default shall have occurred and be continuing on the applicable Confirmation Date and immediately after giving effect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representations and warranties of the Company set forth in this Agreement (excluding the representations and warranties set forth in Sections 3.04(b) and 3.06(a)) are true and correct in all material respects (or, in the case of any such representation or warranty qualified by materiality or Material Adverse Effect, in all respects) on and as of the applicable Confirmation Date and after giving effect (including pro forma effect) thereto, as though made on and as of such date (or, if any such representation or warranty is expressly stated to have been made as of a specific date, as of such specific date);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the Administrative Agent shall have received a certificate from the Company signed by a Financial Officer of the Company (A) certifying the accuracy of the foregoing clauses (ii) and (iii) and (B) certifying and attaching the resolutions (if any are required) adopted by each Borrower approving or consenting to such extension.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u w:val="single"/>
        </w:rPr>
        <w:t>Maturity Date for Non-Extending Lenders</w:t>
      </w:r>
      <w:r>
        <w:rPr>
          <w:rFonts w:ascii="Times New Roman" w:hAnsi="Times New Roman"/>
          <w:color w:val="000000"/>
          <w:sz w:val="22"/>
        </w:rPr>
        <w:t>. On the applicable Maturity Date of each Non-Extending Lender of the relevant Class, (i) the Commitment of each Non-Extending Lender of such Class shall automatically terminate and (ii) the Company shall repay such Non-Extending Lender of such Class in accordance with Section 2.10 (and shall pay to such Non-Extending Lender all of the other Obligations owing to it under this Agreement) and after giving effect thereto shall prepay any Loans of the applicable Class outstanding on such date (and pay any additional amounts required pursuant to Section 2.16) to the extent necessary to keep outstanding Loans of the applicable Class ratable with any revised Applicable Percentages of the respective Lenders of such Class effective as of such date, and the Administrative Agent shall administer any necessary reallocation of the applicable Credit Exposures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regard to any minimum borrowing, pro rata borrowing and/or pro rata payment requirements contained elsewhere in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u w:val="single"/>
        </w:rPr>
        <w:t>Conflicting Provisions</w:t>
      </w:r>
      <w:r>
        <w:rPr>
          <w:rFonts w:ascii="Times New Roman" w:hAnsi="Times New Roman"/>
          <w:color w:val="000000"/>
          <w:sz w:val="22"/>
        </w:rPr>
        <w:t>. This Section shall supersede any provisions in Section 2.18 or Section 9.02 to the contrary.</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III</w:t>
      </w:r>
      <w:r>
        <w:rPr>
          <w:rFonts w:ascii="Times New Roman" w:hAnsi="Times New Roman"/>
          <w:b w:val="false"/>
          <w:color w:val="000000"/>
          <w:sz w:val="22"/>
          <w:u w:val="single"/>
        </w:rPr>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Borrower represents and warrants to the Lenders that: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3.01. </w:t>
      </w:r>
      <w:r>
        <w:rPr>
          <w:rFonts w:ascii="Times New Roman" w:hAnsi="Times New Roman"/>
          <w:b w:val="false"/>
          <w:color w:val="000000"/>
          <w:sz w:val="22"/>
          <w:u w:val="single"/>
        </w:rPr>
        <w:t>Organization; Powers; Subsidiaries</w:t>
      </w:r>
      <w:r>
        <w:rPr>
          <w:rFonts w:ascii="Times New Roman" w:hAnsi="Times New Roman"/>
          <w:b w:val="false"/>
          <w:color w:val="000000"/>
          <w:sz w:val="22"/>
        </w:rPr>
        <w:t xml:space="preserve">. Each of the Company and its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 </w:t>
      </w:r>
      <w:r>
        <w:rPr>
          <w:rFonts w:ascii="Times New Roman" w:hAnsi="Times New Roman"/>
          <w:b w:val="false"/>
          <w:color w:val="000000"/>
          <w:sz w:val="22"/>
          <w:u w:val="single"/>
        </w:rPr>
        <w:t>Schedule 3.01</w:t>
      </w:r>
      <w:r>
        <w:rPr>
          <w:rFonts w:ascii="Times New Roman" w:hAnsi="Times New Roman"/>
          <w:color w:val="000000"/>
          <w:sz w:val="20"/>
        </w:rPr>
        <w:t xml:space="preserve"> </w:t>
      </w:r>
      <w:r>
        <w:rPr>
          <w:rFonts w:ascii="Times New Roman" w:hAnsi="Times New Roman"/>
          <w:b w:val="false"/>
          <w:color w:val="000000"/>
          <w:sz w:val="22"/>
        </w:rPr>
        <w:t>hereto identifies, as of the Effective Date, each Subsidiary, noting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owned by the Company or another Subsidiary are owned, beneficially and of record, by the Company or any Subsidiary free and clear of all Liens other than Liens permitted under Section 6.02. As of the Effective Date, there are no outstanding commitments or other obligations of the Company or any Subsidiary to issue, and no options, warrants or other rights of any Person to acquire, any shares of any class of capital stock or other equity interests of any Subsidiary.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3.02. </w:t>
      </w:r>
      <w:r>
        <w:rPr>
          <w:rFonts w:ascii="Times New Roman" w:hAnsi="Times New Roman"/>
          <w:b w:val="false"/>
          <w:color w:val="000000"/>
          <w:sz w:val="22"/>
          <w:u w:val="single"/>
        </w:rPr>
        <w:t>Authorization; Enforceability</w:t>
      </w:r>
      <w:r>
        <w:rPr>
          <w:rFonts w:ascii="Times New Roman" w:hAnsi="Times New Roman"/>
          <w:b w:val="false"/>
          <w:color w:val="000000"/>
          <w:sz w:val="22"/>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3.03. </w:t>
      </w:r>
      <w:r>
        <w:rPr>
          <w:rFonts w:ascii="Times New Roman" w:hAnsi="Times New Roman"/>
          <w:b w:val="false"/>
          <w:color w:val="000000"/>
          <w:sz w:val="22"/>
          <w:u w:val="single"/>
        </w:rPr>
        <w:t>Governmental Approvals; No Conflicts</w:t>
      </w:r>
      <w:r>
        <w:rPr>
          <w:rFonts w:ascii="Times New Roman" w:hAnsi="Times New Roman"/>
          <w:b w:val="false"/>
          <w:color w:val="000000"/>
          <w:sz w:val="22"/>
        </w:rPr>
        <w:t>. The Transactions (a) do not require any consent or approval of, registration or filing with, or any other action by, any Governmental Authority, except such as have been obtained or made and are in full force and effect, (b) will not violate any applicable law or regulation or the charter, by-laws or other organizational documents of the Company or any of its Subsidiaries or any order of any Governmental Authority, (c) will not violate or result in a default under any material indenture, material agreement or other material instrument binding upon the Company or any of its Subsidiaries or its assets, or give rise to a right thereunder to require any payment to be made by the Company or any of its Subsidiaries, and (d) will not result in the creation or imposition of any Lien on any asset of the Company or any of its Subsidiaries.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3.04. </w:t>
      </w:r>
      <w:r>
        <w:rPr>
          <w:rFonts w:ascii="Times New Roman" w:hAnsi="Times New Roman"/>
          <w:b w:val="false"/>
          <w:color w:val="000000"/>
          <w:sz w:val="22"/>
          <w:u w:val="single"/>
        </w:rPr>
        <w:t>Financial Condition; No Material Adverse Change</w:t>
      </w:r>
      <w:r>
        <w:rPr>
          <w:rFonts w:ascii="Times New Roman" w:hAnsi="Times New Roman"/>
          <w:b w:val="false"/>
          <w:color w:val="000000"/>
          <w:sz w:val="22"/>
        </w:rPr>
        <w:t>. (a) The Company has heretofore furnished to the Lenders its consolidated balance sheet and statements of income,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equity and cash flows (i) as of and for the fiscal year ended December 31, 2025 reported on by Deloitte &amp; Touche LLP, independent public accountants and (ii) as of and for the fiscal quarter and the portion of the fiscal year ended March 31, 2026, certified by a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Since December 31, 2025, there has been no material adverse change in the business, assets, operations or financial condition of the Company and its Subsidiaries, taken as a whole.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3.05. </w:t>
      </w:r>
      <w:r>
        <w:rPr>
          <w:rFonts w:ascii="Times New Roman" w:hAnsi="Times New Roman"/>
          <w:b w:val="false"/>
          <w:color w:val="000000"/>
          <w:sz w:val="22"/>
          <w:u w:val="single"/>
        </w:rPr>
        <w:t>Properties</w:t>
      </w:r>
      <w:r>
        <w:rPr>
          <w:rFonts w:ascii="Times New Roman" w:hAnsi="Times New Roman"/>
          <w:b w:val="false"/>
          <w:color w:val="000000"/>
          <w:sz w:val="22"/>
        </w:rPr>
        <w:t>. (a) Each of the Company and its Subsidiaries has good title to, or valid leasehold interests in, all its real and personal property material to the conduct of the business of the Company and its Subsidiaries taken as a whole, except for minor defects in title that do not interfere with its ability to conduct its business as currently conducted or to utilize such properties for their intended purposes.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Each of the Company and its Subsidiaries owns, or is licensed to use, all trademarks, tradenames, copyrights, patents and other intellectual property material to its business, and the use thereof by the Company and its Subsidiaries does not, to the Company’s knowledge, infringe upon the rights of any other Person, except for any such infringements that, individually or in the aggregate,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3.06. </w:t>
      </w:r>
      <w:r>
        <w:rPr>
          <w:rFonts w:ascii="Times New Roman" w:hAnsi="Times New Roman"/>
          <w:b w:val="false"/>
          <w:color w:val="000000"/>
          <w:sz w:val="22"/>
          <w:u w:val="single"/>
        </w:rPr>
        <w:t>Litigation and Environmental</w:t>
      </w:r>
      <w:r>
        <w:rPr>
          <w:rFonts w:ascii="Times New Roman" w:hAnsi="Times New Roman"/>
          <w:b w:val="false"/>
          <w:color w:val="000000"/>
          <w:sz w:val="22"/>
        </w:rPr>
        <w:t>. (a) 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any other Loan Document or any of the transactions contemplated hereby.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or (ii) has become subject to or knows of any basis for any Environmental Liability.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3.07. </w:t>
      </w:r>
      <w:r>
        <w:rPr>
          <w:rFonts w:ascii="Times New Roman" w:hAnsi="Times New Roman"/>
          <w:b w:val="false"/>
          <w:color w:val="000000"/>
          <w:sz w:val="22"/>
          <w:u w:val="single"/>
        </w:rPr>
        <w:t>Compliance with Laws and Agreements</w:t>
      </w:r>
      <w:r>
        <w:rPr>
          <w:rFonts w:ascii="Times New Roman" w:hAnsi="Times New Roman"/>
          <w:b w:val="false"/>
          <w:color w:val="000000"/>
          <w:sz w:val="22"/>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3.08. </w:t>
      </w:r>
      <w:r>
        <w:rPr>
          <w:rFonts w:ascii="Times New Roman" w:hAnsi="Times New Roman"/>
          <w:b w:val="false"/>
          <w:color w:val="000000"/>
          <w:sz w:val="22"/>
          <w:u w:val="single"/>
        </w:rPr>
        <w:t>Investment Company Status</w:t>
      </w:r>
      <w:r>
        <w:rPr>
          <w:rFonts w:ascii="Times New Roman" w:hAnsi="Times New Roman"/>
          <w:b w:val="false"/>
          <w:color w:val="000000"/>
          <w:sz w:val="22"/>
        </w:rPr>
        <w:t>. Neither the Company nor any of its Subsidiaries is, or is required to be registered as, an “investment company” as defined in the Investment Company Act of 1940.</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3.09. </w:t>
      </w:r>
      <w:r>
        <w:rPr>
          <w:rFonts w:ascii="Times New Roman" w:hAnsi="Times New Roman"/>
          <w:b w:val="false"/>
          <w:color w:val="000000"/>
          <w:sz w:val="22"/>
          <w:u w:val="single"/>
        </w:rPr>
        <w:t>Taxes</w:t>
      </w:r>
      <w:r>
        <w:rPr>
          <w:rFonts w:ascii="Times New Roman" w:hAnsi="Times New Roman"/>
          <w:b w:val="false"/>
          <w:color w:val="000000"/>
          <w:sz w:val="22"/>
        </w:rPr>
        <w:t>. Each of the Company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books adequate reserves or (b) to the extent that the failure to do so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3.10. </w:t>
      </w:r>
      <w:r>
        <w:rPr>
          <w:rFonts w:ascii="Times New Roman" w:hAnsi="Times New Roman"/>
          <w:b w:val="false"/>
          <w:color w:val="000000"/>
          <w:sz w:val="22"/>
          <w:u w:val="single"/>
        </w:rPr>
        <w:t>ERISA</w:t>
      </w:r>
      <w:r>
        <w:rPr>
          <w:rFonts w:ascii="Times New Roman" w:hAnsi="Times New Roman"/>
          <w:b w:val="false"/>
          <w:color w:val="000000"/>
          <w:sz w:val="22"/>
        </w:rPr>
        <w:t>. No ERISA Event has occurred or is reasonably expected to occur that, when taken together with all other such ERISA Events for which liability is reasonably expected to occur, could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3.11. </w:t>
      </w:r>
      <w:r>
        <w:rPr>
          <w:rFonts w:ascii="Times New Roman" w:hAnsi="Times New Roman"/>
          <w:b w:val="false"/>
          <w:color w:val="000000"/>
          <w:sz w:val="22"/>
          <w:u w:val="single"/>
        </w:rPr>
        <w:t>Disclosure</w:t>
      </w:r>
      <w:r>
        <w:rPr>
          <w:rFonts w:ascii="Times New Roman" w:hAnsi="Times New Roman"/>
          <w:b w:val="false"/>
          <w:color w:val="000000"/>
          <w:sz w:val="22"/>
        </w:rPr>
        <w:t xml:space="preserve">. Neither the Information Memorandum nor any of the other material written reports, financial statements, certificates or other information furnished by or on behalf of the Company or any Subsidiary (other than projections, forward looking statements and other than information of a general economic or industry specific nature) to the Administrative Agent or any Lender in connection with the negotiation of this Agreement or delivered hereunder (as modified or supplemented by other information so furnished and when taken as a whole) contained when furnished any material misstatement of fact or omits to state any material fact necessary to make the statements therein, in the light of the circumstances under which they were made, not materially misleading;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with respect to projected financial information, the Borrowers represent only that such information was prepared in good faith based upon assumptions believed to be reasonable at the time prepared; it being understood that such projected financial information is as to future events and is not to be viewed as facts, projections are subject to significant uncertainties and contingencies, many of which are beyond the Company’s and its Subsidiaries’ control and no assurance can be given that any particular projections will be realized and actual results during the period or periods covered by any such projections may differ from the projected results and such differences may be material. As of the Effective Date, to the best knowledge of the Company, the information included in the Beneficial Ownership Certification, if any, provided on or prior to the Effective Date to any Lender in connection with this Agreement is true and correct in all respects.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3.12. </w:t>
      </w:r>
      <w:r>
        <w:rPr>
          <w:rFonts w:ascii="Times New Roman" w:hAnsi="Times New Roman"/>
          <w:b w:val="false"/>
          <w:color w:val="000000"/>
          <w:sz w:val="22"/>
          <w:u w:val="single"/>
        </w:rPr>
        <w:t>Federal Reserve Regulations</w:t>
      </w:r>
      <w:r>
        <w:rPr>
          <w:rFonts w:ascii="Times New Roman" w:hAnsi="Times New Roman"/>
          <w:b w:val="false"/>
          <w:color w:val="000000"/>
          <w:sz w:val="22"/>
        </w:rPr>
        <w:t>. No part of the proceeds of any Loan have been used or will be used, whether directly or indirectly, for any purpose that entails a violation of any of the Regulations of the Board, including Regulations T, U and X.</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3.13. </w:t>
      </w:r>
      <w:r>
        <w:rPr>
          <w:rFonts w:ascii="Times New Roman" w:hAnsi="Times New Roman"/>
          <w:b w:val="false"/>
          <w:color w:val="000000"/>
          <w:sz w:val="22"/>
          <w:u w:val="single"/>
        </w:rPr>
        <w:t>No Default</w:t>
      </w:r>
      <w:r>
        <w:rPr>
          <w:rFonts w:ascii="Times New Roman" w:hAnsi="Times New Roman"/>
          <w:b w:val="false"/>
          <w:color w:val="000000"/>
          <w:sz w:val="22"/>
        </w:rPr>
        <w:t>. No Default or Event of Default has occurred and is continuing.</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3.14. </w:t>
      </w:r>
      <w:r>
        <w:rPr>
          <w:rFonts w:ascii="Times New Roman" w:hAnsi="Times New Roman"/>
          <w:b w:val="false"/>
          <w:color w:val="000000"/>
          <w:sz w:val="22"/>
          <w:u w:val="single"/>
        </w:rPr>
        <w:t xml:space="preserve">Anti-Corruption Laws and Sanctions </w:t>
      </w:r>
      <w:r>
        <w:rPr>
          <w:rFonts w:ascii="Times New Roman" w:hAnsi="Times New Roman"/>
          <w:b w:val="false"/>
          <w:color w:val="000000"/>
          <w:sz w:val="22"/>
        </w:rPr>
        <w:t>. The Company has implemented and maintains in effect policies and procedures designed to ensure compliance by the Company, its Subsidiaries and their respective directors, officers, employees and agents with Anti-Corruption Laws, the Patriot Act and applicable Sanctions, and the Company, its Subsidiaries and their respective officers and employees and to the knowledge of the Company its directors and agents, are in compliance with Anti-Corruption Laws, the Patriot Act and applicable Sanctions in all material respects and, in the case of any Subsidiary Borrower, is not knowingly engaged in any activity that could reasonably be expected to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or is in violation of the Patriot Act. No Borrowing or Letter of Credit, use of proceeds or other Transactions will be used by the Company or any Subsidiary Borrower in a manner which would violate Anti-Corruption Laws or applicable Sanctions or for the purpose of funding, financing or facilitating any activities, business or transaction of or with any Sanctioned Person, or in any Sanctioned Country.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3.15. </w:t>
      </w:r>
      <w:r>
        <w:rPr>
          <w:rFonts w:ascii="Times New Roman" w:hAnsi="Times New Roman"/>
          <w:b w:val="false"/>
          <w:color w:val="000000"/>
          <w:sz w:val="22"/>
          <w:u w:val="single"/>
        </w:rPr>
        <w:t>Affected Financial Institutions</w:t>
      </w:r>
      <w:r>
        <w:rPr>
          <w:rFonts w:ascii="Times New Roman" w:hAnsi="Times New Roman"/>
          <w:b w:val="false"/>
          <w:color w:val="000000"/>
          <w:sz w:val="22"/>
        </w:rPr>
        <w:t>. No Loan Party is an Affected Financial Institution.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3.16. </w:t>
      </w:r>
      <w:r>
        <w:rPr>
          <w:rFonts w:ascii="Times New Roman" w:hAnsi="Times New Roman"/>
          <w:b w:val="false"/>
          <w:color w:val="000000"/>
          <w:sz w:val="22"/>
          <w:u w:val="single"/>
        </w:rPr>
        <w:t>Outbound Investment Rules</w:t>
      </w:r>
      <w:r>
        <w:rPr>
          <w:rFonts w:ascii="Times New Roman" w:hAnsi="Times New Roman"/>
          <w:b w:val="false"/>
          <w:color w:val="000000"/>
          <w:sz w:val="22"/>
        </w:rPr>
        <w:t>. No Loan Party is a ‘covered foreign person’ as that term is used in the Outbound Investment Rules.</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IV</w:t>
      </w:r>
      <w:r>
        <w:rPr>
          <w:rFonts w:ascii="Times New Roman" w:hAnsi="Times New Roman"/>
          <w:b w:val="false"/>
          <w:color w:val="000000"/>
          <w:sz w:val="22"/>
          <w:u w:val="single"/>
        </w:rPr>
        <w:br/>
        <w:br/>
        <w:t>Conditions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4.01. </w:t>
      </w:r>
      <w:r>
        <w:rPr>
          <w:rFonts w:ascii="Times New Roman" w:hAnsi="Times New Roman"/>
          <w:b w:val="false"/>
          <w:color w:val="000000"/>
          <w:sz w:val="22"/>
          <w:u w:val="single"/>
        </w:rPr>
        <w:t>Effective Date</w:t>
      </w:r>
      <w:r>
        <w:rPr>
          <w:rFonts w:ascii="Times New Roman" w:hAnsi="Times New Roman"/>
          <w:b w:val="false"/>
          <w:color w:val="000000"/>
          <w:sz w:val="22"/>
        </w:rPr>
        <w:t>. The obligations of the Lenders to make Loans, and of each Issuing Bank to issue Letters of Credit hereunder, in each case shall not become effective until the date on which each of the following conditions is satisfied (or waived in accordance with Section 9.02):</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The Administrative Agent (or its counsel) shall have received (i) from each party hereto a counterpart of this Agreement signed on behalf of such party (which, subject to Section 9.06, may include any Electronic Signatures transmitted by telecopy, emailed pdf, or any other electronic means that reproduces an image of an actual executed signature page) and (ii) duly executed copies of the Loan Documents and such other legal opinions, certificates, documents, instruments and agreements as the Administrative Agent shall reasonably request in connection with the Transactions, all in form and substance satisfactory to the Administrative Agent and its counsel and as further described in the list of closing documents attached as </w:t>
      </w:r>
      <w:r>
        <w:rPr>
          <w:rFonts w:ascii="Times New Roman" w:hAnsi="Times New Roman"/>
          <w:color w:val="000000"/>
          <w:sz w:val="22"/>
          <w:u w:val="single"/>
        </w:rPr>
        <w:t>Exhibit 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Administrative Agent shall have received favorable written opinions (in each case addressed to the Administrative Agent and the Lenders and dated the Effective Date) of counsels for the Loan Parties covering such matters relating to the Loan Parties, the Loan Documents or the Transactions as the Administrative Agent shall reasonably request. The Company hereby requests such counsel to deliver such opinions.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such Loan Parties, the Loan Documents or the Transactions, all in form and substance satisfactory to the Administrative Agent and its counsel and as further described in the list of closing documents attached as </w:t>
      </w:r>
      <w:r>
        <w:rPr>
          <w:rFonts w:ascii="Times New Roman" w:hAnsi="Times New Roman"/>
          <w:color w:val="000000"/>
          <w:sz w:val="22"/>
          <w:u w:val="single"/>
        </w:rPr>
        <w:t>Exhibit 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The Administrative Agent shall have received a certificate, dated the Effective Date and signed by the President, a Vice President or a Financial Officer of the Company, certifying (i) that the representations and warranties contained in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are true and correct as of such date and (ii) that no Default or Event of Default has occurred and is continuing as of such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The Administrative Agent shall have substantially concurrently received from the Company (to the extent not being paid out of the proceeds of the initial Loans being made on the Effective Date), for the benefit of each “Term Lender” under (and as defined in) the Existing Credit Agreement prepayment of the outstanding principal amount of all “Term Loans” under (and as defined in) the Existing Credit Agreement (and all accrued interest thereon).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The Administrative Agent shall have received evidence satisfactory to it that the loan facility evidenced by the Existing Loan Agreement shall have been terminated and cancelled and all indebtedness thereunder shall have been fully repaid (except to the extent being so repaid with the initial Loans).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(i) The Administrative Agent shall have received, at least five (5) days prior to the Effective Date, all documentation and other information regarding the Borrowers requested in connection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applicable “know your customer” and anti-money laundering rules and regulations, including the Patriot Act, to the extent requested in writing of the Company at least ten (10) days prior to the Effective Date and (ii) to the extent any Borrower qualifies as a “legal entity customer” under the Beneficial Ownership Regulation, at least five (5) days prior to the Effective Date, any Lender that has requested, in a written notice to the Company at least ten (10) days prior to the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(g) shall be deemed to be satisfied).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(i) The Administrative Agent shall have received, or, substantially concurrently herewith shall receive, all fees and other amounts due and payable on or prior to the Effective Date, including, to the extent invoiced at least one (1) Business Day prior to the Effective Date, reimbursement or payment of all out-of-pocket expenses required to be reimbursed or paid by the Company hereunder (which fees and expenses may be paid from the proceeds of the Loans funded on the Effective Date) and (ii) each Joint Bookrunner shall have received, or, substantially concurrently herewith shall receive, all fees as agreed upon between such Joint Bookrunner and the Company (which fees and expenses may be paid from the proceeds of the Loans funded on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notify the Company and the Lenders of the Effective Date, and such notice shall be conclusive and binding. Each Lender, by delivering its signature page to this Agreement, shall be deemed to have consented to and approved, each Loan Document and each other document required to be approved by any Lender on the Effective Date.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4.02. </w:t>
      </w:r>
      <w:r>
        <w:rPr>
          <w:rFonts w:ascii="Times New Roman" w:hAnsi="Times New Roman"/>
          <w:b w:val="false"/>
          <w:color w:val="000000"/>
          <w:sz w:val="22"/>
          <w:u w:val="single"/>
        </w:rPr>
        <w:t>Each Credit Event</w:t>
      </w:r>
      <w:r>
        <w:rPr>
          <w:rFonts w:ascii="Times New Roman" w:hAnsi="Times New Roman"/>
          <w:b w:val="false"/>
          <w:color w:val="000000"/>
          <w:sz w:val="22"/>
        </w:rPr>
        <w:t>. The obligation of each Lender to make a Loan (excluding any continuation or conversion of a Term Benchmark Loan, any loans “deemed” made under this Agreement in respect of any reallocation expressly provided herein and any Incremental Term Loan (which shall be governed by Section 2.20)) and of each Issuing Bank to issue, increase or extend any Letter of Credit, is subject to the satisfaction of the following conditions: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representations and warranties of the Borrowers set forth in this Agreement (excluding the representations and warranties set forth in Sections 3.04(b) and 3.06(a)) shall be true and correct in all material respects (or, in the case of any such representation or warranty qualified by materiality or Material Adverse Effect, in all respects) on and as of the date of such Loan or the date of issuance, increase or extension of such Letter of Credit, as applicable, other than any such representation or warranty given as of a particular date in which case they shall be true and correct in all material respects (or, in the case of any such representation or warranty qualified by materiality or Material Adverse Effect, in all respects) as of such date.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At the time of and immediately after giving effect to such Loan or the issuance, increase or extension of such Letter of Credit, as applicable, no Default or Event of Default shall have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making of each Loan (other than as excluded pursuant to the first sentence of this Section 4.02) and each issuance, increase, renewal or extension of a Letter of Credit shall be deemed to constitute a representation and warranty by the Borrowers on the date thereof as to the matters specified in paragraphs (a) and (b) of this Section.</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4.03. </w:t>
      </w:r>
      <w:r>
        <w:rPr>
          <w:rFonts w:ascii="Times New Roman" w:hAnsi="Times New Roman"/>
          <w:b w:val="false"/>
          <w:color w:val="000000"/>
          <w:sz w:val="22"/>
          <w:u w:val="single"/>
        </w:rPr>
        <w:t>Designation of a Subsidiary Borrower</w:t>
      </w:r>
      <w:r>
        <w:rPr>
          <w:rFonts w:ascii="Times New Roman" w:hAnsi="Times New Roman"/>
          <w:b w:val="false"/>
          <w:color w:val="000000"/>
          <w:sz w:val="22"/>
        </w:rPr>
        <w:t>. The designation of a Subsidiary Borrower pursuant to Section 2.23 is subject to the condition precedent that the Company or such proposed Subsidiary Borrower shall have furnished or caused to be furnished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Copies, certified by the Secretary or Assistant Secretary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good standing of such Subsidiary;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An incumbency certificate, executed by the Secretary or Assistant Secretary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Any promissory notes requested by any Lender, and any other instruments and documents reasonably requested by the Administrative Agent;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Any documentation and other information that is reasonably requested by the Administrative Agent or any of the Lenders and that is required by regulatory authorities under applicable “know-your-customer” and anti-money laundering rules and regulations, including the Patriot Act and the Beneficial Ownership Regulation.</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V</w:t>
      </w:r>
      <w:r>
        <w:rPr>
          <w:rFonts w:ascii="Times New Roman" w:hAnsi="Times New Roman"/>
          <w:b w:val="false"/>
          <w:color w:val="000000"/>
          <w:sz w:val="22"/>
          <w:u w:val="single"/>
        </w:rPr>
        <w:br/>
        <w:br/>
        <w:t>Affirmative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Commencing on the Effective Date and until the Commitments have expired or been terminated and the principal of and interest on each Loan and all fees payable hereunder shall have been paid in full and all Letters of Credit shall have expired, terminated or been cash collateralized as provided herein, in each case, without any pending draw, and all LC Disbursements shall have been reimbursed, the Company covenants and agrees with the Lenders that: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5.01. </w:t>
      </w:r>
      <w:r>
        <w:rPr>
          <w:rFonts w:ascii="Times New Roman" w:hAnsi="Times New Roman"/>
          <w:b w:val="false"/>
          <w:color w:val="000000"/>
          <w:sz w:val="22"/>
          <w:u w:val="single"/>
        </w:rPr>
        <w:t>Financial Statements and Other Information</w:t>
      </w:r>
      <w:r>
        <w:rPr>
          <w:rFonts w:ascii="Times New Roman" w:hAnsi="Times New Roman"/>
          <w:b w:val="false"/>
          <w:color w:val="000000"/>
          <w:sz w:val="22"/>
        </w:rPr>
        <w:t>. The Company will furnish to the Administrative Agent: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within ninety (90) days after the end of each fiscal year of the Company (or, if earlier, by the date that the Annual Report on Form 10-K of the Company for such fiscal year would be required to be filed under the rules and regulations of the SEC, giving effect to any extension available thereunder for the filing of such form pursuant to Rule 12(b)-25 of the United States Securities Exchange Act of 1934),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(other than such exception or qualification that is with respect to, or expressly resulting solely from, the occurrence of an upcoming Maturity Date under this Agreement that is scheduled to occur within one year from the time such report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opinion are delivered))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within sixty (60) days after the end of each of the first three fiscal quarters (commencing with the fiscal quarter ending on or about June 30, 2026) of each fiscal year of the Company (or, if earlier, by the date that the Quarterly Report on Form 10-Q of the Company for such fiscal quarter would be required to be filed under the rules and regulations of the SEC, giving effect to any extension available thereunder for the filing of such form pursuant to Rule 12(b)-25 of the United States Securities Exchange Act of 1934),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concurrently with any delivery of financial statements under clause (a) or (b) above, a certificate of a Financial Officer of the Company in the form of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attached hereto (i) certifying as to whether a Default has occurred and, if a Default has occurred, specifying the details thereof and any action taken or proposed to be taken with respect thereto and (ii) setting forth reasonably detailed calculations demonstrating compliance with Section 6.05;</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promptly after the Company becomes aware that Moody’s, S&amp;P or Fitch shall have announced a change in the rating established for the Index Debt, written notice of such rating change;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promptly following any request therefor, (x) such other information regarding the operations, business affairs and financial condition of the Company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Documents required to be delivered pursuant to clauses (a), (b) and (d) of this Section 5.01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Company’s behalf on an Internet or intranet website, if any, to which each Lender and the Administrative Agent have access (whether a commercial, third-party website or whether made available by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upon written request by the Administrative Agent (or any Lender through the Administrative Agent) to the Company, the Company shall deliver paper copies of such documents to the Administrative Agent or such Lender until a written request to cease delivering paper copies is given by the Administrative Agent or such Lender and (B) the Company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event shall have no responsibility to monitor compliance by the Company with any such request by a Lender for delivery, and each Lender shall be solely responsible for timely accessing posted documents or requesting delivery of paper copies of such document to it and maintaining its copies of such documents.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5.02. </w:t>
      </w:r>
      <w:r>
        <w:rPr>
          <w:rFonts w:ascii="Times New Roman" w:hAnsi="Times New Roman"/>
          <w:b w:val="false"/>
          <w:color w:val="000000"/>
          <w:sz w:val="22"/>
          <w:u w:val="single"/>
        </w:rPr>
        <w:t>Notices of Material Events</w:t>
      </w:r>
      <w:r>
        <w:rPr>
          <w:rFonts w:ascii="Times New Roman" w:hAnsi="Times New Roman"/>
          <w:b w:val="false"/>
          <w:color w:val="000000"/>
          <w:sz w:val="22"/>
        </w:rPr>
        <w:t>. The Company will furnish written notice to the Administrative Agent promptly upon a Responsible Officer of the Company obtaining knowledge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occurrence of any Default;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filing or commencement of any action, suit or proceeding by or before any arbitrator or Governmental Authority against or affecting the Company or any Affiliate thereof that could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occurrence of any ERISA Event that, alone or together with any other ERISA Events that have occurred, could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any other development that results in, or could reasonably be expected to result in, a Material Adverse Effect;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any change in the information provided in the Beneficial Ownership Certification, if any, delivered to such Lender that would result in a change to the list of beneficial owners identified in such certification.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notice delivered under this Section (i) shall contain a heading or a reference line that reads “Notice under Section 5.02 of the Brown &amp; Brown Third Amended and Restated Credit Agreement dated June 5, 2026” and (ii) shall be accompanied by a statement of a Financial Officer or other executive officer of the Company setting forth the details of the event or development requiring such notice and any action taken or proposed to be taken with respect thereto.</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5.03. </w:t>
      </w:r>
      <w:r>
        <w:rPr>
          <w:rFonts w:ascii="Times New Roman" w:hAnsi="Times New Roman"/>
          <w:b w:val="false"/>
          <w:color w:val="000000"/>
          <w:sz w:val="22"/>
          <w:u w:val="single"/>
        </w:rPr>
        <w:t>Existence; Conduct of Business</w:t>
      </w:r>
      <w:r>
        <w:rPr>
          <w:rFonts w:ascii="Times New Roman" w:hAnsi="Times New Roman"/>
          <w:b w:val="false"/>
          <w:color w:val="000000"/>
          <w:sz w:val="22"/>
        </w:rPr>
        <w:t xml:space="preserve">. The Company will, and will cause each of its Material Subsidiaries to, do or cause to be done all things necessary to preserve, renew and keep in full force and effect its legal existence in its jurisdiction of organization and the rights, qualifications, licenses, permits, privileges, franchises, governmental authorizations and intellectual property rights material to the conduct of its business;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the foregoing shall not prohibit any merger, consolidation, liquidation or dissolution not prohibited herein.</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5.04. </w:t>
      </w:r>
      <w:r>
        <w:rPr>
          <w:rFonts w:ascii="Times New Roman" w:hAnsi="Times New Roman"/>
          <w:b w:val="false"/>
          <w:color w:val="000000"/>
          <w:sz w:val="22"/>
          <w:u w:val="single"/>
        </w:rPr>
        <w:t>Payment of Taxes</w:t>
      </w:r>
      <w:r>
        <w:rPr>
          <w:rFonts w:ascii="Times New Roman" w:hAnsi="Times New Roman"/>
          <w:b w:val="false"/>
          <w:color w:val="000000"/>
          <w:sz w:val="22"/>
        </w:rPr>
        <w:t>. The Company will, and will cause each of its Subsidiaries to, pay its Tax liabilities that, if not paid, could reasonably be expected to result in a Material Adverse Effect before the same shall become delinquent or in default, except where (a) the validity or amount thereof is being contested in good faith by appropriate proceedings, and (b) the Company or such Subsidiary has set aside on its books adequate reserves with respect thereto in accordance with GAAP.</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5.05. </w:t>
      </w:r>
      <w:r>
        <w:rPr>
          <w:rFonts w:ascii="Times New Roman" w:hAnsi="Times New Roman"/>
          <w:b w:val="false"/>
          <w:color w:val="000000"/>
          <w:sz w:val="22"/>
          <w:u w:val="single"/>
        </w:rPr>
        <w:t>Maintenance of Properties; Insurance</w:t>
      </w:r>
      <w:r>
        <w:rPr>
          <w:rFonts w:ascii="Times New Roman" w:hAnsi="Times New Roman"/>
          <w:b w:val="false"/>
          <w:color w:val="000000"/>
          <w:sz w:val="22"/>
        </w:rPr>
        <w:t>. The Company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5.06. </w:t>
      </w:r>
      <w:r>
        <w:rPr>
          <w:rFonts w:ascii="Times New Roman" w:hAnsi="Times New Roman"/>
          <w:b w:val="false"/>
          <w:color w:val="000000"/>
          <w:sz w:val="22"/>
          <w:u w:val="single"/>
        </w:rPr>
        <w:t>Books and Records; Inspection Rights</w:t>
      </w:r>
      <w:r>
        <w:rPr>
          <w:rFonts w:ascii="Times New Roman" w:hAnsi="Times New Roman"/>
          <w:b w:val="false"/>
          <w:color w:val="000000"/>
          <w:sz w:val="22"/>
        </w:rPr>
        <w:t>. The Company will, and will cause each of its Subsidiaries to, keep proper books of record and account in which full, true and correct entries are made of all dealings and transactions in relation to its business and activities. The Company will, and will cause each of its Subsidiaries to, permit any representatives designated by the Administrative Agent, upon reasonable prior notice to a Financial Officer and during regular business hours, to visit and inspect its properties, to examine and make extracts from its books and records, and to discuss its affairs, finances and condition with its officers and independent accountants, all at such reasonable times and as often as reasonably requested; provided that (i) a Financial Officer or other officer appointed by a Financial Officer shall be given notice and an opportunity to participate with any discussions with officers and independent accountants, and (ii) so long as no Event of Default has occurred and is continuing, the Administrative Agent shall not exercise such rights set forth in this sentence more one time in any twelve month period. Notwithstanding anything to the contrary in this Section, none of the Company nor any Subsidiary will be required to disclose or permit the inspection of any document, information or other matter (x) in respect of which disclosure to the Administrative Agent (or its representatives or contractors) is prohibited by law or any binding agreement not entered not in contemplation of avoiding such inspection and disclosure rights or (y) that is subject to attorney-client or similar privilege or constitutes attorney work product. The Company acknowledges that the Administrative Agent, after exercising its rights of inspection, may prepare and distribute to the Lenders certain reports pertaining to the Company and its Subsidiaries’ assets for internal use by the Administrative Agent and the Lenders.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5.07. </w:t>
      </w:r>
      <w:r>
        <w:rPr>
          <w:rFonts w:ascii="Times New Roman" w:hAnsi="Times New Roman"/>
          <w:b w:val="false"/>
          <w:color w:val="000000"/>
          <w:sz w:val="22"/>
          <w:u w:val="single"/>
        </w:rPr>
        <w:t xml:space="preserve">Compliance with Laws </w:t>
      </w:r>
      <w:r>
        <w:rPr>
          <w:rFonts w:ascii="Times New Roman" w:hAnsi="Times New Roman"/>
          <w:b w:val="false"/>
          <w:color w:val="000000"/>
          <w:sz w:val="22"/>
        </w:rPr>
        <w:t>. The Company will, and will cause each of its Subsidiaries to, comply with all laws, rules, regulations and orders of any Governmental Authority applicable to it or its property (including without limitation Environmental Laws), except where the failure to do so, individually or in the aggregate, could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5.08. </w:t>
      </w:r>
      <w:r>
        <w:rPr>
          <w:rFonts w:ascii="Times New Roman" w:hAnsi="Times New Roman"/>
          <w:b w:val="false"/>
          <w:color w:val="000000"/>
          <w:sz w:val="22"/>
          <w:u w:val="single"/>
        </w:rPr>
        <w:t>Use of Proceeds</w:t>
      </w:r>
      <w:r>
        <w:rPr>
          <w:rFonts w:ascii="Times New Roman" w:hAnsi="Times New Roman"/>
          <w:b w:val="false"/>
          <w:color w:val="000000"/>
          <w:sz w:val="22"/>
        </w:rPr>
        <w:t>. The proceeds of the Loans will be used only to refinance certain existing Indebtedness of the Company and for general corporate purposes (including Acquisitions, investments and other transactions not prohibited by the terms hereof) of the Company and its Subsidiaries. The proceeds of the initial Term Loans shall be used as provided in the Existing Credit Agreement. No part of the proceeds of any Loan will be used, whether directly or indirectly, for any purpose that entails a violation of any of the Regulations of the Board, including Regulations T, U and X. No Borrower will request any Borrowing or Letter of Credit, and no Borrower shall use, and the Company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(iii) in any manner that would result in the violation of any Sanctions applicable to any party hereto.</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VI</w:t>
      </w:r>
      <w:r>
        <w:rPr>
          <w:rFonts w:ascii="Times New Roman" w:hAnsi="Times New Roman"/>
          <w:b w:val="false"/>
          <w:color w:val="000000"/>
          <w:sz w:val="22"/>
          <w:u w:val="single"/>
        </w:rPr>
        <w:br/>
        <w:br/>
        <w:t>Negative Covenants</w:t>
      </w:r>
    </w:p>
    <w:p>
      <w:pPr>
        <w:pStyle w:val="TextBody"/>
        <w:bidi w:val="0"/>
        <w:spacing w:before="0" w:after="240"/>
        <w:jc w:val="both"/>
        <w:rPr>
          <w:rFonts w:ascii="Times New Roman" w:hAnsi="Times New Roman"/>
          <w:sz w:val="20"/>
        </w:rPr>
      </w:pPr>
      <w:r>
        <w:rPr>
          <w:rFonts w:ascii="Times New Roman" w:hAnsi="Times New Roman"/>
          <w:color w:val="000000"/>
          <w:sz w:val="22"/>
        </w:rPr>
        <w:t>Commencing on the Effective Date and until the Commitments have expired or terminated and the principal of and interest on each Loan and all fees payable hereunder have been paid in full and all Letters of Credit have expired, terminated or been cash collateralized as provided herein, in each case,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without any pending draw, and all LC Disbursements shall have been reimbursed, the Company covenants and agrees with the Lenders that: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6.01. </w:t>
      </w:r>
      <w:r>
        <w:rPr>
          <w:rFonts w:ascii="Times New Roman" w:hAnsi="Times New Roman"/>
          <w:b w:val="false"/>
          <w:color w:val="000000"/>
          <w:sz w:val="22"/>
          <w:u w:val="single"/>
        </w:rPr>
        <w:t>Indebtedness</w:t>
      </w:r>
      <w:r>
        <w:rPr>
          <w:rFonts w:ascii="Times New Roman" w:hAnsi="Times New Roman"/>
          <w:b w:val="false"/>
          <w:color w:val="000000"/>
          <w:sz w:val="22"/>
        </w:rPr>
        <w:t>. The Company will not permit any Subsidiary (other than any Subsidiary Borrower) to, create, incur, assume or permit to exist any Indebtedness, except: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Obligations;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Indebtedness existing on the date hereof and set forth in </w:t>
      </w:r>
      <w:r>
        <w:rPr>
          <w:rFonts w:ascii="Times New Roman" w:hAnsi="Times New Roman"/>
          <w:color w:val="000000"/>
          <w:sz w:val="22"/>
          <w:u w:val="single"/>
        </w:rPr>
        <w:t>Schedule 6.01</w:t>
      </w:r>
      <w:r>
        <w:rPr>
          <w:rFonts w:ascii="Times New Roman" w:hAnsi="Times New Roman"/>
          <w:color w:val="000000"/>
          <w:sz w:val="22"/>
        </w:rPr>
        <w:t>, including, without limitation, any borrowings or other extensions of credit under revolving lines of credit reflected on such schedule in an amount up to the commitment under such lines of credit as in effect on the date hereof and extensions, renewals and replacements of any such Indebtedness with Indebtedness of a similar type that does not increase the outstanding principal amount (or commitment amount, as the case may be)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Intercompany Loans;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Guarantees by any Subsidiary of Indebtedness of the Company or any other Subsidiary;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 xml:space="preserve">Indebtedness of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Indebtedness is incurred prior to or within ninety (90) days after such acquisition or the completion of such construction or improvement and (ii) the aggregate principal amount of Indebtedness permitted by this clause (e), together with the aggregate principal amount of all Indebtedness and other obligations secured by Liens permitted pursuant to Section 6.02(d), shall not exceed $100,000,000 at any time outstanding;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Indebtedness of any Subsidiary as an account party in respect of letters of credit or bankers’ acceptances;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Insurance Company Payables and Guarantees by any Subsidiary in respect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hedging obligations or other derivative instruments entered into for the purpose of hedging interest rate risk;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Indebtedness to banks and other financial institutions in respect of employee credit card programs, automatic clearinghouse arrangements and other cash management and similar arrangements in the ordinary course of business;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(j) </w:t>
      </w:r>
      <w:r>
        <w:rPr>
          <w:rFonts w:ascii="Times New Roman" w:hAnsi="Times New Roman"/>
          <w:color w:val="000000"/>
          <w:sz w:val="22"/>
        </w:rPr>
        <w:t>Indebtedness in respect of performance bonds, bid bonds, appeal bonds, surety bonds and completion guarantees and similar obligations not in connection with money borrowed, in each case provided in the ordinary course of business or consistent with past practice and Indebtedness incurred by any Subsidiary in the form of customary obligations under indemnification, incentive, non-compete, deferred compensation, or other similar arrangements in the ordinary course of business;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(k) </w:t>
      </w:r>
      <w:r>
        <w:rPr>
          <w:rFonts w:ascii="Times New Roman" w:hAnsi="Times New Roman"/>
          <w:color w:val="000000"/>
          <w:sz w:val="22"/>
        </w:rPr>
        <w:t>other Indebtedness of the Subsidiaries so long as the aggregate outstanding principal amount of all such Indebtedness permitted pursuant to this clause (k), together with the aggregate outstanding principal amount of all Indebtedness secured by Liens permitted pursuant to Section 6.02(g),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does not, at the time of incurrence of any such Indebtedness and after giving pro forma effect thereto, exceed the greater of (i) $1,250,000,000 and (ii) an amount equal to 12.5% of Consolidated Total Assets as of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6.02. </w:t>
      </w:r>
      <w:r>
        <w:rPr>
          <w:rFonts w:ascii="Times New Roman" w:hAnsi="Times New Roman"/>
          <w:b w:val="false"/>
          <w:color w:val="000000"/>
          <w:sz w:val="22"/>
          <w:u w:val="single"/>
        </w:rPr>
        <w:t>Liens</w:t>
      </w:r>
      <w:r>
        <w:rPr>
          <w:rFonts w:ascii="Times New Roman" w:hAnsi="Times New Roman"/>
          <w:b w:val="false"/>
          <w:color w:val="000000"/>
          <w:sz w:val="22"/>
        </w:rPr>
        <w:t>. The Company will not, and will not permit any Subsidiary to, create, incur, assume or permit to exist any Lien on any property or asset now owned or hereafter acquired by it except: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Permitted Encumbrances;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any Lien on any property or asset of the Company or any Subsidiary existing on the date hereof and set forth in </w:t>
      </w:r>
      <w:r>
        <w:rPr>
          <w:rFonts w:ascii="Times New Roman" w:hAnsi="Times New Roman"/>
          <w:color w:val="000000"/>
          <w:sz w:val="22"/>
          <w:u w:val="single"/>
        </w:rPr>
        <w:t>Schedule 6.02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Liens on fixed or capital assets acquired, constructed or improved by the Company or any Subsidiary;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security interests secure an aggregate principal amount of Indebtedness and other obligations, together with the aggregate principal amount of all Indebtedness permitted pursuant to Section 6.01(e), not in excess of $100,000,000 at any time outstanding, (ii) such security interests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Company or any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Liens on insurance policies and the proceeds thereof securing the financing of the premiums with respect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Liens on cash collateral securing letter of credit or bankers acceptance obligations or facilities permitted hereunder;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Liens on assets of the Company and its Subsidiaries not otherwise permitted above so long as: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aggregate outstanding principal amount of all Indebtedness subject to Liens permitted by this Section 6.02(g), together with the aggregate outstanding principal amount of all Indebtedness permitted pursuant to Section 6.01(k), does not, at the time of incurrence of any Indebtedness subject to such Liens and after giving pro forma effect thereto, exceed the greater of (x) $1,250,000,000 and (y) an amount equal to 12.5% of Consolidated Total Assets as of the most recent fiscal quarter for which financial statements shall have been delivered pursuant to Section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5.01(a) or 5.01(b) (or, prior to the delivery of any such financial statements, ending with the last fiscal quarter included in the financial statements referred to in Section 3.04(a));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the aggregate outstanding principal amount of all Indebtedness plus the outstanding amount of other obligations, in each case subject to Liens permitted by this Section 6.02(g), does not, at the time of incurrence of any Indebtedness or other obligations subject to such Liens and after giving pro forma effect thereto, exceed the greater of (x) $1,250,000,000 and (y) an amount equal to 12.5% of Consolidated Total Assets as of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6.03. </w:t>
      </w:r>
      <w:r>
        <w:rPr>
          <w:rFonts w:ascii="Times New Roman" w:hAnsi="Times New Roman"/>
          <w:b w:val="false"/>
          <w:color w:val="000000"/>
          <w:sz w:val="22"/>
          <w:u w:val="single"/>
        </w:rPr>
        <w:t>Fundamental Changes and Asset Sales</w:t>
      </w:r>
      <w:r>
        <w:rPr>
          <w:rFonts w:ascii="Times New Roman" w:hAnsi="Times New Roman"/>
          <w:b w:val="false"/>
          <w:color w:val="000000"/>
          <w:sz w:val="22"/>
        </w:rPr>
        <w:t>. (a) The Company will not, and will not permit any Subsidiary to, merge into or consolidate with any other Person, or permit any other Person to merge into or consolidate with it, or sell, transfer, lease or otherwise dispose of (in one transaction or in a series of transactions) all or substantially all of the assets of the Company and its Subsidiaries (taken as a whole), (including pursuant to a Sale and Leaseback Transaction), or all or substantially all of the Equity Interests of its Subsidiaries (in each case, whether now owned or hereafter acquired), or liquidate or dissolve, except that, if at the time thereof and immediately after giving effect thereto no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any Person (including any Subsidiary that is not a Loan Party) may merge into the Company or a Subsidiary in a transaction in which the Company or such Subsidiary is the surviving corporation (provided that any such merger involving the Company must result in the Company as the surviving entity);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any Subsidiary may merge into a Loan Party in a transaction in which the surviving entity is such Loan Party (provided that any such merger involving the Company must result in the Company as the surviving entity);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any Subsidiary may sell, transfer, lease or otherwise dispose of its assets to the Company or another Subsidiary;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any Subsidiary that is not a Loan Party may liquidate or dissolve if the Company determines in good faith that such liquidation or dissolution is in the best interests of the Company and is not materially disadvantageous to the Lenders.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Company will not, and will not permit any of its Subsidiaries to, engage to any material extent in any business other than businesses of the type conducted by the Company and its Subsidiaries on the date of execution of this Agreement and businesses reasonably related thereto. Without the prior written consent of the Administrative Agent, other than Wright National Flood Insurance Company, neither the Company nor any Subsidiary may engage in any business in the nature of an insurance company, in which the Company or such Subsidiary assumes the risk as an insurer.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Company will not, nor will it permit any of its Subsidiaries to, change its fiscal year from the basis in effect on the Effective Date.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6.04. </w:t>
      </w:r>
      <w:r>
        <w:rPr>
          <w:rFonts w:ascii="Times New Roman" w:hAnsi="Times New Roman"/>
          <w:b w:val="false"/>
          <w:color w:val="000000"/>
          <w:sz w:val="22"/>
          <w:u w:val="single"/>
        </w:rPr>
        <w:t>Transactions with Affiliates</w:t>
      </w:r>
      <w:r>
        <w:rPr>
          <w:rFonts w:ascii="Times New Roman" w:hAnsi="Times New Roman"/>
          <w:b w:val="false"/>
          <w:color w:val="000000"/>
          <w:sz w:val="22"/>
        </w:rPr>
        <w:t>. The Company will not, and will not permit any of its Subsidiaries to, sell, 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Subsidiary than could be obtained on an arm’s-length basis from unrelated third parties, (b) transactions between or among the Company and its Subsidiaries (or entities that will become Subsidiaries immediately after giving effect to such transaction) not involving any other Affiliate, (c)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 (d) employment and severance or termination arrangements between the Company or its Subsidiaries and their respective officers and employees (including management and employee benefit plans or agreements, subscription agreements or similar agreements pertaining to the repurchase of Equity Interests or similar rights with current or former employees, officers, directors or other service providers and stock option or incentive plans and other compensation arrangements) and (e) the payment of customary fees and reasonable out of pocket costs to, and indemnities provided on behalf of, directors, officers and employees.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6.05. </w:t>
      </w:r>
      <w:r>
        <w:rPr>
          <w:rFonts w:ascii="Times New Roman" w:hAnsi="Times New Roman"/>
          <w:b w:val="false"/>
          <w:color w:val="000000"/>
          <w:sz w:val="22"/>
          <w:u w:val="single"/>
        </w:rPr>
        <w:t>Financial Covenants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u w:val="single"/>
        </w:rPr>
        <w:t>Maximum Net Leverage Ratio</w:t>
      </w:r>
      <w:r>
        <w:rPr>
          <w:rFonts w:ascii="Times New Roman" w:hAnsi="Times New Roman"/>
          <w:color w:val="000000"/>
          <w:sz w:val="22"/>
        </w:rPr>
        <w:t>. The Company will not permit the ratio (the “</w:t>
      </w:r>
      <w:r>
        <w:rPr>
          <w:rFonts w:ascii="Times New Roman" w:hAnsi="Times New Roman"/>
          <w:color w:val="000000"/>
          <w:sz w:val="22"/>
          <w:u w:val="single"/>
        </w:rPr>
        <w:t>Net Leverage Ratio</w:t>
      </w:r>
      <w:r>
        <w:rPr>
          <w:rFonts w:ascii="Times New Roman" w:hAnsi="Times New Roman"/>
          <w:color w:val="000000"/>
          <w:sz w:val="20"/>
        </w:rPr>
        <w:t>”</w:t>
      </w:r>
      <w:r>
        <w:rPr>
          <w:rFonts w:ascii="Times New Roman" w:hAnsi="Times New Roman"/>
          <w:color w:val="000000"/>
          <w:sz w:val="22"/>
        </w:rPr>
        <w:t xml:space="preserve">), determined as of the end of each of its fiscal quarters ending on and after June 30, 2026, of (i) Consolidated Net Indebtedness to (ii) Consolidated EBITDA for the period of four (4) consecutive fiscal quarters ending with the end of such fiscal quarter, all calculated for the Company and its Subsidiaries on a consolidated basis, to be greater than 3.50 to 1.00; </w:t>
      </w:r>
      <w:r>
        <w:rPr>
          <w:rFonts w:ascii="Times New Roman" w:hAnsi="Times New Roman"/>
          <w:color w:val="000000"/>
          <w:sz w:val="22"/>
          <w:u w:val="single"/>
        </w:rPr>
        <w:t>provided</w:t>
      </w:r>
      <w:r>
        <w:rPr>
          <w:rFonts w:ascii="Times New Roman" w:hAnsi="Times New Roman"/>
          <w:color w:val="000000"/>
          <w:sz w:val="22"/>
        </w:rPr>
        <w:t>, that the Company may, on not more than two (2) occasions during the term of this Agreement, elect to increase the maximum Net Leverage Ratio permitted under this Section 6.05(a) to 4.00 to 1.00 for a period of six (6) consecutive fiscal quarters in connection with, and commencing with the first fiscal quarter ending after, an Acquisition or series of consecutive Acquisitions occurring during a consecutive ninety (90) day period if (x) the aggregate consideration paid or to be paid in respect of such Acquisitions equals or exceeds $300,000,000 or (y) EBITDA of the targets acquired in connection with such Acquisitions equal or exceeds an amount equal to 10% of Consolidated EBITDA of the Company and its Subsidiaries (calculated without giving effect to such Acquisitions) for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(each such period, an “</w:t>
      </w:r>
      <w:r>
        <w:rPr>
          <w:rFonts w:ascii="Times New Roman" w:hAnsi="Times New Roman"/>
          <w:color w:val="000000"/>
          <w:sz w:val="22"/>
          <w:u w:val="single"/>
        </w:rPr>
        <w:t>Adjusted Covenant Period</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u w:val="single"/>
        </w:rPr>
        <w:t>Minimum Interest Coverage Ratio</w:t>
      </w:r>
      <w:r>
        <w:rPr>
          <w:rFonts w:ascii="Times New Roman" w:hAnsi="Times New Roman"/>
          <w:color w:val="000000"/>
          <w:sz w:val="22"/>
        </w:rPr>
        <w:t>. The Company will not permit the ratio, determined as of the end of each of its fiscal quarters ending on and after June 30, 2026, of (i) Consolidated EBITDA to (ii) Consolidated Interest Expense, in each case for the period of four (4) consecutive fiscal quarters ending with the end of such fiscal quarter, all calculated for the Company and its Subsidiaries on a consolidated basis, to be less than 4.00 to 1.00.</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6.06. </w:t>
      </w:r>
      <w:r>
        <w:rPr>
          <w:rFonts w:ascii="Times New Roman" w:hAnsi="Times New Roman"/>
          <w:b w:val="false"/>
          <w:color w:val="000000"/>
          <w:sz w:val="22"/>
          <w:u w:val="single"/>
        </w:rPr>
        <w:t>Outbound Investment Rules</w:t>
      </w:r>
      <w:r>
        <w:rPr>
          <w:rFonts w:ascii="Times New Roman" w:hAnsi="Times New Roman"/>
          <w:b w:val="false"/>
          <w:color w:val="000000"/>
          <w:sz w:val="22"/>
        </w:rPr>
        <w:t>. The Company will not, and will not permit any Loan Party to, (a) be or become a “covered foreign person”, as that term is defined in the Outbound Investment Rules, or (b) engage,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VII</w:t>
      </w:r>
      <w:r>
        <w:rPr>
          <w:rFonts w:ascii="Times New Roman" w:hAnsi="Times New Roman"/>
          <w:b w:val="false"/>
          <w:color w:val="000000"/>
          <w:sz w:val="22"/>
          <w:u w:val="single"/>
        </w:rPr>
        <w:br/>
        <w:br/>
        <w:t>Events of Default</w:t>
      </w:r>
    </w:p>
    <w:p>
      <w:pPr>
        <w:pStyle w:val="TextBody"/>
        <w:bidi w:val="0"/>
        <w:spacing w:before="0" w:after="240"/>
        <w:jc w:val="both"/>
        <w:rPr>
          <w:rFonts w:ascii="Times New Roman" w:hAnsi="Times New Roman"/>
          <w:sz w:val="20"/>
        </w:rPr>
      </w:pPr>
      <w:r>
        <w:rPr>
          <w:rFonts w:ascii="Times New Roman" w:hAnsi="Times New Roman"/>
          <w:color w:val="000000"/>
          <w:sz w:val="22"/>
        </w:rPr>
        <w:t>If any of the following events (“</w:t>
      </w:r>
      <w:r>
        <w:rPr>
          <w:rFonts w:ascii="Times New Roman" w:hAnsi="Times New Roman"/>
          <w:color w:val="000000"/>
          <w:sz w:val="22"/>
          <w:u w:val="single"/>
        </w:rPr>
        <w:t>Events of Default</w:t>
      </w:r>
      <w:r>
        <w:rPr>
          <w:rFonts w:ascii="Times New Roman" w:hAnsi="Times New Roman"/>
          <w:color w:val="000000"/>
          <w:sz w:val="20"/>
        </w:rPr>
        <w:t>”</w:t>
      </w:r>
      <w:r>
        <w:rPr>
          <w:rFonts w:ascii="Times New Roman" w:hAnsi="Times New Roman"/>
          <w:color w:val="000000"/>
          <w:sz w:val="22"/>
        </w:rPr>
        <w:t>) shall occur: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any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 (including, without limitation, pursuant to Article X);</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any Borrower shall fail to pay any interest on any Loan or any fee or any other amount (other than an amount referred to in clause (a) of this Article) payable under this Agreement or any other Loan Document, when and as the same shall become due and payable and in the Agreed Currency required hereunder, and such failure shall continue unremedied for a period of three (3) Business Days;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any representation or warranty made or deemed made by or on behalf of any Borrower in or in connection with this Agreement or any other Loan Document or any amendment or modification hereof or thereof or waiver hereunder or thereunder shall prove to have been incorrect in any material respect when made or deemed made;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any Borrower shall fail to observe or perform any covenant, condition or agreement contained in Section 5.02, 5.03 (with respect to any Borrower’s existence) or 5.08 or in Article VI;</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any Borrower shall fail to observe or perform any covenant or agreement contained in this Agreement (other than those specified in clause (a), (b) or (d) of this Article) or any other Loan Document, and such failure shall continue unremedied for a period of thirty (30) days after notice thereof from the Administrative Agent to the Company (which notice will be given at the request of any Lender);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the Company or any Material Subsidiary shall fail to make any payment (whether of principal or interest and regardless of amount) in respect of any Material Indebtedness, when and as the same shall become due and payable (after the expiration of any applicable grace or cure periods provided for in the applicable agreement or instrument under which such Indebtedness was created);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(g) </w:t>
      </w:r>
      <w:r>
        <w:rPr>
          <w:rFonts w:ascii="Times New Roman" w:hAnsi="Times New Roman"/>
          <w:color w:val="000000"/>
          <w:sz w:val="22"/>
        </w:rPr>
        <w:t xml:space="preserve">any event or condition occurs that results in any Material Indebtedness becoming due prior to its scheduled maturity or that enables or permits (with or without the giving of notice but after the expiration of any applicable grace or cure periods provided for in the applicable agreement or instrument under which such Indebtedness was created)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clause (g) shall not apply to secured Indebtedness that becomes due as a result of the voluntary sale or transfer of the property or assets securing such Indebtedness;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(h) </w:t>
      </w:r>
      <w:r>
        <w:rPr>
          <w:rFonts w:ascii="Times New Roman" w:hAnsi="Times New Roman"/>
          <w:color w:val="000000"/>
          <w:sz w:val="22"/>
        </w:rPr>
        <w:t>an involuntary proceeding shall be commenced or an involuntary petition shall be filed seeking (i) liquidation, reorganization or other relief in respect of the Company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Material Subsidiary or for a substantial part of its assets, and, in any such case, such proceeding or petition shall continue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undismissed for sixty (60) days or an order or decree approving or ordering any of the foregoing shall be entered;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Company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(j) </w:t>
      </w:r>
      <w:r>
        <w:rPr>
          <w:rFonts w:ascii="Times New Roman" w:hAnsi="Times New Roman"/>
          <w:color w:val="000000"/>
          <w:sz w:val="22"/>
        </w:rPr>
        <w:t>one or more judgments for the payment of money in an aggregate amount in excess of $200,000,000 (in excess of insurance coverage provided by a creditworthy unaffiliated insurer that has not denied coverage) and not covered by indemnifications for which an unaffiliated creditworthy third party is contractually liable and has not denied coverage) shall be rendered against the Company,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Subsidiary to enforce any such judgment;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(k) </w:t>
      </w:r>
      <w:r>
        <w:rPr>
          <w:rFonts w:ascii="Times New Roman" w:hAnsi="Times New Roman"/>
          <w:color w:val="000000"/>
          <w:sz w:val="22"/>
        </w:rPr>
        <w:t>an ERISA Event shall have occurred that when taken together with all other ERISA Events that have occurred, could reasonably be expected to result in a Material Adverse Effect;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(l) </w:t>
      </w:r>
      <w:r>
        <w:rPr>
          <w:rFonts w:ascii="Times New Roman" w:hAnsi="Times New Roman"/>
          <w:color w:val="000000"/>
          <w:sz w:val="22"/>
        </w:rPr>
        <w:t>a Change in Control shall occur;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then, and in every such event (other than an event with respect to any Borrower described in clause (h) or (i) of this Article), and at any time thereafter during the continuance of such event, the Administrative Agent may with the consent of the Required Lenders, and shall at the request of the Required Lenders, by notice to the Company,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Section 2.06(j) hereof; and in case of any event with respect to any Borrower described in clause (h) or (i) of this Article, the Commitments shall automatically terminate and the principal of the Loans then outstanding and cash collateral for the LC Exposure,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at the request, or at the direction, of the Required Lenders shall, exercise any rights and remedies provided to the Administrative Agent under the Loan Documents or at law or equity.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VIII</w:t>
      </w:r>
      <w:r>
        <w:rPr>
          <w:rFonts w:ascii="Times New Roman" w:hAnsi="Times New Roman"/>
          <w:b w:val="false"/>
          <w:color w:val="000000"/>
          <w:sz w:val="22"/>
          <w:u w:val="single"/>
        </w:rPr>
        <w:br/>
        <w:br/>
        <w:t>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Lenders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or Event of Default unless and until written notice thereof (stating that it is a “notice of Default” or a “notice of an Event of Default”) is given to the Administrative Agent by the Company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or the occurrence of any Default or Event of Default, (iv) the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or (v) the satisfaction of any condition set forth in Article IV or elsewhere in any Loan Document, other than to confirm receipt of items expressly required to be delivered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Subject to the appointment and acceptance of a successor Administrative Agent as provided in this paragraph, the Administrative Agent may resign at any time by notifying the Lenders, the Issuing Banks and the Company. Upon any such resignation, the Required Lenders shall have the right, with the consent of the Company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consent shall be required if an Event of Default under paragraphs (a), (b), (h) or (i) of Article VII shall have occurred and be continuing),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any Borrower to a successor Administrative Agent shall be the same as those payable to its predecessor unless otherwise agreed between such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the Lenders or their Affiliates, if any, identified in this Agreement as a Joint Bookrunner, Co-Syndication Agent,Co-Documentation Agent or joint lead arranger shall have any right, power, obligation, liability, responsibility or duty under this Agreement other than, in the case of Lenders, those applicable to all Lenders as such. Without limiting the foregoing, none of such Lenders or such Affiliates shall have or be deemed to have a fiduciary relationship with any Lender. Each Lender hereby makes the same acknowledgments with respect to the relevant Lenders and their Affiliates in their respective capacities as Joint Bookrunners, Co-Syndication Agents, Co-Documentation Agents or joint lead arrangers, as applicable, as it makes with respect to the Administrative Agent in the preceding paragraph.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and each Issuing Bank acknowledges and agrees that (i) the Loan Documents set forth the terms of a commercial lending facility, (ii) 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 (iii) it has, independently and without reliance upon the Administrative Agent, the Joint Bookrunners or any other Lender or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the Joint Bookrunners or any other Lender or other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 and in deciding whether or to the extent to which it will continue as a Lender or assign or otherwise transfer its rights, interests and obligations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240"/>
        <w:jc w:val="both"/>
        <w:rPr>
          <w:rFonts w:ascii="Times New Roman" w:hAnsi="Times New Roman"/>
          <w:sz w:val="20"/>
        </w:rPr>
      </w:pPr>
      <w:r>
        <w:rPr>
          <w:rFonts w:ascii="Times New Roman" w:hAnsi="Times New Roman"/>
          <w:color w:val="000000"/>
          <w:sz w:val="22"/>
        </w:rPr>
        <w:t>The Lenders acknowledge that there may be a constant flow of information (including information which may be subject to confidentiality obligations in favor of the Loan Parties) between the Loan Parties and their Affiliates, on the one hand, and JPMorgan Chase Bank, N.A. and its respective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before="0" w:after="240"/>
        <w:jc w:val="both"/>
        <w:rPr/>
      </w:pPr>
      <w:r>
        <w:rPr/>
        <w:t> </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IX</w:t>
      </w:r>
      <w:r>
        <w:rPr>
          <w:rFonts w:ascii="Times New Roman" w:hAnsi="Times New Roman"/>
          <w:b w:val="false"/>
          <w:color w:val="000000"/>
          <w:sz w:val="22"/>
          <w:u w:val="single"/>
        </w:rPr>
        <w:br/>
        <w:br/>
        <w:t>Miscellaneous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9.01. </w:t>
      </w:r>
      <w:r>
        <w:rPr>
          <w:rFonts w:ascii="Times New Roman" w:hAnsi="Times New Roman"/>
          <w:b w:val="false"/>
          <w:color w:val="000000"/>
          <w:sz w:val="22"/>
          <w:u w:val="single"/>
        </w:rPr>
        <w:t>Notices</w:t>
      </w:r>
      <w:r>
        <w:rPr>
          <w:rFonts w:ascii="Times New Roman" w:hAnsi="Times New Roman"/>
          <w:b w:val="false"/>
          <w:color w:val="000000"/>
          <w:sz w:val="22"/>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if to any Borrower, to it c/o Brown &amp; Brown, Inc., 300 North Beach Street, Daytona Beach, Florida 32114, Attention of R. Andrew Watts, Chief Financial Officer (Telecopy No. 386) 239-7284; Telephone No. (386) 239-5770);</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if to the Administrative Agent from any Borrower, to the address or addresses, telecopy and email separately provided by the Administrative Agent to the Company;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if to the Administrative Agent from the Lenders, to JPMorgan Chase Bank, N.A., 131 South Dearborn Street, Floor 04, Chicago, Illinois, 60603-5506, Attention: Loan and Agency Servicing;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if to an Issuing Bank, to it at the address, telecopy and email separately provided by such Issuing Bank to the Company for such purpose;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if to any other Lender, to it at its address, telecopy and email set forth in its Administrative Questionnaire.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Notices and other communications to any Loan Party,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foregoing shall not apply to notices pursuant to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approval of such procedures may be limited to particular notices or communications.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Any party hereto may change its address, telecopy number or email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u w:val="single"/>
        </w:rPr>
        <w:t>Posting of Communications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Company agrees that the Administrative Agent may, but shall not be obligated to, make Communications (as defined below) available to the Issuing Banks and the other Lenders by posting the Communications on IntraLinks, DebtDomain, SyndTrak, ClearPar or any other electronic platform chosen by the Administrative Agent to be its electronic transmission system (the “</w:t>
      </w:r>
      <w:r>
        <w:rPr>
          <w:rFonts w:ascii="Times New Roman" w:hAnsi="Times New Roman"/>
          <w:color w:val="000000"/>
          <w:sz w:val="22"/>
          <w:u w:val="single"/>
        </w:rPr>
        <w:t>Approved Electronic Platform</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Banks and the Borrowers hereby approves distribution of the Communications through the Approved Electronic Platform and understands and assumes the risks of such distribution.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JOINT BOOKRUNNERS OR ANY OF THEIR RESPECTIVE RELATED PARTIES (COLLECTIVELY, “</w:t>
      </w:r>
      <w:r>
        <w:rPr>
          <w:rFonts w:ascii="Times New Roman" w:hAnsi="Times New Roman"/>
          <w:color w:val="000000"/>
          <w:sz w:val="22"/>
          <w:u w:val="single"/>
        </w:rPr>
        <w:t>APPLICABLE PARTIES</w:t>
      </w:r>
      <w:r>
        <w:rPr>
          <w:rFonts w:ascii="Times New Roman" w:hAnsi="Times New Roman"/>
          <w:color w:val="000000"/>
          <w:sz w:val="20"/>
        </w:rPr>
        <w:t>”</w:t>
      </w:r>
      <w:r>
        <w:rPr>
          <w:rFonts w:ascii="Times New Roman" w:hAnsi="Times New Roman"/>
          <w:color w:val="000000"/>
          <w:sz w:val="22"/>
        </w:rPr>
        <w:t>) HAVE ANY LIABILITY TO ANY 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w:t>
      </w:r>
      <w:r>
        <w:rPr>
          <w:rFonts w:ascii="Times New Roman" w:hAnsi="Times New Roman"/>
          <w:caps/>
          <w:color w:val="000000"/>
          <w:sz w:val="22"/>
        </w:rPr>
        <w:t>except to the extent of direct or actual damages as are determined by a court of competent jurisdiction by final and nonappealable judgment to have resulted from such ApPLICABLE Parties’ gross negligence or willful misconduct or the intentional breach of the confidentiality provisions set forth in Section 9.12 by such APPLICABLE Party</w:t>
      </w:r>
      <w:r>
        <w:rPr>
          <w:rFonts w:ascii="Times New Roman" w:hAnsi="Times New Roman"/>
          <w:color w:val="000000"/>
          <w:sz w:val="22"/>
        </w:rPr>
        <w:t>. “</w:t>
      </w:r>
      <w:r>
        <w:rPr>
          <w:rFonts w:ascii="Times New Roman" w:hAnsi="Times New Roman"/>
          <w:color w:val="000000"/>
          <w:sz w:val="22"/>
          <w:u w:val="single"/>
        </w:rPr>
        <w:t>Communications</w:t>
      </w:r>
      <w:r>
        <w:rPr>
          <w:rFonts w:ascii="Times New Roman" w:hAnsi="Times New Roman"/>
          <w:color w:val="000000"/>
          <w:sz w:val="20"/>
        </w:rPr>
        <w:t xml:space="preserve">” </w:t>
      </w:r>
      <w:r>
        <w:rPr>
          <w:rFonts w:ascii="Times New Roman" w:hAnsi="Times New Roman"/>
          <w:color w:val="000000"/>
          <w:sz w:val="22"/>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the Approved Electronic Platform.</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Each Lender and each Issuing Bank agrees that notice to it (as provided in the next sentence) specifying that Communications have been posted to the Approved Electronic Platform shall constitute effective delivery of the Communications to such Lender or such Issuing Bank, as applicable,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Each of the Lenders, the Issuing Banks and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(vi) </w:t>
      </w:r>
      <w:r>
        <w:rPr>
          <w:rFonts w:ascii="Times New Roman" w:hAnsi="Times New Roman"/>
          <w:color w:val="000000"/>
          <w:sz w:val="22"/>
        </w:rPr>
        <w:t>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u w:val="single"/>
        </w:rPr>
        <w:t>Borrower Communications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hAnsi="Times New Roman"/>
          <w:color w:val="000000"/>
          <w:sz w:val="22"/>
          <w:u w:val="single"/>
        </w:rPr>
        <w:t>Approved Borrower Portal</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Banks and each of the Borrowers hereby approves distribution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Communications through the Approved Borrower Portal and understands and assumes the risks of such distribution.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 xml:space="preserve">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w:t>
      </w:r>
      <w:r>
        <w:rPr>
          <w:rFonts w:ascii="Times New Roman" w:hAnsi="Times New Roman"/>
          <w:caps/>
          <w:color w:val="000000"/>
          <w:sz w:val="22"/>
        </w:rPr>
        <w:t>except to the extent of direct or actual damages as are determined by a court of competent jurisdiction by final and nonappealable judgment to have resulted from such ApPLICABLE Parties’ gross negligence or willful misconduct or the intentional breach of the confidentiality provisions set forth in Section 9.12 by such APPLICABLE Party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Nothing herein shall prejudice the right of any Borrower to give any notice or other communication pursuant to any Loan Document in any other manner specified in such Loan Document.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9.02. </w:t>
      </w:r>
      <w:r>
        <w:rPr>
          <w:rFonts w:ascii="Times New Roman" w:hAnsi="Times New Roman"/>
          <w:b w:val="false"/>
          <w:color w:val="000000"/>
          <w:sz w:val="22"/>
          <w:u w:val="single"/>
        </w:rPr>
        <w:t>Waivers; Amendments</w:t>
      </w:r>
      <w:r>
        <w:rPr>
          <w:rFonts w:ascii="Times New Roman" w:hAnsi="Times New Roman"/>
          <w:b w:val="false"/>
          <w:color w:val="000000"/>
          <w:sz w:val="22"/>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Except as provided in Section 2.20 with respect to an Incremental Term Loan Amendment or as provided in Section 2.24 with respect to the extension of any Maturity Date or as provided in Section 2.14(b) and Section 2.14(c), and subject to clauses (c) and (e) below,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and this clause (ii) shall not be deemed to include a waiver of default interest),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(provided that this clause (iii) shall not be deemed to include a waiver of default interest), (iv) change Section 2.09(c) or Section 2.18(b) or (d) in a manner that would alter the ratable reduction of the Revolving Commitments or the pro rata sharing of payments required thereby, without the written consent of each Lender adversely affected thereby, (v) change the payment waterfall provisions of Section 2.22(b)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the Loans are included on the Effective Date) or (vii) release the Company from its obligations under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without the written consent of each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(A) no such agreement shall amend, modify or otherwise affect the rights or duties of the Administrative Agent or any Issuing Bank hereunder without the prior written consent of the Administrative Agent or such Issuing Bank, as the case may be (it being understood that any change to Section 2.22 shall require the consent of the Administrative Agent and each Issuing Bank), (B) no such agreement shall amend or modify the provisions of Section 2.06 or any letter of credit application and any bilateral agreement between the Company and any Issuing Bank regarding the respective rights and obligations between the Company and such Issuing Bank in connection with the issuance of Letters of Credit without the prior written consent of the Administrative Agent, the Company and such Issuing Bank (or each Issuing Bank in the case of any amendment or modification of Section 2.06), respectively and (C)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the initial Term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Loans, Incremental Term Loans and the accrued interest and fees in respect thereof and (y) to include appropriately the Lenders holding such credit facilities in any determination of the Required Lenders and Lenders.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hAnsi="Times New Roman"/>
          <w:color w:val="000000"/>
          <w:sz w:val="22"/>
          <w:u w:val="single"/>
        </w:rPr>
        <w:t>Non-Consenting Lender</w:t>
      </w:r>
      <w:r>
        <w:rPr>
          <w:rFonts w:ascii="Times New Roman" w:hAnsi="Times New Roman"/>
          <w:color w:val="000000"/>
          <w:sz w:val="20"/>
        </w:rPr>
        <w:t>”</w:t>
      </w:r>
      <w:r>
        <w:rPr>
          <w:rFonts w:ascii="Times New Roman" w:hAnsi="Times New Roman"/>
          <w:color w:val="000000"/>
          <w:sz w:val="22"/>
        </w:rPr>
        <w:t xml:space="preserve">), then the Company may elect to replace a Non-Consenting Lender as a Lender party to this Agreement, provided that, concurrently with such replacement, (i) another bank or other entity (including an existing Lender, an Affiliate of a Lender or an Approved Fund) which is reasonably satisfactory to the Company and the Administrative Agent shall agree, as of such date, to purchase for cash the Loans and other Obligations due to the Non-Consenting Lender pursuant to an Assignment and Assumption (which such Non-Consenting Lender hereby agrees to execute and deliver) and to become a Lender for all purposes under this Agreement and to assume all obligations of the Non-Consenting Lender to be terminated as of such date and to comply with the requirements of clause (b) of Section 9.04, (ii) each Borrower shall pay to such Non-Consenting Lender in same day funds on the day of such replacement (1) the outstanding principal amount of its Loans and participations in LC Disbursements and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Notwithstanding anything to the contrary herein the Administrative Agent may, with the consent of the Borrowers only, amend, modify or supplement this Agreement or any of the other Loan Documents to cure any ambiguity, omission, mistake, defect or inconsistency.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(f) </w:t>
      </w:r>
      <w:r>
        <w:rPr>
          <w:rFonts w:ascii="Times New Roman" w:hAnsi="Times New Roman"/>
          <w:color w:val="000000"/>
          <w:sz w:val="22"/>
        </w:rPr>
        <w:t>Notwithstanding the foregoing, no amendment or amendment and restatement of this Agreement requiring the consent of “each Lender” or “each Lender directly affected thereby,” which is in all other respects approved by the applicable Lenders in accordance with this Section 9.02, shall require the consent or approval of any Lender (i) which immediately after giving effect to such amendment or amendment and restatement, shall have no Commitment or other obligation to maintain or extend credit under this Agreement (as so amended or amended and restated), including, without limitation, any obligation in respect of any drawing under or participation in any Letter of Credit and (ii) which, substantially contemporaneously with the effectiveness of such amendment or amendment and restatement, is paid in full all amounts owing to it hereunder (including, without limitation principal, interest and fees, but excluding unmatured contingent obligations). From and after the effectiveness of any such amendment or amendment and restatement, any such Lender shall be deemed to no longer be a “Lender” hereunder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party hereto; </w:t>
      </w:r>
      <w:r>
        <w:rPr>
          <w:rFonts w:ascii="Times New Roman" w:hAnsi="Times New Roman"/>
          <w:color w:val="000000"/>
          <w:sz w:val="22"/>
          <w:u w:val="single"/>
        </w:rPr>
        <w:t>provided</w:t>
      </w:r>
      <w:r>
        <w:rPr>
          <w:rFonts w:ascii="Times New Roman" w:hAnsi="Times New Roman"/>
          <w:color w:val="000000"/>
          <w:sz w:val="22"/>
        </w:rPr>
        <w:t>, that any such Lender shall retain the benefit of indemnification and other provisions hereof which, by the terms hereof would survive a termination of this Agreement.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9.03. </w:t>
      </w:r>
      <w:r>
        <w:rPr>
          <w:rFonts w:ascii="Times New Roman" w:hAnsi="Times New Roman"/>
          <w:b w:val="false"/>
          <w:color w:val="000000"/>
          <w:sz w:val="22"/>
          <w:u w:val="single"/>
        </w:rPr>
        <w:t>Expenses; Indemnity; Damage Waiver</w:t>
      </w:r>
      <w:r>
        <w:rPr>
          <w:rFonts w:ascii="Times New Roman" w:hAnsi="Times New Roman"/>
          <w:b w:val="false"/>
          <w:color w:val="000000"/>
          <w:sz w:val="22"/>
        </w:rPr>
        <w:t>. (a) The Company shall pay (i) all reasonable and documented out-of-pocket expenses incurred by the Administrative Agent and its Affiliates (which, in the case of counsel, shall be limited to the reasonable fees, charges and disbursements of one primary counsel, and one local counsel in each applicable jurisdiction)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reasonable out-of-pocket expenses incurred by the Administrative Agent, any Issuing Bank or any Lender (which, in the case of counsel, shall be limited to the reasonable fees, charges and disbursements of one primary counsel and one local counsel in each applicable jurisdiction for the Administrative Agent and one counsel for all of the Lenders other than the Administrative Agent, taken as a whole, and in the case of an actual or reasonably perceived potential conflict of interest, one additional counsel for each group of affected Lenders similarly situated, taken as a whole)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Company shall indemnify the Administrative Agent, each Joint Bookrunner, each Issuing Bank and each Lender, and each Related Party of any of the foregoing Persons (each such Person being called an “</w:t>
      </w:r>
      <w:r>
        <w:rPr>
          <w:rFonts w:ascii="Times New Roman" w:hAnsi="Times New Roman"/>
          <w:color w:val="000000"/>
          <w:sz w:val="22"/>
          <w:u w:val="single"/>
        </w:rPr>
        <w:t>Indemnitee</w:t>
      </w:r>
      <w:r>
        <w:rPr>
          <w:rFonts w:ascii="Times New Roman" w:hAnsi="Times New Roman"/>
          <w:color w:val="000000"/>
          <w:sz w:val="20"/>
        </w:rPr>
        <w:t>”</w:t>
      </w:r>
      <w:r>
        <w:rPr>
          <w:rFonts w:ascii="Times New Roman" w:hAnsi="Times New Roman"/>
          <w:color w:val="000000"/>
          <w:sz w:val="22"/>
        </w:rPr>
        <w:t xml:space="preserve">) against, and hold each Indemnitee harmless from, any and all losses, claims, damages, liabilities and related expenses (which, in the case of counsel, shall be limited to the reasonable fees, charges and disbursements of one primary counsel and one local counsel in each applicable jurisdiction for all Indemnitees, taken as a whole, and in the case of an actual or reasonably perceived potential conflict of interest, one additional counsel for each group of affected Indemnitees similarly situated, taken as a whole) incurred by or asserted against any Indemnitee arising out of, in connection with, or as a result of (i) the execution or delivery of any Loan Document or any agreement or instrument contemplated thereby (including, without limitation, any commitment letter in respect thereof),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of its Subsidiaries, and regardless of whether any Indemnitee is a party thereto;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or any Related Indemnified Party thereof, (y) the material breach by such Indemnitee or any Related Indemnified Party thereof of its express obligations under this Agreement pursuant to a claim initiated by any Borrower or (z) any dispute solely among Indemnitees (other than (A) claims against any of the Administrative Agent or the Lenders or any of their Affiliates in its capacity or in fulfilling its role as the Administrative Agent, an Issuing Bank, a lead arranger, a bookrunner or any similar role under this Agreement and (B) arising as a result of an act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omission by the Company or any of its Affiliates). As used herein, any “</w:t>
      </w:r>
      <w:r>
        <w:rPr>
          <w:rFonts w:ascii="Times New Roman" w:hAnsi="Times New Roman"/>
          <w:color w:val="000000"/>
          <w:sz w:val="22"/>
          <w:u w:val="single"/>
        </w:rPr>
        <w:t>Related Indemnified Party</w:t>
      </w:r>
      <w:r>
        <w:rPr>
          <w:rFonts w:ascii="Times New Roman" w:hAnsi="Times New Roman"/>
          <w:color w:val="000000"/>
          <w:sz w:val="20"/>
        </w:rPr>
        <w:t xml:space="preserve">” </w:t>
      </w:r>
      <w:r>
        <w:rPr>
          <w:rFonts w:ascii="Times New Roman" w:hAnsi="Times New Roman"/>
          <w:color w:val="000000"/>
          <w:sz w:val="22"/>
        </w:rPr>
        <w:t xml:space="preserve">of a Person means (1) any Controlling Person or Controlled Affiliate of such Indemnitee, (2) the respective directors, officers, advisers, auditors, accountants or employees of such Indemnitee or any of its Controlling Persons or Controlled Affiliates and (3) the respective agents or representatives of such Indemnitee or any of its Controlling Persons or Controlled Affiliates, in the case of this clause (3), acting on behalf of or at the instructions of such Indemnitee, Controlling Person or such Controlled Affiliate;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each reference to a Controlled Affiliate in this sentence pertains to a Controlled Affiliate involved in the arrangement, negotiation or syndication of this Agreement and the credit facilities hereunder. Each of the Administrative Agent and the Lenders hereby agrees, on behalf of itself and its Related Indemnified Parties, that any settlement entered into by the Administrative Agent or such Lender, respectively, and its Related Indemnified Party in connection with a claim or proceeding for which an indemnity claim is made against any Borrower pursuant to the preceding sentence shall be so entered into in good faith and not on an arbitrary or capricious basis. This Section 9.03(b) shall not apply with respect to Taxes other than any Taxes that represent losses, claims or damages arising from any non-Tax claim.</w:t>
      </w:r>
    </w:p>
    <w:p>
      <w:pPr>
        <w:pStyle w:val="TextBody"/>
        <w:bidi w:val="0"/>
        <w:spacing w:before="0" w:after="240"/>
        <w:jc w:val="both"/>
        <w:rPr>
          <w:rFonts w:ascii="Times New Roman" w:hAnsi="Times New Roman"/>
          <w:sz w:val="20"/>
        </w:rPr>
      </w:pPr>
      <w:bookmarkStart w:id="66" w:name="docxtextref806"/>
      <w:bookmarkEnd w:id="66"/>
      <w:r>
        <w:rPr>
          <w:rFonts w:ascii="Times New Roman" w:hAnsi="Times New Roman"/>
          <w:color w:val="010000"/>
          <w:sz w:val="22"/>
        </w:rPr>
        <w:t xml:space="preserve">(c) </w:t>
      </w:r>
      <w:r>
        <w:rPr>
          <w:rFonts w:ascii="Times New Roman" w:hAnsi="Times New Roman"/>
          <w:color w:val="000000"/>
          <w:sz w:val="22"/>
        </w:rPr>
        <w:t>Each Lender severally agrees to pay any amount required to be paid by the Company under paragraph (a) or (b) of this Section 9.03 to the Administrative Agent, any Issuing Bank, and each Related Party of any of the foregoing Persons (each, an “</w:t>
      </w:r>
      <w:r>
        <w:rPr>
          <w:rFonts w:ascii="Times New Roman" w:hAnsi="Times New Roman"/>
          <w:color w:val="000000"/>
          <w:sz w:val="22"/>
          <w:u w:val="single"/>
        </w:rPr>
        <w:t>Agent-Related Person</w:t>
      </w:r>
      <w:r>
        <w:rPr>
          <w:rFonts w:ascii="Times New Roman" w:hAnsi="Times New Roman"/>
          <w:color w:val="000000"/>
          <w:sz w:val="20"/>
        </w:rPr>
        <w:t>”</w:t>
      </w:r>
      <w:r>
        <w:rPr>
          <w:rFonts w:ascii="Times New Roman" w:hAnsi="Times New Roman"/>
          <w:color w:val="000000"/>
          <w:sz w:val="22"/>
        </w:rPr>
        <w:t>) (to the extent not reimbursed by the Company and without limiting the obligation of the Company to do so), ratably according to their respective Applicable Percentage in effect on the date on which such payment is sought under this Section</w:t>
      </w:r>
      <w:r>
        <w:rPr>
          <w:rFonts w:ascii="Times New Roman" w:hAnsi="Times New Roman"/>
          <w:color w:val="000000"/>
          <w:sz w:val="20"/>
        </w:rPr>
        <w:t xml:space="preserve"> </w:t>
      </w:r>
      <w:r>
        <w:rPr>
          <w:rFonts w:ascii="Times New Roman" w:hAnsi="Times New Roman"/>
          <w:color w:val="000000"/>
          <w:sz w:val="22"/>
        </w:rPr>
        <w:t xml:space="preserve">(or,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unreimbursed expense or Liability or related expense, as the case may be, was incurred by or asserted against such Agent-Related Person in its capacity as such;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w:t>
      </w:r>
      <w:bookmarkStart w:id="67" w:name="docxtextref807"/>
      <w:bookmarkEnd w:id="67"/>
      <w:r>
        <w:rPr>
          <w:rFonts w:ascii="Times New Roman" w:hAnsi="Times New Roman"/>
          <w:color w:val="000000"/>
          <w:sz w:val="22"/>
        </w:rPr>
        <w:t>Section</w:t>
      </w:r>
      <w:r>
        <w:rPr>
          <w:rFonts w:ascii="Times New Roman" w:hAnsi="Times New Roman"/>
          <w:color w:val="000000"/>
          <w:sz w:val="20"/>
        </w:rPr>
        <w:t xml:space="preserve"> </w:t>
      </w:r>
      <w:r>
        <w:rPr>
          <w:rFonts w:ascii="Times New Roman" w:hAnsi="Times New Roman"/>
          <w:color w:val="000000"/>
          <w:sz w:val="22"/>
        </w:rPr>
        <w:t>shall survive the termination of this Agreement and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To the extent permitted by applicable law, no Borrower shall assert, and each Borrower hereby waives, any claim against any of the Administrative Agent, each Joint Bookrunner, each Issuing Bank and each Lender, and each Related Party of any of the foregoing Persons (each such Person being called an “</w:t>
      </w:r>
      <w:r>
        <w:rPr>
          <w:rFonts w:ascii="Times New Roman" w:hAnsi="Times New Roman"/>
          <w:color w:val="000000"/>
          <w:sz w:val="22"/>
          <w:u w:val="single"/>
        </w:rPr>
        <w:t>Lender-Related Person</w:t>
      </w:r>
      <w:r>
        <w:rPr>
          <w:rFonts w:ascii="Times New Roman" w:hAnsi="Times New Roman"/>
          <w:color w:val="000000"/>
          <w:sz w:val="20"/>
        </w:rPr>
        <w:t>”</w:t>
      </w:r>
      <w:r>
        <w:rPr>
          <w:rFonts w:ascii="Times New Roman" w:hAnsi="Times New Roman"/>
          <w:color w:val="000000"/>
          <w:sz w:val="22"/>
        </w:rPr>
        <w:t xml:space="preserve">) for any damages arising from the use by others of information or other materials obtained through telecommunications, electronic or other information transmission systems (including the Internet), except to the extent of direct or actual damages as are determined by a court of competent jurisdiction to have resulted from the gross negligence or willful misconduct of, or intentional breach of the confidentiality provisions set forth in Section 9.12 by, such Lender-Related Person. Each party hereto here by agrees not to assert and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nothing contained in this sentence shall limit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Company’s indemnification obligations to Indemnitees in respect of claims made by third parties as set forth in Section 9.03(b).</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All amounts due under this Section shall be payable not later than fifteen (15) days after written demand therefor.</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9.04. </w:t>
      </w:r>
      <w:r>
        <w:rPr>
          <w:rFonts w:ascii="Times New Roman" w:hAnsi="Times New Roman"/>
          <w:b w:val="false"/>
          <w:color w:val="000000"/>
          <w:sz w:val="22"/>
          <w:u w:val="single"/>
        </w:rPr>
        <w:t>Successors and Assigns</w:t>
      </w:r>
      <w:r>
        <w:rPr>
          <w:rFonts w:ascii="Times New Roman" w:hAnsi="Times New Roman"/>
          <w:b w:val="false"/>
          <w:color w:val="000000"/>
          <w:sz w:val="22"/>
        </w:rPr>
        <w:t>. (a) The provisions of this Agreement shall be binding upon and inure to the benefit of the parties hereto and their respective successors and assigns permitted hereby (including any Affiliate of any Issuing Bank (in accordance with the definition of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(in accordance with the definition of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(i) Subject to the conditions set forth in paragraph (b)(ii) below, any Lender may assign to one or more Persons (other than an Ineligible Institution) all or a portion of its rights and obligations under this Agreement (including all or a portion of its Commitments, participations in Letters of Credit and the Loans at the time owing to it) with the prior written consent (such consent not to be unreasonably withheld, conditioned or delayed) 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 xml:space="preserve">the Company (provided that the Company shall be deemed to have consented to any such assignment unless it shall object thereto by written notice to the Administrative Agent within ten (10) Business Days after having received notice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no consent of the Company shall be required for an assignment to a Lender, an Affiliate of a Lender, an Approved Fund or, if any Event of Default described in clause (a), (b), (h) or (i) of Article VII has occurred and is continuing, any other assignee;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 xml:space="preserve">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consent of the Administrative Agent shall be required for an assignment of all or any portion of a Term Loan to a Lender, an Affiliate of a Lender or an Approved Fund;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each Issuing Bank;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consent of an Issuing Bank shall be required if (x) an Event of Default occurs with respect to any Borrower under clause (h) or (i) of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and (y) such Issuing Bank has no outstanding Letters of Credit at that time; provided, further, that no consent of an Issuing Bank shall be required for an assignment of all or any portion of a Term Loan.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Assignments shall be subject to the following additional conditions: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Revolving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Commitments and Revolving Loans) or $1,000,000 (in the case of a Term Loan) unless each of the Company and the Administrative Agent otherwise consent,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consent of the Company shall be required if an Event of Default under clauses (a), (b), (h) or (i) thereof has occurred and is continuing;</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purposes of this Section 9.04(b), the terms “Approved Fund” and “Ineligible Institution” have the following meanings:</w:t>
      </w:r>
    </w:p>
    <w:p>
      <w:pPr>
        <w:pStyle w:val="TextBody"/>
        <w:bidi w:val="0"/>
        <w:spacing w:before="0" w:after="24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Times New Roman" w:hAnsi="Times New Roman"/>
          <w:color w:val="000000"/>
          <w:sz w:val="22"/>
          <w:u w:val="single"/>
        </w:rPr>
        <w:t>Ineligible Institution</w:t>
      </w:r>
      <w:r>
        <w:rPr>
          <w:rFonts w:ascii="Times New Roman" w:hAnsi="Times New Roman"/>
          <w:color w:val="000000"/>
          <w:sz w:val="20"/>
        </w:rPr>
        <w:t xml:space="preserve">” </w:t>
      </w:r>
      <w:r>
        <w:rPr>
          <w:rFonts w:ascii="Times New Roman" w:hAnsi="Times New Roman"/>
          <w:color w:val="000000"/>
          <w:sz w:val="22"/>
        </w:rPr>
        <w:t>means (a) a natural person, (b) a Defaulting Lender or its Lender Parent, (c) the Company, any of its Subsidiaries or any of its Affiliates, or (d) a company, investment vehicle or trust for, or owned and operated for the primary benefit of, a natural person or relative(s) thereof.</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(v) </w:t>
      </w:r>
      <w:r>
        <w:rPr>
          <w:rFonts w:ascii="Times New Roman" w:hAnsi="Times New Roman"/>
          <w:color w:val="000000"/>
          <w:sz w:val="22"/>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(b)(ii)(C) of this Section and any written consent to such assignment required by paragraph (b)(i) of this Section, the Administrative Agent shall accept such Assignment and Assumption and record the information contained therein in the Register;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either the assigning Lender or the assignee shall have failed to make any payment required to be made by it pursuant to Section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Any Lender may, without the consent of any Borrower, the Administrative Agent or any Issuing Bank, sell participations to one or more banks or other entities (a “</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xml:space="preserve">), other than an Ineligible Institution, in all or a portion of such Lender’s rights and/or obligations under this Agreement (including all or a portion of its Commitment and/or the Loans owing to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cooperate with the Company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Section 1.163-5(b) of the Proposed United States Treasury Regulations (or, in each case, any amended or successor version) or to establish that a Loan Party has fulfilled its reporting and withholding obligations under FATCA.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other central banking authority having jurisdiction over such Lender, and this Section shall not apply to any such pledge or assignment of a security interest;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pledge or assignment of a security interest shall release a Lender from any of its obligations hereunder or substitute any such pledgee or assignee for such Lender as a party hereto.</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9.05. </w:t>
      </w:r>
      <w:r>
        <w:rPr>
          <w:rFonts w:ascii="Times New Roman" w:hAnsi="Times New Roman"/>
          <w:b w:val="false"/>
          <w:color w:val="000000"/>
          <w:sz w:val="22"/>
          <w:u w:val="single"/>
        </w:rPr>
        <w:t>Survival</w:t>
      </w:r>
      <w:r>
        <w:rPr>
          <w:rFonts w:ascii="Times New Roman" w:hAnsi="Times New Roman"/>
          <w:b w:val="false"/>
          <w:color w:val="000000"/>
          <w:sz w:val="22"/>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9.06. </w:t>
      </w:r>
      <w:r>
        <w:rPr>
          <w:rFonts w:ascii="Times New Roman" w:hAnsi="Times New Roman"/>
          <w:b w:val="false"/>
          <w:color w:val="000000"/>
          <w:sz w:val="22"/>
          <w:u w:val="single"/>
        </w:rPr>
        <w:t>Counterparts; Integration; Effectiveness; Electronic Execution</w:t>
      </w:r>
      <w:r>
        <w:rPr>
          <w:rFonts w:ascii="Times New Roman" w:hAnsi="Times New Roman"/>
          <w:b w:val="false"/>
          <w:color w:val="000000"/>
          <w:sz w:val="22"/>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hAnsi="Times New Roman"/>
          <w:b w:val="false"/>
          <w:color w:val="000000"/>
          <w:sz w:val="22"/>
          <w:u w:val="single"/>
        </w:rPr>
        <w:t>Ancillary Document</w:t>
      </w:r>
      <w:r>
        <w:rPr>
          <w:rFonts w:ascii="Times New Roman" w:hAnsi="Times New Roman"/>
          <w:color w:val="000000"/>
          <w:sz w:val="20"/>
        </w:rPr>
        <w:t>”</w:t>
      </w:r>
      <w:r>
        <w:rPr>
          <w:rFonts w:ascii="Times New Roman" w:hAnsi="Times New Roman"/>
          <w:b w:val="false"/>
          <w:color w:val="000000"/>
          <w:sz w:val="22"/>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party hereto hereby (i) agrees that, for all purposes, including without limitation, in connection with any workout, restructuring, enforcement of remedies, bankruptcy proceedings or litigation among the Administrative Agent, the Lenders, the Company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other parties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other party hereto for any Liabilities arising solely from any other party’s reliance on or use of Electronic Signatures and/or transmissions by telecopy, emailed pdf, or any other electronic means that reproduces an image of an actual executed signature page, including any Liabilities arising as a result of the failure of such party to use any available security measures in connection with the execution, delivery or transmission of any Electronic Signature.</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9.07. </w:t>
      </w:r>
      <w:r>
        <w:rPr>
          <w:rFonts w:ascii="Times New Roman" w:hAnsi="Times New Roman"/>
          <w:b w:val="false"/>
          <w:color w:val="000000"/>
          <w:sz w:val="22"/>
          <w:u w:val="single"/>
        </w:rPr>
        <w:t>Severability</w:t>
      </w:r>
      <w:r>
        <w:rPr>
          <w:rFonts w:ascii="Times New Roman" w:hAnsi="Times New Roman"/>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9.08. </w:t>
      </w:r>
      <w:r>
        <w:rPr>
          <w:rFonts w:ascii="Times New Roman" w:hAnsi="Times New Roman"/>
          <w:b w:val="false"/>
          <w:color w:val="000000"/>
          <w:sz w:val="22"/>
          <w:u w:val="single"/>
        </w:rPr>
        <w:t>Right of Setoff</w:t>
      </w:r>
      <w:r>
        <w:rPr>
          <w:rFonts w:ascii="Times New Roman" w:hAnsi="Times New Roman"/>
          <w:b w:val="false"/>
          <w:color w:val="000000"/>
          <w:sz w:val="22"/>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against any of and all of the Obligations held by such Lender. The rights of each Lender under this Section are in addition to other rights and remedies (including other rights of setoff) which such Lender may have. Each Lender shall use its commercially reasonable efforts to notify the Company promptly upon the exercise of any such set off rights; </w:t>
      </w:r>
      <w:r>
        <w:rPr>
          <w:rFonts w:ascii="Times New Roman" w:hAnsi="Times New Roman"/>
          <w:b w:val="false"/>
          <w:color w:val="000000"/>
          <w:sz w:val="22"/>
          <w:u w:val="single"/>
        </w:rPr>
        <w:t>provided</w:t>
      </w:r>
      <w:r>
        <w:rPr>
          <w:rFonts w:ascii="Times New Roman" w:hAnsi="Times New Roman"/>
          <w:color w:val="000000"/>
          <w:sz w:val="20"/>
        </w:rPr>
        <w:t xml:space="preserve"> </w:t>
      </w:r>
      <w:r>
        <w:rPr>
          <w:rFonts w:ascii="Times New Roman" w:hAnsi="Times New Roman"/>
          <w:b w:val="false"/>
          <w:color w:val="000000"/>
          <w:sz w:val="22"/>
        </w:rPr>
        <w:t>that the failure to provide such notice shall not modify, limit or otherwise mitigate such Lender’s (and its Affiliates’) rights under this Section.</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9.09. </w:t>
      </w:r>
      <w:r>
        <w:rPr>
          <w:rFonts w:ascii="Times New Roman" w:hAnsi="Times New Roman"/>
          <w:b w:val="false"/>
          <w:color w:val="000000"/>
          <w:sz w:val="22"/>
          <w:u w:val="single"/>
        </w:rPr>
        <w:t>Governing Law; Jurisdiction; Consent to Service of Process</w:t>
      </w:r>
      <w:r>
        <w:rPr>
          <w:rFonts w:ascii="Times New Roman" w:hAnsi="Times New Roman"/>
          <w:b w:val="false"/>
          <w:color w:val="000000"/>
          <w:sz w:val="22"/>
        </w:rPr>
        <w:t>. (a) This Agreement shall be construed in accordance with and governed by the law of the State of New York.</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or the consummation or administration of the transactions contemplated hereby or thereby shall be construed in accordance with and governed by the law of the State of New York.</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(e) </w:t>
      </w:r>
      <w:r>
        <w:rPr>
          <w:rFonts w:ascii="Times New Roman" w:hAnsi="Times New Roman"/>
          <w:color w:val="000000"/>
          <w:sz w:val="22"/>
        </w:rPr>
        <w:t>Each of the parties hereto hereby irrevocably consents to service of process in the manner provided for notices in Section 9.01. Each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Said designation and appointment shall be irrevocable by each such Subsidiary Borrower until all Loans, all reimbursement obligations, interest thereon and all other amounts payable by such Subsidiary Borrower hereunder and under the other Loan Documents shall have been paid in full in accordance with the provisions hereof and thereof and such Subsidiary Borrower shall have been terminated as a Borrower hereunder pursuant to Section 2.23. Each Subsidiary Borrower hereby consents to process being served in any suit, action or proceeding of the nature referred to in Section 9.09(b) in any federal or New York State court sitting in New York City by service of process upon the Company as provided in this Section 9.09(d); provided that, to the extent lawful and possible, notice of said service upon such agent shall be mailed by registered or certified air mail, postage prepaid, return receipt requested, to the Company and (if applicable to) such Subsidiary Borrower at its address set forth in the Borrowing Subsidiary Agreement to which it is a party or to any other address of which such Subsidiary Borrower shall have given written notice to the Administrative Agent (with a copy thereof to the Company). Each Subsidiary Borrower irrevocably waives, to the fullest extent permitted by law, all claim of error by reason of any such service in such manner and agrees that such service shall be deemed in every respect effective service of process upon such Subsidiary Borrower in any such suit, action or proceeding and shall, to the fullest extent permitted by law, be taken and held to be valid and personal service upon and personal delivery to such Subsidiary Borrower. To the extent any Subsidiary Borrower that is a Foreign Subsidiary has or hereafter may acquire any immunity from jurisdiction of any court or from any legal process (whether from service or notice, attachment prior to judgment, attachment in aid of execution of a judgment, execution or otherwise), such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9.10. </w:t>
      </w:r>
      <w:r>
        <w:rPr>
          <w:rFonts w:ascii="Times New Roman" w:hAnsi="Times New Roman"/>
          <w:b w:val="false"/>
          <w:color w:val="000000"/>
          <w:sz w:val="22"/>
          <w:u w:val="single"/>
        </w:rPr>
        <w:t>WAIVER OF JURY TRIAL</w:t>
      </w:r>
      <w:r>
        <w:rPr>
          <w:rFonts w:ascii="Times New Roman" w:hAnsi="Times New Roman"/>
          <w:b w:val="false"/>
          <w:color w:val="000000"/>
          <w:sz w:val="22"/>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9.11. </w:t>
      </w:r>
      <w:r>
        <w:rPr>
          <w:rFonts w:ascii="Times New Roman" w:hAnsi="Times New Roman"/>
          <w:b w:val="false"/>
          <w:color w:val="000000"/>
          <w:sz w:val="22"/>
          <w:u w:val="single"/>
        </w:rPr>
        <w:t>Headings</w:t>
      </w:r>
      <w:r>
        <w:rPr>
          <w:rFonts w:ascii="Times New Roman" w:hAnsi="Times New Roman"/>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9.12. </w:t>
      </w:r>
      <w:r>
        <w:rPr>
          <w:rFonts w:ascii="Times New Roman" w:hAnsi="Times New Roman"/>
          <w:b w:val="false"/>
          <w:color w:val="000000"/>
          <w:sz w:val="22"/>
          <w:u w:val="single"/>
        </w:rPr>
        <w:t>Confidentiality</w:t>
      </w:r>
      <w:r>
        <w:rPr>
          <w:rFonts w:ascii="Times New Roman" w:hAnsi="Times New Roman"/>
          <w:b w:val="false"/>
          <w:color w:val="000000"/>
          <w:sz w:val="22"/>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(in which case such Person agrees, to the extent practicable and not prohibited by applicable law or regulation, to inform the Company promptly thereof prior to disclosure),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(in each case other than an Ineligible Institution), any of its rights or obligations under this Agreement or (ii) any actual counterparty (or its advisors) to any swap, derivative (or, to the extent obtained in the ordinary course of business of the Administrative Agent, such Issuing Bank or such Lender, as applicable, credit insurance) transaction relating to any Borrower and its obligations, (g) with the consent of the Company, (h) on a confidential basis to (i) any rating agency in connection with rating the Company or its Subsidiaries or the credit facilities provided for herein or (ii) the CUSIP Service Bureau or any similar agency in connection with the issuance and monitoring of CUSIP numbers with respect to the credit facilities provided for herein or (i) to the extent such Information (i) becomes publicly available other than as a result of a breach of this Section or (ii) becomes available to the Administrative Agent, any Issuing Bank or any Lender on a nonconfidential basis from a source other than the Company that is not known to the Administrative Agent, such Issuing Bank or such Lender to be subject to a duty of confidentiality to the Company or its Subsidiaries. For the purposes of this Section, “</w:t>
      </w:r>
      <w:r>
        <w:rPr>
          <w:rFonts w:ascii="Times New Roman" w:hAnsi="Times New Roman"/>
          <w:b w:val="false"/>
          <w:color w:val="000000"/>
          <w:sz w:val="22"/>
          <w:u w:val="single"/>
        </w:rPr>
        <w:t>Information</w:t>
      </w:r>
      <w:r>
        <w:rPr>
          <w:rFonts w:ascii="Times New Roman" w:hAnsi="Times New Roman"/>
          <w:color w:val="000000"/>
          <w:sz w:val="20"/>
        </w:rPr>
        <w:t xml:space="preserve">” </w:t>
      </w:r>
      <w:r>
        <w:rPr>
          <w:rFonts w:ascii="Times New Roman" w:hAnsi="Times New Roman"/>
          <w:b w:val="false"/>
          <w:color w:val="000000"/>
          <w:sz w:val="22"/>
        </w:rPr>
        <w:t>means all information received from the Company relating to the Company or its business, other than any such information that is available to the Administrative Agent, any Issuing Bank or any Lender on a nonconfidential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For the avoidance of doubt, nothing in this Section 9.12 shall prohibit any Person from voluntarily disclosing or providing any Information within the scope of this confidentiality provision to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governmental, regulatory or self-regulatory organization (any such entity, a “</w:t>
      </w:r>
      <w:r>
        <w:rPr>
          <w:rFonts w:ascii="Times New Roman" w:hAnsi="Times New Roman"/>
          <w:color w:val="000000"/>
          <w:sz w:val="22"/>
          <w:u w:val="single"/>
        </w:rPr>
        <w:t>Regulatory Authority</w:t>
      </w:r>
      <w:r>
        <w:rPr>
          <w:rFonts w:ascii="Times New Roman" w:hAnsi="Times New Roman"/>
          <w:color w:val="000000"/>
          <w:sz w:val="20"/>
        </w:rPr>
        <w:t>”</w:t>
      </w:r>
      <w:r>
        <w:rPr>
          <w:rFonts w:ascii="Times New Roman" w:hAnsi="Times New Roman"/>
          <w:color w:val="000000"/>
          <w:sz w:val="22"/>
        </w:rPr>
        <w:t>) to the extent that any such prohibition on disclosure set forth in this Section 9.12 shall be prohibited by the laws or regulations applicable to such Regulatory Authority.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9.13. </w:t>
      </w:r>
      <w:r>
        <w:rPr>
          <w:rFonts w:ascii="Times New Roman" w:hAnsi="Times New Roman"/>
          <w:b w:val="false"/>
          <w:color w:val="000000"/>
          <w:sz w:val="22"/>
          <w:u w:val="single"/>
        </w:rPr>
        <w:t>USA PATRIOT Act</w:t>
      </w:r>
      <w:r>
        <w:rPr>
          <w:rFonts w:ascii="Times New Roman" w:hAnsi="Times New Roman"/>
          <w:b w:val="false"/>
          <w:color w:val="000000"/>
          <w:sz w:val="22"/>
        </w:rPr>
        <w:t>. Each Lender that is subject to the requirements of the Patriot Act and the requirements of the Beneficial Ownership Regulation hereby notifies the Borrowers that, pursuant to the requirements of the Patriot Act and the Beneficial Ownership Regulation, it is required to obtain, verify and record information that identifies the Borrowers, which information includes the name, address and tax identification number of the Borrowers and other information that will allow such Lender to identify the Borrowers in accordance with the Patriot Act and the Beneficial Ownership Regulation and other applicable “know your customer” and anti-money laundering rules and regulations.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9.14. </w:t>
      </w:r>
      <w:r>
        <w:rPr>
          <w:rFonts w:ascii="Times New Roman" w:hAnsi="Times New Roman"/>
          <w:b w:val="false"/>
          <w:color w:val="000000"/>
          <w:sz w:val="22"/>
          <w:u w:val="single"/>
        </w:rPr>
        <w:t>Interest Rate Limitation</w:t>
      </w:r>
      <w:r>
        <w:rPr>
          <w:rFonts w:ascii="Times New Roman" w:hAnsi="Times New Roman"/>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b w:val="false"/>
          <w:color w:val="000000"/>
          <w:sz w:val="22"/>
          <w:u w:val="single"/>
        </w:rPr>
        <w:t>Charges</w:t>
      </w:r>
      <w:r>
        <w:rPr>
          <w:rFonts w:ascii="Times New Roman" w:hAnsi="Times New Roman"/>
          <w:color w:val="000000"/>
          <w:sz w:val="20"/>
        </w:rPr>
        <w:t>”</w:t>
      </w:r>
      <w:r>
        <w:rPr>
          <w:rFonts w:ascii="Times New Roman" w:hAnsi="Times New Roman"/>
          <w:b w:val="false"/>
          <w:color w:val="000000"/>
          <w:sz w:val="22"/>
        </w:rPr>
        <w:t>), shall exceed the maximum lawful rate (the “</w:t>
      </w:r>
      <w:r>
        <w:rPr>
          <w:rFonts w:ascii="Times New Roman" w:hAnsi="Times New Roman"/>
          <w:b w:val="false"/>
          <w:color w:val="000000"/>
          <w:sz w:val="22"/>
          <w:u w:val="single"/>
        </w:rPr>
        <w:t>Maximum Rate</w:t>
      </w:r>
      <w:r>
        <w:rPr>
          <w:rFonts w:ascii="Times New Roman" w:hAnsi="Times New Roman"/>
          <w:color w:val="000000"/>
          <w:sz w:val="20"/>
        </w:rPr>
        <w:t>”</w:t>
      </w:r>
      <w:r>
        <w:rPr>
          <w:rFonts w:ascii="Times New Roman" w:hAnsi="Times New Roman"/>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9.15. </w:t>
      </w:r>
      <w:r>
        <w:rPr>
          <w:rFonts w:ascii="Times New Roman" w:hAnsi="Times New Roman"/>
          <w:b w:val="false"/>
          <w:color w:val="000000"/>
          <w:sz w:val="22"/>
          <w:u w:val="single"/>
        </w:rPr>
        <w:t>No Advisory or Fiduciary Responsibility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transactions contemplated herein and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financial instruments, including any voting rights, will be exercised by the holder of the rights, in its sole discretion.</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9.16. </w:t>
      </w:r>
      <w:r>
        <w:rPr>
          <w:rFonts w:ascii="Times New Roman" w:hAnsi="Times New Roman"/>
          <w:b w:val="false"/>
          <w:color w:val="000000"/>
          <w:sz w:val="22"/>
          <w:u w:val="single"/>
        </w:rPr>
        <w:t>Prepayment of Loans under the Existing Credit Agreement</w:t>
      </w:r>
      <w:r>
        <w:rPr>
          <w:rFonts w:ascii="Times New Roman" w:hAnsi="Times New Roman"/>
          <w:b w:val="false"/>
          <w:color w:val="000000"/>
          <w:sz w:val="22"/>
        </w:rPr>
        <w:t>. Each of the signatories hereto that is also a party to the Existing Credit Agreement hereby agrees that any and all required notice periods under the Existing Credit Agreement in connection with the prepayment (if any) on the Effective Date of any “Loans” under the Existing Credit Agreement are hereby waived and of no force and effect.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9.17. </w:t>
      </w:r>
      <w:r>
        <w:rPr>
          <w:rFonts w:ascii="Times New Roman" w:hAnsi="Times New Roman"/>
          <w:b w:val="false"/>
          <w:color w:val="000000"/>
          <w:sz w:val="22"/>
          <w:u w:val="single"/>
        </w:rPr>
        <w:t>Acknowledgement and Consent to Bail-In of Affected Financial Institutions</w:t>
      </w:r>
      <w:r>
        <w:rPr>
          <w:rFonts w:ascii="Times New Roman" w:hAnsi="Times New Roman"/>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the effects of any Bail-In Action on any such liability, including, if applicable: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a reduction in full or in part or cancellation of any such liability;</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the variation of the terms of such liability in connection with the exercise of the Write-Down and Conversion Powers of the applicable Resolution Authority.</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9.18. </w:t>
      </w:r>
      <w:r>
        <w:rPr>
          <w:rFonts w:ascii="Times New Roman" w:hAnsi="Times New Roman"/>
          <w:b w:val="false"/>
          <w:color w:val="000000"/>
          <w:sz w:val="22"/>
          <w:u w:val="single"/>
        </w:rPr>
        <w:t>Acknowledgement Regarding Any Supported QFCs</w:t>
      </w:r>
      <w:r>
        <w:rPr>
          <w:rFonts w:ascii="Times New Roman" w:hAnsi="Times New Roman"/>
          <w:b w:val="false"/>
          <w:color w:val="000000"/>
          <w:sz w:val="22"/>
        </w:rPr>
        <w:t>. To the extent that the Loan Documents provide support, through a guarantee or otherwise, for Swap Agreements or any other agreement or instrument that is a QFC (such support “</w:t>
      </w:r>
      <w:r>
        <w:rPr>
          <w:rFonts w:ascii="Times New Roman" w:hAnsi="Times New Roman"/>
          <w:b w:val="false"/>
          <w:color w:val="000000"/>
          <w:sz w:val="22"/>
          <w:u w:val="single"/>
        </w:rPr>
        <w:t>QFC Credit Support</w:t>
      </w:r>
      <w:r>
        <w:rPr>
          <w:rFonts w:ascii="Times New Roman" w:hAnsi="Times New Roman"/>
          <w:color w:val="000000"/>
          <w:sz w:val="20"/>
        </w:rPr>
        <w:t xml:space="preserve">” </w:t>
      </w:r>
      <w:r>
        <w:rPr>
          <w:rFonts w:ascii="Times New Roman" w:hAnsi="Times New Roman"/>
          <w:b w:val="false"/>
          <w:color w:val="000000"/>
          <w:sz w:val="22"/>
        </w:rPr>
        <w:t>and each such QFC a “</w:t>
      </w:r>
      <w:r>
        <w:rPr>
          <w:rFonts w:ascii="Times New Roman" w:hAnsi="Times New Roman"/>
          <w:b w:val="false"/>
          <w:color w:val="000000"/>
          <w:sz w:val="22"/>
          <w:u w:val="single"/>
        </w:rPr>
        <w:t>Supported QFC</w:t>
      </w:r>
      <w:r>
        <w:rPr>
          <w:rFonts w:ascii="Times New Roman" w:hAnsi="Times New Roman"/>
          <w:color w:val="000000"/>
          <w:sz w:val="20"/>
        </w:rPr>
        <w:t>”</w:t>
      </w:r>
      <w:r>
        <w:rPr>
          <w:rFonts w:ascii="Times New Roman" w:hAnsi="Times New Roman"/>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thereunder, the “</w:t>
      </w:r>
      <w:r>
        <w:rPr>
          <w:rFonts w:ascii="Times New Roman" w:hAnsi="Times New Roman"/>
          <w:b w:val="false"/>
          <w:color w:val="000000"/>
          <w:sz w:val="22"/>
          <w:u w:val="single"/>
        </w:rPr>
        <w:t>U.S. Special Resolution Regimes</w:t>
      </w:r>
      <w:r>
        <w:rPr>
          <w:rFonts w:ascii="Times New Roman" w:hAnsi="Times New Roman"/>
          <w:color w:val="000000"/>
          <w:sz w:val="20"/>
        </w:rPr>
        <w:t>”</w:t>
      </w:r>
      <w:r>
        <w:rPr>
          <w:rFonts w:ascii="Times New Roman" w:hAnsi="Times New Roman"/>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2"/>
        </w:rPr>
        <w:t>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9.19. </w:t>
      </w:r>
      <w:r>
        <w:rPr>
          <w:rFonts w:ascii="Times New Roman" w:hAnsi="Times New Roman"/>
          <w:b w:val="false"/>
          <w:color w:val="000000"/>
          <w:sz w:val="22"/>
          <w:u w:val="single"/>
        </w:rPr>
        <w:t>Certain ERISA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Bookrunners and their respective Affiliates, and not, for the avoidance of doubt, to or for the benefit of the Company or any other Loan Party, that at least one of the following is and will be true:</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 </w:t>
      </w:r>
      <w:r>
        <w:rPr>
          <w:rFonts w:ascii="Times New Roman" w:hAnsi="Times New Roman"/>
          <w:color w:val="000000"/>
          <w:sz w:val="22"/>
        </w:rPr>
        <w:t>such Lender is not using “plan assets” (within the meaning of the Plan Asset Regulations) of one or more Benefit Plans in connection with the Loans, the Letters of Credit or the Commitments,</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 </w:t>
      </w:r>
      <w:r>
        <w:rPr>
          <w:rFonts w:ascii="Times New Roman" w:hAnsi="Times New Roman"/>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(iv) </w:t>
      </w:r>
      <w:r>
        <w:rPr>
          <w:rFonts w:ascii="Times New Roman" w:hAnsi="Times New Roman"/>
          <w:color w:val="000000"/>
          <w:sz w:val="22"/>
        </w:rPr>
        <w:t>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Bookrunners, the Co-Syndication Agents, the Co-Documentation Agents or any of their respective Affiliates, and not, for the avoidance of doubt, to or for the benefit of the Company or any other Loan Party, that none of the Administrative Agent, or the Joint Bookrunners, the Co-Syndication Agents, the Co-Documentation Agents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The Administrative Agent, each Joint Bookrunner, each Co-Syndication Agent and each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Heading2"/>
        <w:bidi w:val="0"/>
        <w:spacing w:before="0" w:after="240"/>
        <w:jc w:val="both"/>
        <w:rPr>
          <w:rFonts w:ascii="Times New Roman" w:hAnsi="Times New Roman"/>
          <w:sz w:val="20"/>
        </w:rPr>
      </w:pPr>
      <w:r>
        <w:rPr>
          <w:rFonts w:ascii="Times New Roman" w:hAnsi="Times New Roman"/>
          <w:b w:val="false"/>
          <w:color w:val="010000"/>
          <w:sz w:val="22"/>
        </w:rPr>
        <w:t xml:space="preserve">SECTION 9.20. </w:t>
      </w:r>
      <w:r>
        <w:rPr>
          <w:rFonts w:ascii="Times New Roman" w:hAnsi="Times New Roman"/>
          <w:b w:val="false"/>
          <w:color w:val="000000"/>
          <w:sz w:val="22"/>
          <w:u w:val="single"/>
        </w:rPr>
        <w:t>Erroneous 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color w:val="000000"/>
          <w:sz w:val="22"/>
          <w:u w:val="single"/>
        </w:rPr>
        <w:t>Payment</w:t>
      </w:r>
      <w:r>
        <w:rPr>
          <w:rFonts w:ascii="Times New Roman" w:hAnsi="Times New Roman"/>
          <w:color w:val="000000"/>
          <w:sz w:val="20"/>
        </w:rPr>
        <w:t>”</w:t>
      </w:r>
      <w:r>
        <w:rPr>
          <w:rFonts w:ascii="Times New Roman" w:hAnsi="Times New Roman"/>
          <w:color w:val="000000"/>
          <w:sz w:val="22"/>
        </w:rPr>
        <w: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9.20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color w:val="000000"/>
          <w:sz w:val="22"/>
          <w:u w:val="single"/>
        </w:rPr>
        <w:t>Payment Notice</w:t>
      </w:r>
      <w:r>
        <w:rPr>
          <w:rFonts w:ascii="Times New Roman" w:hAnsi="Times New Roman"/>
          <w:color w:val="000000"/>
          <w:sz w:val="20"/>
        </w:rPr>
        <w:t>”</w:t>
      </w:r>
      <w:r>
        <w:rPr>
          <w:rFonts w:ascii="Times New Roman" w:hAnsi="Times New Roman"/>
          <w:color w:val="000000"/>
          <w:sz w:val="22"/>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 xml:space="preserve">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Obligations) owed by the Company or any other Loan Party, except to the extent such erroneous Payment is, and solely with respect to the amount of such erroneous Payment that is, comprised of funds received by the Administrative Agent from the Company or any other Loan Party for the purpose of satisfying an Obligation (or any other Obligation);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Section 9.20(c) shall not be interpreted to increase (or accelerate the due date for), or have the effect of increasing (or accelerating the due date for), any Obligations of the Company or any other Loan Party relative to the amount (and/or timing for payment) of the Obligations that would have been payable had such erroneous Payment not been made by the Administrative Agent.</w:t>
      </w:r>
    </w:p>
    <w:p>
      <w:pPr>
        <w:pStyle w:val="TextBody"/>
        <w:bidi w:val="0"/>
        <w:spacing w:before="0" w:after="240"/>
        <w:jc w:val="both"/>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Each party’s obligations under this Section 9.20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Heading1"/>
        <w:bidi w:val="0"/>
        <w:spacing w:before="0" w:after="240"/>
        <w:jc w:val="center"/>
        <w:rPr>
          <w:rFonts w:ascii="Times New Roman" w:hAnsi="Times New Roman"/>
          <w:sz w:val="20"/>
        </w:rPr>
      </w:pPr>
      <w:r>
        <w:rPr>
          <w:rFonts w:ascii="Times New Roman" w:hAnsi="Times New Roman"/>
          <w:b w:val="false"/>
          <w:color w:val="010000"/>
          <w:sz w:val="22"/>
        </w:rPr>
        <w:t>ARTICLE X</w:t>
      </w:r>
      <w:r>
        <w:rPr>
          <w:rFonts w:ascii="Times New Roman" w:hAnsi="Times New Roman"/>
          <w:b w:val="false"/>
          <w:color w:val="000000"/>
          <w:sz w:val="22"/>
          <w:u w:val="single"/>
        </w:rPr>
        <w:br/>
        <w:br/>
        <w:t>Company Guarantee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order to induce the Lenders to extend credit to the other Borrowers hereunder, but subject to the last sentence of this </w:t>
      </w:r>
      <w:r>
        <w:rPr>
          <w:rFonts w:ascii="Times New Roman" w:hAnsi="Times New Roman"/>
          <w:color w:val="000000"/>
          <w:sz w:val="22"/>
          <w:u w:val="single"/>
        </w:rPr>
        <w:t>Article X</w:t>
      </w:r>
      <w:r>
        <w:rPr>
          <w:rFonts w:ascii="Times New Roman" w:hAnsi="Times New Roman"/>
          <w:color w:val="000000"/>
          <w:sz w:val="22"/>
        </w:rPr>
        <w:t>, the Company hereby absolutely and irrevocably and unconditionally guarantees, as a primary obligor and not merely as a surety, the payment when and as due of the Obligations.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 The Company hereby irrevocably and unconditionally agrees that if any obligation guaranteed by it is or becomes unenforceable, invalid or illegal, it will, as an independent and primary obligation, indemnify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the limitations and carve-outs in Section 9.03) the Administrative Agent, the Issuing Banks and the Lenders immediately on demand against any cost, loss or liability they incur as a result of any other Borrower or any of its Affiliates not paying any amount which would, but for such unenforceability, invalidity or illegality, have been payable by such Borrower under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 xml:space="preserve">on the date when it would have been due (but so that the amount payable by the Company under this indemnity will not exceed the amount which it would have had to pay under this </w:t>
      </w:r>
      <w:r>
        <w:rPr>
          <w:rFonts w:ascii="Times New Roman" w:hAnsi="Times New Roman"/>
          <w:color w:val="000000"/>
          <w:sz w:val="22"/>
          <w:u w:val="single"/>
        </w:rPr>
        <w:t>Article X</w:t>
      </w:r>
      <w:r>
        <w:rPr>
          <w:rFonts w:ascii="Times New Roman" w:hAnsi="Times New Roman"/>
          <w:color w:val="000000"/>
          <w:sz w:val="20"/>
        </w:rPr>
        <w:t xml:space="preserve"> </w:t>
      </w:r>
      <w:r>
        <w:rPr>
          <w:rFonts w:ascii="Times New Roman" w:hAnsi="Times New Roman"/>
          <w:color w:val="000000"/>
          <w:sz w:val="22"/>
        </w:rPr>
        <w:t>if the amount claimed had been recoverable on the basis of a guarantee).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waives presentment to, demand of payment from and protest to any Borrower (other than to the Company) of any of the Obligations, and also waives notice of acceptance of its obligations and notice of protest for nonpayment. The obligations of the Company hereunder shall not be affected by (a) the failure of the Administrative Agent, any Issuing Bank or any Lender to assert any claim or demand or to enforce any right or remedy against any Borrower under the provisions of this Agreement, any other Loan Document or otherwise; (b) any extension or renewal of any of the Obligations; (c) any rescission, waiver, amendment or modification of, or release from, any of the terms or provisions of this Agreement, or any other Loan Document or agreement other than as a result of the payment in full in cash; (d) any default, failure or delay, willful or otherwise, in the performance of any of the Obligations; (e) the failure of the Administrative Agent to take any steps to perfect and maintain any security interest in, or to preserve any rights to, any security or collateral for the Obligations, if any; (f) any change in the corporate, partnership or other existence, structure or ownership of any Borrower or any other guarantor of any of the Obligations; (g) the enforceability or validity of the Obligations or any part thereof or the genuineness, enforceability or validity of any agreement relating thereto or with respect to any collateral securing the Obligations or any part thereof, or any other invalidity or unenforceability relating to or against any Borrower or any other guarantor of any of the Obligations, for any reason related to this Agreement, any other Loan Document, or any provision of applicable law, decree, order or regulation of any jurisdiction purporting to prohibit the payment by such Borrower or any other guarantor of the Obligations, of any of the Obligations or otherwise affecting any term of any of the Obligations; or (h) any other act, omission or delay to do any other act (other than payment in full in cash) which may or might in any manner or to any extent vary the risk of the Company or otherwise operate as a discharge of a guarantor as a matter of law or equity or which would impair or eliminate any right of the Company to subrogation.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further agrees that its agreement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Borrower or any other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the Company hereunder shall not be subject to any reduction, limitation, impairment or termination for any reason, and shall not be subject to any defense or set-off, counterclaim, recoupment or termination whatsoever, by reason of the invalidity, illegality or unenforceability of any of the Obligations, any impossibility in the performance of any of the Obligations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further agrees that its obligations hereunder shall constitute a continuing and irrevocable guarantee of all Obligations now or hereafter existing and shall continue to be effective or be reinstated, as the case may be, if at any time payment, or any part thereof, of any Obligation (including a payment effected through exercise of a right of setoff) is rescinded, or is or must otherwise be restored or returned by the Administrative Agent, any Issuing Bank or any Lender upon the insolvency, bankruptcy or reorganization of any Borrower or otherwise (including pursuant to any settlement entered into by a holder of Obligations in its discretion).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furtherance of the foregoing and not in limitation of any other right which the Administrative Agent, any Issuing Bank or any Lender may have at law or in equity against any Borrower by virtue hereof, upon the failure of any other Borrower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any Issuing Bank or any Lender in cash an amount equal to the unpaid principal amount of the Obligations then due, together with accrued and unpaid interest thereon. The Company further agrees that if payment in respect of any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Obligation in such currency or at such place of payment shall be impossible or disadvantageous to the Administrative Agent, any Issuing Bank or any Lender in any material respect, then, at the election of the Administrative Agent, the Company shall make payment of such Obligation in Dollars (based upon the applicable Equivalent Amount in effect on the date of payment) and/or in New York, Chicago or such other Foreign Currency Payment Office as is designated by the Administrative Agent and, as a separate and independent obligation, shall reimburse the Administrative Agent, any Issuing Bank and any Lender against any losses or reasonable out-of-pocket expenses that it shall sustain as a result of such alternative payment.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payment by the Company of any sums as provided above, all rights of the Company against any Borrower arising as a result thereof by way of right of subrogation or otherwise shall in all respects be subordinated and junior in right of payment to the prior indefeasible payment in full in cash of all the Obligations owed by the Company to the Administrative Agent, the Issuing Banks and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shall discharge or satisfy the liability of the Company hereunder except the full performance and payment in cash of the Obligations.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hereto have caused this Agreement to be duly executed by their respective authorized officers as of the day and year first above written.</w:t>
      </w:r>
    </w:p>
    <w:p>
      <w:pPr>
        <w:pStyle w:val="TextBody"/>
        <w:bidi w:val="0"/>
        <w:spacing w:before="0" w:after="480"/>
        <w:jc w:val="left"/>
        <w:rPr>
          <w:rFonts w:ascii="Times New Roman" w:hAnsi="Times New Roman"/>
          <w:sz w:val="20"/>
        </w:rPr>
      </w:pPr>
      <w:r>
        <w:rPr>
          <w:rFonts w:ascii="Times New Roman" w:hAnsi="Times New Roman"/>
          <w:color w:val="000000"/>
          <w:sz w:val="22"/>
        </w:rPr>
        <w:t>BROWN &amp; BROWN, INC.,</w:t>
        <w:br/>
        <w:t>as the Company</w:t>
        <w:br/>
        <w:br/>
        <w:br/>
        <w:t xml:space="preserve">By </w:t>
      </w:r>
      <w:r>
        <w:rPr>
          <w:rFonts w:ascii="Times New Roman" w:hAnsi="Times New Roman"/>
          <w:color w:val="000000"/>
          <w:sz w:val="22"/>
          <w:u w:val="single"/>
        </w:rPr>
        <w:t xml:space="preserve">/s/ R. Andrew Watts </w:t>
      </w:r>
      <w:r>
        <w:rPr>
          <w:rFonts w:ascii="Times New Roman" w:hAnsi="Times New Roman"/>
          <w:color w:val="000000"/>
          <w:sz w:val="22"/>
        </w:rPr>
        <w:br/>
        <w:t>Name: R. Andrew Watts</w:t>
        <w:br/>
        <w:t>Title: Executive Vice President and Chief Financial Officer of Brown &amp; Brown, Inc.</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2"/>
        </w:rPr>
        <w:t>JPMORGAN CHASE BANK, N.A., individually as</w:t>
        <w:br/>
        <w:t>a Lender, as an Issuing Bank and as Administrative Agent</w:t>
        <w:br/>
        <w:br/>
        <w:br/>
        <w:t xml:space="preserve">By </w:t>
      </w:r>
      <w:r>
        <w:rPr>
          <w:rFonts w:ascii="Times New Roman" w:hAnsi="Times New Roman"/>
          <w:color w:val="000000"/>
          <w:sz w:val="22"/>
          <w:u w:val="single"/>
        </w:rPr>
        <w:t xml:space="preserve">/s/ Danielle D. Babine </w:t>
      </w:r>
      <w:r>
        <w:rPr>
          <w:rFonts w:ascii="Times New Roman" w:hAnsi="Times New Roman"/>
          <w:color w:val="000000"/>
          <w:sz w:val="22"/>
        </w:rPr>
        <w:br/>
        <w:t>Name: Danielle Babine</w:t>
        <w:br/>
        <w:t>Title: Executive Director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BANK OF AMERICA, N.A., individually as</w:t>
        <w:br/>
        <w:t>a Lender, and as an Issuing Bank</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Cameron Cardozo </w:t>
      </w:r>
      <w:r>
        <w:rPr>
          <w:rFonts w:ascii="Times New Roman" w:hAnsi="Times New Roman"/>
          <w:color w:val="000000"/>
          <w:sz w:val="22"/>
        </w:rPr>
        <w:br/>
        <w:t>Name: Cameron Cardozo</w:t>
        <w:br/>
        <w:t>Title: Senior Vice President</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BMO BANK N.A., individually as</w:t>
        <w:br/>
        <w:t>a Lender, and as an Issuing Bank</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Lauren Harte </w:t>
      </w:r>
      <w:r>
        <w:rPr>
          <w:rFonts w:ascii="Times New Roman" w:hAnsi="Times New Roman"/>
          <w:color w:val="000000"/>
          <w:sz w:val="22"/>
        </w:rPr>
        <w:br/>
        <w:t>Name: Lauren Harte</w:t>
        <w:br/>
        <w:t>Title: Director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TRUIST BANK, individually as</w:t>
        <w:br/>
        <w:t>a Lender, and as an Issuing Bank</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Richard W. Jantzen, III </w:t>
      </w:r>
      <w:r>
        <w:rPr>
          <w:rFonts w:ascii="Times New Roman" w:hAnsi="Times New Roman"/>
          <w:color w:val="000000"/>
          <w:sz w:val="22"/>
        </w:rPr>
        <w:br/>
        <w:t>Name: Richard W. Jantzen, III</w:t>
        <w:br/>
        <w:t>Title: Director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FIFTH THIRD BANK, NATIONAL ASSOCIATION,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Jason Gedraitis </w:t>
      </w:r>
      <w:r>
        <w:rPr>
          <w:rFonts w:ascii="Times New Roman" w:hAnsi="Times New Roman"/>
          <w:color w:val="000000"/>
          <w:sz w:val="22"/>
        </w:rPr>
        <w:br/>
        <w:t>Name: Jason Gedraitis</w:t>
        <w:br/>
        <w:t>Title: SVP</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HSBC BANK USA, NATIONAL ASSOCIATION,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Dilip Chaini </w:t>
      </w:r>
      <w:r>
        <w:rPr>
          <w:rFonts w:ascii="Times New Roman" w:hAnsi="Times New Roman"/>
          <w:color w:val="000000"/>
          <w:sz w:val="22"/>
        </w:rPr>
        <w:br/>
        <w:t>Name: Dilip Chaini</w:t>
        <w:br/>
        <w:t>Title: Director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PNC BANK, NATIONAL ASSOCIATION,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Thomas Kostal </w:t>
      </w:r>
      <w:r>
        <w:rPr>
          <w:rFonts w:ascii="Times New Roman" w:hAnsi="Times New Roman"/>
          <w:color w:val="000000"/>
          <w:sz w:val="22"/>
        </w:rPr>
        <w:br/>
        <w:t>Name: Thomas Kostal</w:t>
        <w:br/>
        <w:t>Title: Senior Vice President</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U.S. BANK NATIONAL ASSOCIATION,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Callen M. Strunk </w:t>
      </w:r>
      <w:r>
        <w:rPr>
          <w:rFonts w:ascii="Times New Roman" w:hAnsi="Times New Roman"/>
          <w:color w:val="000000"/>
          <w:sz w:val="22"/>
        </w:rPr>
        <w:br/>
        <w:t>Name: Callen M. Strunk</w:t>
        <w:br/>
        <w:t>Title: Vice President</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WELLS FARGO BANK, NATIONAL ASSOCIATION,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Kimberly Shaffer </w:t>
      </w:r>
      <w:r>
        <w:rPr>
          <w:rFonts w:ascii="Times New Roman" w:hAnsi="Times New Roman"/>
          <w:color w:val="000000"/>
          <w:sz w:val="22"/>
        </w:rPr>
        <w:br/>
        <w:t>Name: Kimberly Shaffer</w:t>
        <w:br/>
        <w:t>Title: Managing Director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BARCLAYS BANK,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Evan Moriarty </w:t>
      </w:r>
      <w:r>
        <w:rPr>
          <w:rFonts w:ascii="Times New Roman" w:hAnsi="Times New Roman"/>
          <w:color w:val="000000"/>
          <w:sz w:val="22"/>
        </w:rPr>
        <w:br/>
        <w:t>Name: Evan Moriarty</w:t>
        <w:br/>
        <w:t>Title: Authorized Signatory</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CITIZENS BANK, N.A.,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Karmyn Paul </w:t>
      </w:r>
      <w:r>
        <w:rPr>
          <w:rFonts w:ascii="Times New Roman" w:hAnsi="Times New Roman"/>
          <w:color w:val="000000"/>
          <w:sz w:val="22"/>
        </w:rPr>
        <w:br/>
        <w:t>Name: Karmyn Paul</w:t>
        <w:br/>
        <w:t>Title: SVP</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THE HUNTINGTON NATIONAL BANK,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Tim Wiegand </w:t>
      </w:r>
      <w:r>
        <w:rPr>
          <w:rFonts w:ascii="Times New Roman" w:hAnsi="Times New Roman"/>
          <w:color w:val="000000"/>
          <w:sz w:val="22"/>
        </w:rPr>
        <w:br/>
        <w:t>Name: Tim Weigand</w:t>
        <w:br/>
        <w:t>Title: Managing Director</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HANCOCK WHITNEY BANK, as a Lender</w:t>
      </w:r>
    </w:p>
    <w:p>
      <w:pPr>
        <w:pStyle w:val="TextBody"/>
        <w:bidi w:val="0"/>
        <w:spacing w:before="0" w:after="48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Christopher D. Ashley </w:t>
      </w:r>
      <w:r>
        <w:rPr>
          <w:rFonts w:ascii="Times New Roman" w:hAnsi="Times New Roman"/>
          <w:color w:val="000000"/>
          <w:sz w:val="22"/>
        </w:rPr>
        <w:br/>
        <w:t>Name: Christopher D. Ashley</w:t>
        <w:br/>
        <w:t>Title: Vice President</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spacing w:before="0" w:after="48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 to Third Amended and Restated Credit Agreement</w:t>
      </w:r>
    </w:p>
    <w:p>
      <w:pPr>
        <w:pStyle w:val="TextBody"/>
        <w:bidi w:val="0"/>
        <w:jc w:val="center"/>
        <w:rPr>
          <w:rFonts w:ascii="Times New Roman" w:hAnsi="Times New Roman"/>
          <w:sz w:val="20"/>
        </w:rPr>
      </w:pPr>
      <w:r>
        <w:rPr>
          <w:rFonts w:ascii="Times New Roman" w:hAnsi="Times New Roman"/>
          <w:color w:val="000000"/>
          <w:sz w:val="22"/>
        </w:rPr>
        <w:t xml:space="preserve">Brown &amp; Brown, Inc. </w:t>
      </w:r>
      <w:r>
        <w:rPr>
          <w:rFonts w:ascii="Times New Roman" w:hAnsi="Times New Roman"/>
          <w:i/>
          <w:color w:val="000000"/>
          <w:sz w:val="22"/>
        </w:rPr>
        <w:t>et 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SCHEDULE 2.01</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COMMITMENTS</w:t>
      </w:r>
    </w:p>
    <w:tbl>
      <w:tblPr>
        <w:tblW w:w="10205" w:type="dxa"/>
        <w:jc w:val="left"/>
        <w:tblInd w:w="0" w:type="dxa"/>
        <w:tblLayout w:type="fixed"/>
        <w:tblCellMar>
          <w:top w:w="28" w:type="dxa"/>
          <w:left w:w="28" w:type="dxa"/>
          <w:bottom w:w="28" w:type="dxa"/>
          <w:right w:w="28" w:type="dxa"/>
        </w:tblCellMar>
      </w:tblPr>
      <w:tblGrid>
        <w:gridCol w:w="3095"/>
        <w:gridCol w:w="2171"/>
        <w:gridCol w:w="2446"/>
        <w:gridCol w:w="2493"/>
      </w:tblGrid>
      <w:tr>
        <w:trPr/>
        <w:tc>
          <w:tcPr>
            <w:tcW w:w="309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3095"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2"/>
                <w:u w:val="single"/>
              </w:rPr>
            </w:pPr>
            <w:r>
              <w:rPr>
                <w:rFonts w:ascii="Times New Roman" w:hAnsi="Times New Roman"/>
                <w:color w:val="000000"/>
                <w:sz w:val="22"/>
                <w:u w:val="single"/>
              </w:rPr>
              <w:t>Lender</w:t>
            </w:r>
          </w:p>
        </w:tc>
        <w:tc>
          <w:tcPr>
            <w:tcW w:w="2171" w:type="dxa"/>
            <w:tcBorders/>
            <w:tcMar>
              <w:top w:w="0" w:type="dxa"/>
              <w:left w:w="0" w:type="dxa"/>
              <w:bottom w:w="0" w:type="dxa"/>
              <w:right w:w="0" w:type="dxa"/>
            </w:tcMar>
            <w:vAlign w:val="center"/>
          </w:tcPr>
          <w:p>
            <w:pPr>
              <w:pStyle w:val="TableContents"/>
              <w:bidi w:val="0"/>
              <w:spacing w:before="0" w:after="240"/>
              <w:ind w:left="0" w:right="0" w:firstLine="72"/>
              <w:jc w:val="center"/>
              <w:rPr>
                <w:rFonts w:ascii="Times New Roman" w:hAnsi="Times New Roman"/>
                <w:color w:val="000000"/>
                <w:sz w:val="22"/>
                <w:u w:val="single"/>
              </w:rPr>
            </w:pPr>
            <w:r>
              <w:rPr>
                <w:rFonts w:ascii="Times New Roman" w:hAnsi="Times New Roman"/>
                <w:color w:val="000000"/>
                <w:sz w:val="22"/>
                <w:u w:val="single"/>
              </w:rPr>
              <w:t>Revolving Commitment</w:t>
            </w:r>
          </w:p>
        </w:tc>
        <w:tc>
          <w:tcPr>
            <w:tcW w:w="2446" w:type="dxa"/>
            <w:tcBorders/>
            <w:tcMar>
              <w:top w:w="0" w:type="dxa"/>
              <w:left w:w="0" w:type="dxa"/>
              <w:bottom w:w="0" w:type="dxa"/>
              <w:right w:w="0" w:type="dxa"/>
            </w:tcMar>
            <w:vAlign w:val="center"/>
          </w:tcPr>
          <w:p>
            <w:pPr>
              <w:pStyle w:val="TableContents"/>
              <w:bidi w:val="0"/>
              <w:spacing w:before="0" w:after="240"/>
              <w:ind w:left="0" w:right="0" w:firstLine="72"/>
              <w:jc w:val="center"/>
              <w:rPr>
                <w:rFonts w:ascii="Times New Roman" w:hAnsi="Times New Roman"/>
                <w:color w:val="000000"/>
                <w:sz w:val="22"/>
                <w:u w:val="single"/>
              </w:rPr>
            </w:pPr>
            <w:r>
              <w:rPr>
                <w:rFonts w:ascii="Times New Roman" w:hAnsi="Times New Roman"/>
                <w:color w:val="000000"/>
                <w:sz w:val="22"/>
                <w:u w:val="single"/>
              </w:rPr>
              <w:t>Term A-1 Loan Commitment</w:t>
            </w:r>
          </w:p>
        </w:tc>
        <w:tc>
          <w:tcPr>
            <w:tcW w:w="2493" w:type="dxa"/>
            <w:tcBorders/>
            <w:tcMar>
              <w:top w:w="0" w:type="dxa"/>
              <w:left w:w="0" w:type="dxa"/>
              <w:bottom w:w="0" w:type="dxa"/>
              <w:right w:w="0" w:type="dxa"/>
            </w:tcMar>
            <w:vAlign w:val="center"/>
          </w:tcPr>
          <w:p>
            <w:pPr>
              <w:pStyle w:val="TableContents"/>
              <w:bidi w:val="0"/>
              <w:spacing w:before="0" w:after="240"/>
              <w:ind w:left="0" w:right="0" w:firstLine="72"/>
              <w:jc w:val="center"/>
              <w:rPr>
                <w:rFonts w:ascii="Times New Roman" w:hAnsi="Times New Roman"/>
                <w:color w:val="000000"/>
                <w:sz w:val="22"/>
                <w:u w:val="single"/>
              </w:rPr>
            </w:pPr>
            <w:r>
              <w:rPr>
                <w:rFonts w:ascii="Times New Roman" w:hAnsi="Times New Roman"/>
                <w:color w:val="000000"/>
                <w:sz w:val="22"/>
                <w:u w:val="single"/>
              </w:rPr>
              <w:t>Term A-2 Loan Commitment</w:t>
            </w:r>
          </w:p>
        </w:tc>
      </w:tr>
      <w:tr>
        <w:trPr/>
        <w:tc>
          <w:tcPr>
            <w:tcW w:w="309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JPMorgan Chase Bank, N.A.</w:t>
            </w:r>
          </w:p>
          <w:p>
            <w:pPr>
              <w:pStyle w:val="TableContents"/>
              <w:bidi w:val="0"/>
              <w:spacing w:before="0" w:after="283"/>
              <w:jc w:val="left"/>
              <w:rPr/>
            </w:pPr>
            <w:r>
              <w:rPr/>
              <w:t> </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$134,642,860</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$26,928,570</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$26,928,570</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Bank of America, N.A.</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$131,428,572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$26,285,714</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$26,285,714</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BMO Bank N.A.</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$131,428,572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$26,285,714</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$26,285,714</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Truist Bank</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$131,428,572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$26,285,714</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$26,285,714</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Fifth Third Bank, National Association</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$102,857,142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HSBC Bank USA, National Association</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$102,857,142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PNC Bank, National Association</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$102,857,142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 Bank National Association</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$102,857,142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Wells Fargo Bank, National Association</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$102,857,142</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$20,571,429</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Barclays Bank PLC</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$60,000,000</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$12,000,000</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$12,000,000</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Citizens Bank, N.A.</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$60,000,000</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$12,000,000</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$12,000,000</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Huntington National Bank</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$60,000,000</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$12,000,000</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$12,000,000</w:t>
            </w:r>
          </w:p>
        </w:tc>
      </w:tr>
      <w:tr>
        <w:trPr/>
        <w:tc>
          <w:tcPr>
            <w:tcW w:w="3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Hancock Whitney Bank</w:t>
            </w:r>
          </w:p>
        </w:tc>
        <w:tc>
          <w:tcPr>
            <w:tcW w:w="2171"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$26,785,714</w:t>
            </w:r>
          </w:p>
        </w:tc>
        <w:tc>
          <w:tcPr>
            <w:tcW w:w="2446"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$5,357,143</w:t>
            </w:r>
          </w:p>
        </w:tc>
        <w:tc>
          <w:tcPr>
            <w:tcW w:w="2493" w:type="dxa"/>
            <w:tcBorders/>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$5,357,143</w:t>
            </w:r>
          </w:p>
        </w:tc>
      </w:tr>
      <w:tr>
        <w:trPr/>
        <w:tc>
          <w:tcPr>
            <w:tcW w:w="3095"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Aggregate Commitment</w:t>
            </w:r>
          </w:p>
          <w:p>
            <w:pPr>
              <w:pStyle w:val="TableContents"/>
              <w:bidi w:val="0"/>
              <w:spacing w:before="0" w:after="283"/>
              <w:jc w:val="lef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$1,250,000,000</w:t>
            </w:r>
          </w:p>
        </w:tc>
        <w:tc>
          <w:tcPr>
            <w:tcW w:w="24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$250,000,000</w:t>
            </w:r>
          </w:p>
        </w:tc>
        <w:tc>
          <w:tcPr>
            <w:tcW w:w="24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$250,000,000</w:t>
            </w:r>
          </w:p>
        </w:tc>
      </w:tr>
      <w:tr>
        <w:trPr/>
        <w:tc>
          <w:tcPr>
            <w:tcW w:w="3095" w:type="dxa"/>
            <w:tcBorders/>
            <w:tcMar>
              <w:top w:w="0" w:type="dxa"/>
              <w:left w:w="0" w:type="dxa"/>
              <w:bottom w:w="0" w:type="dxa"/>
              <w:right w:w="0" w:type="dxa"/>
            </w:tcMar>
            <w:vAlign w:val="center"/>
          </w:tcPr>
          <w:p>
            <w:pPr>
              <w:pStyle w:val="TableContents"/>
              <w:bidi w:val="0"/>
              <w:spacing w:before="0" w:after="283"/>
              <w:jc w:val="left"/>
              <w:rPr/>
            </w:pPr>
            <w:r>
              <w:rPr/>
              <w:t> </w:t>
            </w:r>
          </w:p>
        </w:tc>
        <w:tc>
          <w:tcPr>
            <w:tcW w:w="2171"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8" w:name="bro-ex31_1.htm"/>
      <w:bookmarkStart w:id="69" w:name="ksbroex31_1"/>
      <w:bookmarkEnd w:id="68"/>
      <w:bookmarkEnd w:id="6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 Powell Brown,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27, 2026</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0" w:name="bro-ex31_2.htm"/>
      <w:bookmarkStart w:id="71" w:name="ksbroex31_2"/>
      <w:bookmarkEnd w:id="70"/>
      <w:bookmarkEnd w:id="7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R. Andrew Watts,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27, 2026</w:t>
      </w:r>
    </w:p>
    <w:p>
      <w:pPr>
        <w:pStyle w:val="TextBody"/>
        <w:bidi w:val="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Andrew Watts</w:t>
            </w:r>
          </w:p>
        </w:tc>
      </w:tr>
      <w:tr>
        <w:trPr/>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Chief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2" w:name="bro-ex32_1.htm"/>
      <w:bookmarkStart w:id="73" w:name="ksbroex32_1"/>
      <w:bookmarkEnd w:id="72"/>
      <w:bookmarkEnd w:id="7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June 30, 2026, as filed with the Securities and Exchange Commission on the date hereof (the “Form 10-Q”), I, J. Powell Brown, Chief Executive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July 27, 2026</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4" w:name="bro-ex32_2.htm"/>
      <w:bookmarkStart w:id="75" w:name="ksbroex32_2"/>
      <w:bookmarkEnd w:id="74"/>
      <w:bookmarkEnd w:id="7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June 30, 2026, as filed with the Securities and Exchange Commission on the date hereof (the “Form 10-Q”), I, R. Andrew Watts, Chief Financial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July 27, 2026</w:t>
      </w:r>
    </w:p>
    <w:p>
      <w:pPr>
        <w:pStyle w:val="TextBody"/>
        <w:bidi w:val="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453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53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r>
      <w:tr>
        <w:trPr/>
        <w:tc>
          <w:tcPr>
            <w:tcW w:w="453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 Andrew Watts</w:t>
            </w:r>
          </w:p>
        </w:tc>
      </w:tr>
      <w:tr>
        <w:trPr/>
        <w:tc>
          <w:tcPr>
            <w:tcW w:w="453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 xml:space="preserve">Executive Vice President and Chief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79282/000095017023000930/bro-ex3_1.htm" TargetMode="External"/><Relationship Id="rId4" Type="http://schemas.openxmlformats.org/officeDocument/2006/relationships/hyperlink" Target="https://www.sec.gov/Archives/edgar/data/79282/000095017023000930/bro-ex3_2.htm" TargetMode="External"/><Relationship Id="rId5" Type="http://schemas.openxmlformats.org/officeDocument/2006/relationships/hyperlink" Target="https://www.sec.gov/Archives/edgar/data/79282/000119312526212338/bro-ex10_1.htm" TargetMode="External"/><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101852</Words>
  <Characters>534938</Characters>
  <CharactersWithSpaces>638821</CharactersWithSpaces>
  <Paragraphs>13359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