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1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4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6"/>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31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4"/>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140" w:type="dxa"/>
            <w:vAlign w:val="bottom"/>
          </w:tcPr>
          <w:p>
            <w:pPr>
              <w:spacing w:after="0"/>
              <w:rPr>
                <w:sz w:val="18"/>
                <w:szCs w:val="18"/>
                <w:color w:val="auto"/>
              </w:rPr>
            </w:pPr>
          </w:p>
        </w:tc>
        <w:tc>
          <w:tcPr>
            <w:tcW w:w="2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2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June 11, 2024, Brown &amp; Brown, Inc. (the “Company”) completed the issuance and sale of $600,000,000 aggregate principal amount of the Company’s 5.650% Senior Notes due 2034 (the “Notes”). The net proceeds to the Company from the sale of the Notes, after deducting underwriting discounts and estimated offering expenses, were approximately $593.2 million.</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Notes were offered and sold under the Company’s Automatic Shelf Registration Statement on Form S-3 (Registration No. 333-271708) filed with the Securities and Exchange Commission (the “SEC”) on May 8, 2023 (the “Registration Statement”). In connection with the issuance and sale of the Notes, the Company entered into an Underwriting Agreement, dated as of June 4, 2024, with BofA Securities, Inc., BMO Capital Markets Corp., J.P. Morgan Securities LLC and Truist Securities, Inc., as representatives of the several underwriters named therein, which was filed as an exhibit to the Company’s Current Report on Form 8-K filed with the SEC on June 5, 2024.</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Notes were issued pursuant to that certain Indenture, dated as of September 18, 2014, between the Company and U.S. Bank Trust Company, National Association (as successor to U.S. Bank National Association), as trustee (the “Base Indenture”), as supplemented by the First Supplemental Indenture, dated as of September 18, 2014, the Second Supplemental Indenture, dated as of March 11, 2019, the Third Supplemental Indenture, dated as of September 24, 2020, the Fourth Supplemental Indenture, dated as of March 17, 2022, and the Fifth Supplemental Indenture, dated as of June 11, 2024 (the “Supplemental Indentures”, and the Base Indenture, as supplemented by the Supplemental Indentures, the “Indenture”). The Base Indenture and the Fifth Supplemental Indenture are filed as Exhibits 4.1 and 4.2, respectively, to this Current Report on Form 8-K and are incorporated by reference herein.</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Information concerning the Notes and related matters is set forth in the Registration Statement, including the Company’s Prospectus and Prospectus Supplement, which Prospectus Supplement was filed with the SEC on June 6, 2024.</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Notes bear interest at the rate of 5.650% per year and will mature on June 11, 2034. Interest on the Notes will be payable semi-annually in arrears on June 11 and December 11 of each year, commencing on December 11, 2024. The Notes are senior unsecured obligations of the Company and will rank equal in right of payment to all of the Company’s existing and future senior unsecured indebtedness. The Company may redeem the Notes in whole or in part at any time and from time to time, at the “make whole” redemption prices specified in the Prospectus Supplement for the Notes being redeemed, plus accrued and unpaid interest thereon to but excluding the redemption date. The form of note for the Notes is filed as Exhibit 4.3 to this Current Report on Form 8-K and is incorporated by reference herein. The Company intends to use the net proceeds from the offering of the Notes to redeem its 4.2% senior notes due September 2024, and for general corporate purposes.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 includes certain restrictive covenants, including covenants that limit the ability of the Company and certain of its subsidiaries to, among other things, incur certain secured debt and consolidate, merge, or transfer substantially all of the Company’s assets to another entity. The covenants are subject to a number of important exceptions and qualifications set forth in the Indenture. The Indenture also contains a covenant regarding the repurchase by the Company of the Notes upon a “change of control triggering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description of the Indenture and the Notes is qualified in its entirety by their respective terms.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Holland &amp; Knight LLP, counsel to the Company, delivered an opinion to the Company, dated June 11, 2024, regarding the legality of the Notes upon issuance and sale thereof. A copy of the opinion is filed as Exhibit 5.1 to this Current Report on Form 8-K and is incorporated by reference into the Registration Statement.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80" w:type="dxa"/>
            <w:vAlign w:val="bottom"/>
            <w:vMerge w:val="restart"/>
          </w:tcPr>
          <w:p>
            <w:pPr>
              <w:ind w:left="4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right"/>
        <w:ind w:left="884" w:hanging="884"/>
        <w:spacing w:after="0" w:line="312" w:lineRule="auto"/>
        <w:tabs>
          <w:tab w:leader="none" w:pos="97"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7"/>
            <w:szCs w:val="17"/>
            <w:u w:val="single" w:color="auto"/>
            <w:color w:val="0000EE"/>
          </w:rPr>
          <w:t>Indenture, dated as of September 18, 2014, between Brown &amp; Brown, Inc. and U.S. Bank Trust Company, National Association (as</w:t>
        </w:r>
      </w:hyperlink>
      <w:r>
        <w:rPr>
          <w:rFonts w:ascii="Times New Roman" w:cs="Times New Roman" w:eastAsia="Times New Roman" w:hAnsi="Times New Roman"/>
          <w:sz w:val="17"/>
          <w:szCs w:val="17"/>
          <w:u w:val="single" w:color="auto"/>
          <w:color w:val="0000EE"/>
        </w:rPr>
        <w:t xml:space="preserve"> </w:t>
      </w:r>
      <w:hyperlink r:id="rId19">
        <w:r>
          <w:rPr>
            <w:rFonts w:ascii="Times New Roman" w:cs="Times New Roman" w:eastAsia="Times New Roman" w:hAnsi="Times New Roman"/>
            <w:sz w:val="17"/>
            <w:szCs w:val="17"/>
            <w:u w:val="single" w:color="auto"/>
            <w:color w:val="0000EE"/>
          </w:rPr>
          <w:t>successor to U.S. Bank National Association) (incorporated by reference to Exhibit 4.1 to Form 8-K filed on September 18, 2014).</w:t>
        </w:r>
      </w:hyperlink>
    </w:p>
    <w:p>
      <w:pPr>
        <w:spacing w:after="0" w:line="31" w:lineRule="exact"/>
        <w:rPr>
          <w:rFonts w:ascii="Times New Roman" w:cs="Times New Roman" w:eastAsia="Times New Roman" w:hAnsi="Times New Roman"/>
          <w:sz w:val="17"/>
          <w:szCs w:val="17"/>
          <w:u w:val="single" w:color="auto"/>
          <w:color w:val="0000EE"/>
        </w:rPr>
      </w:pPr>
    </w:p>
    <w:p>
      <w:pPr>
        <w:ind w:left="884" w:right="18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Fifth Supplemental Indenture, dated as of June 11, 2024, between Brown &amp; Brown, Inc. and U.S. Bank Trust Company, National Association (as successor to U.S. Bank National Association).</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7"/>
          <w:szCs w:val="17"/>
          <w:u w:val="single" w:color="auto"/>
          <w:color w:val="0000EE"/>
        </w:rPr>
        <w:t>Form of Brown &amp; Brown, Inc.’s 5.650% Notes due 2034.</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Holland &amp; Knight LLP.</w:t>
      </w:r>
    </w:p>
    <w:p>
      <w:pPr>
        <w:spacing w:after="0" w:line="115"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Holland &amp; Knight LLP (included as part of Exhibit 5.1).</w:t>
            </w: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0344"/>
          </w:cols>
          <w:pgMar w:left="436" w:top="293" w:right="111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2042795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successor to U.S.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Fifth Supplemental Indenture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11, 2024</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Senior Debt Indenture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September 18, 2014</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Establishing a series of Securities, designated</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5.650%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820420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5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980" w:type="dxa"/>
            <w:vAlign w:val="bottom"/>
          </w:tcPr>
          <w:p>
            <w:pPr>
              <w:spacing w:after="0"/>
              <w:rPr>
                <w:sz w:val="24"/>
                <w:szCs w:val="24"/>
                <w:color w:val="auto"/>
              </w:rPr>
            </w:pPr>
          </w:p>
        </w:tc>
        <w:tc>
          <w:tcPr>
            <w:tcW w:w="85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ONE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50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Relation to Base Indenture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TWO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CREATION, FORMS, TERMS AND CONDITIONS OF THE SECURITIES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Creation of the Notes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Form of the Notes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Terms and Conditions of the Notes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Ranking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Sinking Fund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Place of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Transfer and Exchange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Cancellation and/or Adjustment of Global Notes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THREE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REDEMPTION OF THE NOTES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Optional Redemption by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FOUR</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REMEDIES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Event of Default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FIVE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CHANGE OF CONTROL</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Repurchase at the Option of Holders Upon Change of Control Triggering Event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SIX</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5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Ratification of Base Indenture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Conflict with Trust Indenture Act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Effect of Headings and Table of Contents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Successors and Assigns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Separability Clause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Trustee Not Responsible for Recitals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Governing Law and Waiver of Jury Trial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 w:name="page7"/>
    <w:bookmarkEnd w:id="6"/>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SUPPLEMENTAL INDENTURE, dated as of June 11, 2024 (this “Fifth Supplemental Indenture”) between Brown &amp; Brown, Inc., a corporation duly organized and existing under the laws of the State of Florida (hereinafter called the “Company”), having its principal executive office located at 300 North Beach Street, Daytona Beach, Florida 32114, and U.S. Bank Trust Company, National Association (as successor to U.S. Bank National Association), a national banking association duly organized and existing under the laws of the United States (hereinafter called the “Trustee”).</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and the Trustee have heretofore executed and delivered an Indenture, dated as of September 18, 2014 (the “Base Indenture” and, together with this Fifth Supplemental Indenture, the “Indenture”), providing for the issuance from time to time of the Company’s senior unsecured debentures, notes or other evidences of indebtedness (herein and therein called the “Securities”), to be issued in one or more series as provided in the Base Indenture;</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 of the Base Indenture permits the Company and the Trustee to enter into a supplemental indenture to the Base Indenture without the consent of any Holders to establish the form and terms of any series of Securities;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Section 201 of the Base Indenture permits the form of Securities of any series to be established in a supplemental indenture to the Base Indenture;</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Section 301 of the Base Indenture permits certain terms of any series of Securities to be established pursuant to a supplemental indenture to the Base Indenture;</w:t>
      </w:r>
    </w:p>
    <w:p>
      <w:pPr>
        <w:spacing w:after="0" w:line="162"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WHEREAS, pursuant to Sections 201 and 301 of the Base Indenture, the Company desires to provide for the establishment of a new series of Securities originally in an aggregate principal amount of $600,000,000 to be designated the “5.650% Senior Notes due 2034” (hereinafter called the “Initial Notes”) under the Base Indenture, the form and substance of such Initial Notes and any Additional Notes (as defined herein) and the terms, provisions and conditions thereof to be set forth as provided in the Base Indenture and this Fifth Supplemental Indenture; and</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Fifth Supplemental Indenture a valid agreement of the Company, in accordance with its terms, have been done;</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foregoing and the purchase of the Notes (as defined herein) established by this Fifth Supplemental Indenture by the holders thereof (the “Holders”), it is mutually agreed, for the equal and proportionate benefit of all such Holders, as follows:</w:t>
      </w:r>
    </w:p>
    <w:p>
      <w:pPr>
        <w:sectPr>
          <w:pgSz w:w="11900" w:h="16838" w:orient="portrait"/>
          <w:cols w:equalWidth="0" w:num="1">
            <w:col w:w="10940"/>
          </w:cols>
          <w:pgMar w:left="440" w:top="270"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Relation to Base Indenture</w:t>
      </w:r>
      <w:r>
        <w:rPr>
          <w:rFonts w:ascii="Times New Roman" w:cs="Times New Roman" w:eastAsia="Times New Roman" w:hAnsi="Times New Roman"/>
          <w:sz w:val="18"/>
          <w:szCs w:val="18"/>
          <w:color w:val="auto"/>
        </w:rPr>
        <w:t>. This Fifth Supplemental Indenture constitutes a part of the Base Indenture (the provisions of which, as modified by this Fifth Supplemental Indenture, shall apply to the Notes) in respect of the Notes but shall not modify, amend or otherwise affect the Base Indenture insofar as it relates to any other series of Securities or modify, amend or otherwise affect in any manner the terms and conditions of the Securities of any other series.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Fifth Supplemental Indenture, the capitalized terms used herein (i) which are defined in this Section 1.02 have the respective meanings assigned hereto in this Section 1.02 and (ii) which are defined in the Base Indenture (and which are not otherwise defined in this Section 1.02) have the respective meanings assigned thereto in the Base Indenture. For all purposes of this Fifth Supplemental Indenture: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Unless the context otherwise requires, any reference to an Article or Section refers to an Article or Section, as the case may be, of this Fifth Supplemental Indenture;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(b)  The words “herein,” “hereof,” “hereto” and “hereunder” and other words of similar import refer to this Fifth Supplemental Indenture as a whole and not to any particular Article, Section or other subdivision;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Headings are for convenience or reference only and do not affect interpretations;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terms defined in this Section 1.02(d) include the plural as well as the singular:</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“Additional Notes” means Notes (other than Initial Notes), if any, issued pursuant to Section 2.03(f) and otherwise in compliance with the provisions of this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Procedures” has the meaning set forth in Section 2.07(a).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 Indenture” has the meaning given to such term in the Recitals hereof.</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“Business Day” means any day, other than a Saturday, Sunday or other day on which commercial banks in New York City are authorized or required by law to remain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17"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(1)  the direct or indirect sale, lease, transfer, conveyance or other disposition (other than by way of merger or consolidation), in one or a series of related transactions, of all or substantially all of the assets of the Company and its subsidiaries taken as a whole to any Person (including any “person” (as that term is used in Section 13(d)(3) of the Exchange Act)) other than to the Company or one of its subsidiaries;</w:t>
      </w:r>
    </w:p>
    <w:p>
      <w:pPr>
        <w:spacing w:after="0" w:line="68"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(2)  the consummation of any transaction (including without limitation, any merger or consolidation) the result of which is that any Person (including any “person” (as that term is used in Section 13(d)(3) of the Exchange Act)) becomes the “beneficial owner” (as defined in Rules 13d-3 and 13d-5 under the Exchange Act), directly or indirectly, of more than 50% of the Company’s outstanding Voting Stock, measured by voting power rather than number of shares;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 w:name="page9"/>
    <w:bookmarkEnd w:id="8"/>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the adoption of a plan relating to the Company’s liquidation or dissolution.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Ratings Decline.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has the meaning given to such term in the preamble hereof.</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“Definitive Notes” means certificated Notes registered in the name of the Holder thereof and issued in accordance with Section 2.02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Security shall not bear the Global Note Legend.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“Depositary” means, with respect to Global Notes issued under this Fifth Supplemental Indenture, DTC.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means The Depository Trust Company, its nominees and their successors and assigns.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“Global Note” means a single permanent fully-registered global note in book-entry form, without coupons,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“Global Note Legend” means any legend set forth on the face of any Global Note identifying such Note as a Global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has the meaning given to such term in the Recitals hereof. “Indenture” has the meaning given to such term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“Indirect Participant”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has the meaning set forth in Section 2.03(c).</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Baa3 or better by Moody’s (or its equivalent under any successor rating categories of Moody’s) and BBB-or better by S&amp;P (or its equivalent under any successor rating categories of S&amp;P)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“Maturity”, means the date on which the principal of the Notes or an installment of principal becomes due and payable as provided in or pursuant to this Fifth Supplemental Indenture and the Base Indenture or such Note, whether at the Maturity Date, by declaration of acceleration or upon repurchase at the option of one or more Holders pursuant to Section 5.01 hereof, and includes a Redemption Date for such Note and a date fixed for the repurchase or repayment of such Note at the option of the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means Moody’s Investors Service Inc. and any successor to its rating agency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“Notes” means the Initial Notes together with the Additional Notes, if any.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 Call Date” has the meaning set forth in Section 3.01(a).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means, with respect to the Depositary, a Person who has an account with the Depositary.</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“Rating Agency” means (1) each of Moody’s and S&amp;P; and (2) if either of Moody’s or S&amp;P ceases to rate the Notes or fails to make a rating of the Notes publicly available for reasons outside of the Company’s control, any other “nationally recognized statistical rating organization” registered under Rule 15E under the Exchange Act selected by the Company as a replacement agency for Moody’s or S&amp;P, or both, as the case may be.</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“Ratings Decline” means at any time during the period commencing on the earlier of, (i) the occurrence of a Change of Control or (ii) public notice of the occurrence of a Change of Control or the intention by the Company to effect a Change of Control, and ending sixty (60) days thereafter (which period shall be extended so long as the rating of the Notes is under publicly announced consideration for a possible downgrade by any of the Rating Agencies) that (a) the rating of the Notes shall be reduced by both Rating Agencies and (b) the Notes shall be rated below Investment Grade by each of the Rating Agencies.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“Redemption Date” means the Business Day on which the Notes are redeemed by the Company pursuant to Section 3.01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“Redemption Price” has the meaning set forth in Section 3.01(a).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“Regular Record Date” has the meaning set forth in Section 2.03(c).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“Registered Securities” means any Securities which are registered in the Security Register.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means S&amp;P Global Ratings and any successor to its rating agency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has the meaning given to such term in the Recitals hereof.</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Treasury Rate shall be determined by the Company as of 4:15 p.m., New York City time (or as of such time as yields on U.S. government securities are posted daily by the Board of Governors of the Federal Reserve System), on the third Business Day preceding the Redemption Date based upon the yield or yields for the most recent day that appear as of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40" w:top="270" w:right="59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2"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no such yield or yields appear in H.15 or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“Trustee” has the meaning given to such term in the preamble hereof.</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“Voting Stock” of any specified Person as of any date means the Capital Stock of such Person the holders of which are at the time entitled to vote generally in the election of the board of directors or similar governing body of such Person.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CREATION, FORMS, TERMS AND CONDITIONS OF THE SECURITIES</w:t>
      </w:r>
    </w:p>
    <w:p>
      <w:pPr>
        <w:spacing w:after="0" w:line="207"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Creation of the Notes</w:t>
      </w:r>
      <w:r>
        <w:rPr>
          <w:rFonts w:ascii="Times New Roman" w:cs="Times New Roman" w:eastAsia="Times New Roman" w:hAnsi="Times New Roman"/>
          <w:sz w:val="17"/>
          <w:szCs w:val="17"/>
          <w:color w:val="auto"/>
        </w:rPr>
        <w:t>. In accordance with Section 301 of the Base Indenture, the Company hereby creates the Notes as a separate series of its securities issued pursuant to the Indenture. The Notes shall be issued initially in an aggregate principal amount of $600,000,000.</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1" w:name="page12"/>
    <w:bookmarkEnd w:id="1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Form of the Notes</w:t>
      </w:r>
      <w:r>
        <w:rPr>
          <w:rFonts w:ascii="Times New Roman" w:cs="Times New Roman" w:eastAsia="Times New Roman" w:hAnsi="Times New Roman"/>
          <w:sz w:val="18"/>
          <w:szCs w:val="18"/>
          <w:color w:val="auto"/>
        </w:rPr>
        <w:t xml:space="preserve">. The Notes shall each be issued in the form of a Global Note, duly executed by the Company and authenticated by the Trustee, which shall be deposited with the Trustee as custodian for DTC and registered in the name of “Cede &amp; Co.,” as the nominee of DTC. The Notes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Notes issued in definitive certificated form in accordance with the terms of the Base Indenture and this Fifth Supplemental Indenture, if any,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 So long as DTC, or its nominee, is the registered owner of a Global Note, DTC or its nominee, as the case may be, shall be considered the sole owner or Holder of the Notes represented by such Global Note for all purposes under the Indenture. Ownership of beneficial interests in such Global Note shall be shown on, and transfers thereof shall be effected only through, records maintained by DTC (with respect to beneficial interests of participants) or by participants or Persons that hold interests through participants (with respect to beneficial interests of beneficial owners). In addition, the following provisions of clauses (1), (2), and (3) below shall apply only to Global Notes:</w:t>
      </w:r>
    </w:p>
    <w:p>
      <w:pPr>
        <w:spacing w:after="0" w:line="86"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(1)  Notwithstanding any other provision in the Indenture, no Global Note may be exchanged in whole or in part for Notes registered, and no transfer of a Global Note in whole or in part may be registered, in the name of any Person other than the Depositary for such Global Note or a nominee thereof unless (A) such Depositary has notified the Company that it is unwilling or unable or no longer permitted under applicable law to continue as Depositary for such Global Note and the Company has not appointed a successor Depositary within ninety (90) days of receipt of such notice or has ceased to be a clearing agency registered under the Exchange Act, (B) there shall have occurred and be continuing an Event of Default with respect to such Global Note or (C) the Company (subject to the procedures of the Depositary) so directs the Trustee by Company Order. Beneficial interests in Global Notes may be exchanged for Definitive Notes of the same series upon request but only upon prior written notice given to the Trustee by or on behalf of the Depository in accordance with customary procedures.</w:t>
      </w:r>
    </w:p>
    <w:p>
      <w:pPr>
        <w:spacing w:after="0" w:line="84" w:lineRule="exact"/>
        <w:rPr>
          <w:sz w:val="20"/>
          <w:szCs w:val="20"/>
          <w:color w:val="auto"/>
        </w:rPr>
      </w:pPr>
    </w:p>
    <w:p>
      <w:pPr>
        <w:ind w:left="440" w:right="100" w:firstLine="423"/>
        <w:spacing w:after="0" w:line="312" w:lineRule="auto"/>
        <w:rPr>
          <w:sz w:val="20"/>
          <w:szCs w:val="20"/>
          <w:color w:val="auto"/>
        </w:rPr>
      </w:pPr>
      <w:r>
        <w:rPr>
          <w:rFonts w:ascii="Times New Roman" w:cs="Times New Roman" w:eastAsia="Times New Roman" w:hAnsi="Times New Roman"/>
          <w:sz w:val="17"/>
          <w:szCs w:val="17"/>
          <w:color w:val="auto"/>
        </w:rPr>
        <w:t>(2)  Subject to clause (1) above; any exchange of a Global Note for other Securities may be made in whole or in part, and all Securities issued in exchange for a Global Note or any portion thereof shall be registered in such names as the Depositary for such Global Note shall direct.</w:t>
      </w:r>
    </w:p>
    <w:p>
      <w:pPr>
        <w:spacing w:after="0" w:line="32" w:lineRule="exact"/>
        <w:rPr>
          <w:sz w:val="20"/>
          <w:szCs w:val="20"/>
          <w:color w:val="auto"/>
        </w:rPr>
      </w:pPr>
    </w:p>
    <w:p>
      <w:pPr>
        <w:ind w:left="440" w:right="320" w:firstLine="423"/>
        <w:spacing w:after="0" w:line="266" w:lineRule="auto"/>
        <w:rPr>
          <w:sz w:val="20"/>
          <w:szCs w:val="20"/>
          <w:color w:val="auto"/>
        </w:rPr>
      </w:pPr>
      <w:r>
        <w:rPr>
          <w:rFonts w:ascii="Times New Roman" w:cs="Times New Roman" w:eastAsia="Times New Roman" w:hAnsi="Times New Roman"/>
          <w:sz w:val="18"/>
          <w:szCs w:val="18"/>
          <w:color w:val="auto"/>
        </w:rPr>
        <w:t>(3)  Every Security authenticated and delivered upon registration of transfer of, or in exchange for or in lieu of, a Global Note or any portion thereof, shall be authenticated and delivered in the form of, and shall be, a Global Note, unless such note is registered in the name of a Person other than the Depositary for such Global Note or a nominee thereof.</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Terms and Conditions of the Notes</w:t>
      </w:r>
      <w:r>
        <w:rPr>
          <w:rFonts w:ascii="Times New Roman" w:cs="Times New Roman" w:eastAsia="Times New Roman" w:hAnsi="Times New Roman"/>
          <w:sz w:val="18"/>
          <w:szCs w:val="18"/>
          <w:color w:val="auto"/>
        </w:rPr>
        <w:t>. The Notes shall be governed by all the terms and conditions of the Base Indenture, as supplemented or modified by this Fifth Supplemental Indenture. In particular, the following provisions shall be terms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2" w:name="page13"/>
    <w:bookmarkEnd w:id="12"/>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u w:val="single" w:color="auto"/>
          <w:color w:val="auto"/>
        </w:rPr>
        <w:t>Title and Aggregate Principal Amount</w:t>
      </w:r>
      <w:r>
        <w:rPr>
          <w:rFonts w:ascii="Times New Roman" w:cs="Times New Roman" w:eastAsia="Times New Roman" w:hAnsi="Times New Roman"/>
          <w:sz w:val="18"/>
          <w:szCs w:val="18"/>
          <w:color w:val="auto"/>
        </w:rPr>
        <w:t>. The title of the Notes shall be as specified in the Recitals; and the aggregate principal amount of the Notes shall be as specified in Section 2.01 of this Article Two.</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The Notes shall mature, and the unpaid principal thereon shall be payable, on June 11, 2034 (the “Maturity Date”), subject to the provisions of the Base Indenture and Article Three and Article Four below.</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rate per annum at which interest shall be payable on the Notes shall be 5.650%. Interest on the Notes shall be payable semi-annually in arrears on each June 11 and December 11, beginning December 11, 2024 (each, an “Interest Payment Date”), to the Persons in whose names the Notes are registered in the Security Register applicable to the Notes at the close of business on the immediately preceding March 27 or November 26, respectively, prior to the applicable Interest Payment Date regardless of whether such day is a Business Day (each, a “Regular Record Date”). Interest on the Notes shall be computed on the basis of a 360-day year consisting of twelve 30-day months. Interest on the Notes shall accrue from and including June 11, 2024. If an Interest Payment Date or the Maturity Date falls on a day that is not a Business Day, the payment shall be made on the next Business Day as if it were made on the date the payment was due, and no interest shall accrue on the amount so payable for the period from and after that Interest Payment Date or the Maturity Date, as the case may be, to the date the payment is made. Interest payments shall include accrued interest from and including the date of issue or from and including the last date in respect to which interest has been paid, as the case may be, to, but excluding, the Interest Payment Date or the Maturity Date, as the case may be.</w:t>
      </w:r>
    </w:p>
    <w:p>
      <w:pPr>
        <w:spacing w:after="0" w:line="194"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Registration and Form</w:t>
      </w:r>
      <w:r>
        <w:rPr>
          <w:rFonts w:ascii="Times New Roman" w:cs="Times New Roman" w:eastAsia="Times New Roman" w:hAnsi="Times New Roman"/>
          <w:sz w:val="17"/>
          <w:szCs w:val="17"/>
          <w:color w:val="auto"/>
        </w:rPr>
        <w:t>. The Notes shall be issuable as Registered Securities as provided in Section 2.02 of this Article Two. The Notes shall be issued and may be transferred only in minimum denominations of $2,000 and integral multiples of $1,000 in excess thereof. All payments of principal, Redemption Price and accrued unpaid interest in respect of the Notes shall be made by the Company in immediately available funds.</w:t>
      </w:r>
    </w:p>
    <w:p>
      <w:pPr>
        <w:spacing w:after="0" w:line="15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Defeasance and Covenant Defeasance</w:t>
      </w:r>
      <w:r>
        <w:rPr>
          <w:rFonts w:ascii="Times New Roman" w:cs="Times New Roman" w:eastAsia="Times New Roman" w:hAnsi="Times New Roman"/>
          <w:sz w:val="18"/>
          <w:szCs w:val="18"/>
          <w:color w:val="auto"/>
        </w:rPr>
        <w:t>. The provisions for defeasance in Section 402(2) of the Base Indenture, and the provisions for covenant defeasance in Section 402(3) of the Base Indenture, shall be applicable to the Notes.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Further Issues</w:t>
      </w:r>
      <w:r>
        <w:rPr>
          <w:rFonts w:ascii="Times New Roman" w:cs="Times New Roman" w:eastAsia="Times New Roman" w:hAnsi="Times New Roman"/>
          <w:sz w:val="18"/>
          <w:szCs w:val="18"/>
          <w:color w:val="auto"/>
        </w:rPr>
        <w:t>. Notwithstanding anything to the contrary contained herein or in the Base Indenture, the Company may, from time to time, without notice to, or the consent of, the Holders, create and issue additional securities having the same ranking and terms and conditions as the Initial Notes in all respects, except for issue date, the public offering price and the date on which interest will begin to accrue. Additional Notes issued in this manner shall be consolidated with and shall form a single series with the Initial Notes and be treated as a single class for all purposes under this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respect to any Additional Notes, in addition to any other requirements set forth in the Base Indenture, the Company shall set forth in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 a copy of which shall be delivered to the Trustee, the following information: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980" w:right="160" w:firstLine="40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aggregate principal amount of such Additional Notes to be authenticated and delivered pursuant to this Fifth Supplemental Indenture;</w:t>
      </w:r>
    </w:p>
    <w:p>
      <w:pPr>
        <w:spacing w:after="0" w:line="52" w:lineRule="exact"/>
        <w:rPr>
          <w:sz w:val="20"/>
          <w:szCs w:val="20"/>
          <w:color w:val="auto"/>
        </w:rPr>
      </w:pPr>
    </w:p>
    <w:p>
      <w:pPr>
        <w:ind w:left="980" w:right="160" w:firstLine="401"/>
        <w:spacing w:after="0" w:line="267" w:lineRule="auto"/>
        <w:rPr>
          <w:sz w:val="20"/>
          <w:szCs w:val="20"/>
          <w:color w:val="auto"/>
        </w:rPr>
      </w:pPr>
      <w:r>
        <w:rPr>
          <w:rFonts w:ascii="Times New Roman" w:cs="Times New Roman" w:eastAsia="Times New Roman" w:hAnsi="Times New Roman"/>
          <w:sz w:val="18"/>
          <w:szCs w:val="18"/>
          <w:color w:val="auto"/>
        </w:rPr>
        <w:t xml:space="preserve">(ii)  the issue price, the issue date and the CUSIP number of such Additional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Notes may be issued at a price that would cause such Additional Notes to have “original issue discount” within the meaning of Section 1273 of the Code; and</w:t>
      </w:r>
    </w:p>
    <w:p>
      <w:pPr>
        <w:spacing w:after="0" w:line="67" w:lineRule="exact"/>
        <w:rPr>
          <w:sz w:val="20"/>
          <w:szCs w:val="20"/>
          <w:color w:val="auto"/>
        </w:rPr>
      </w:pPr>
    </w:p>
    <w:p>
      <w:pPr>
        <w:ind w:left="980" w:right="60" w:firstLine="401"/>
        <w:spacing w:after="0" w:line="282" w:lineRule="auto"/>
        <w:rPr>
          <w:sz w:val="20"/>
          <w:szCs w:val="20"/>
          <w:color w:val="auto"/>
        </w:rPr>
      </w:pPr>
      <w:r>
        <w:rPr>
          <w:rFonts w:ascii="Times New Roman" w:cs="Times New Roman" w:eastAsia="Times New Roman" w:hAnsi="Times New Roman"/>
          <w:sz w:val="18"/>
          <w:szCs w:val="18"/>
          <w:color w:val="auto"/>
        </w:rPr>
        <w:t>(iii)  whether such Additional Notes will be issued in global form and whether and to what extent the Additional Notes will contain additional legends.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 The Notes shall have such other terms and conditions as provided in the form thereof attached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The Notes shall be senior unsecured obligations of the Company. The Notes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senior unsecured indebtedness, including, without limitation, any unsecured senior indebtedness, of the Company and senior in right of payment to all subordinated indebtedness of the Company.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 The Notes shall not be entitled to any sinking fund.</w:t>
      </w:r>
    </w:p>
    <w:p>
      <w:pPr>
        <w:spacing w:after="0" w:line="22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Place of Payment</w:t>
      </w:r>
      <w:r>
        <w:rPr>
          <w:rFonts w:ascii="Times New Roman" w:cs="Times New Roman" w:eastAsia="Times New Roman" w:hAnsi="Times New Roman"/>
          <w:sz w:val="17"/>
          <w:szCs w:val="17"/>
          <w:color w:val="auto"/>
        </w:rPr>
        <w:t>. The Place of Payment in respect of the Notes will be at the office or agency of the Company in The City of New York, State of New York or at the office or agency of the Paying Agent in The City of New York, State of New York. The Company initially appoints the Trustee such office or agency. The Company will give to the Trustee notice of the location of each such office or agency and of any change of location thereof. In case the Company shall fail to maintain any such office or agency or shall fail to give such notice of the location or of any change in the location thereof, presentations, notices and demands may be made at the office or agency of the Trustee in The City and State of New York.</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(a)  The transfer and exchange of beneficial interests in the Global Notes shall be effected through the Depositary, in accordance with the provisions of the Base Indenture, this Fifth Supplemental Indenture and the then applicable procedures of the Depositary (the “Applicable Procedures”). In connection with all transfers and exchanges of beneficial interests, the transferor of such beneficial interest must deliver to the Trustee either (A)(l)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if Definitive Notes are at such time permitted to be issued pursuant to this Fifth Supplemental Indenture and the Base Indenture, (B)(l)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Security Registrar containing information regarding the Person in whose name such Definitive Note shall be registered to</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the transfer or exchange referred to in (1) above. Upon satisfaction of all of the requirements for transfer or exchange of beneficial interests in Global Notes contained in the Base Indenture, this Fifth Supplemental Indenture and the Notes or otherwise applicable under the Securities Act, the Security Registrar shall adjust the principal amount of the relevant Global Notes pursuant to Section 2.08 hereof.</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(b)  Upon request by a Holder of Definitive Notes and such Holder’s compliance with the provisions of this Section 2.07(b), the Security Registrar shall register the transfer or exchange of Definitive Notes. Prior to such registration of transfer or exchange, the requesting Holder shall present or surrender to the Trustee the Definitive Notes duly endorsed or accompanied by a written instruction of transfer in form satisfactory to the Security Registrar duly executed by such Holder or by its attorney, duly authorized in writing. The Trustee shall cancel any such Definitive Notes so surrendered, and the Company shall execute and, upon receipt of a Company Order pursuant to Section 303 of the Base Indenture, the Trustee shall authenticate and deliver to the Person designated in the instructions a new Definitive Note in the appropriate principal amount. Any Definitive Note issued pursuant to this Section 2.07(b)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Definitive Notes to the Persons in whose names such Definitive Notes are so registered. In addition, the requesting Holder shall provide any additional certifications, documents and information, as applicable, required pursuant to Section 305 of the Base Indenture.</w:t>
      </w:r>
    </w:p>
    <w:p>
      <w:pPr>
        <w:spacing w:after="0" w:line="194"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Definitive Notes or a particular Global Note has been redeemed, repurchased or cancelled in whole and not in part, each such Global Note shall be returned to or retained and cancelled by the Trustee in accordance with Section 309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Securities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Security Registrar or by the Depositary at the direction of the Security Registrar to reflect such increase.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THREE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THE NOTES</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Optional Redemption by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  Prior to March 11, 2034 (three months before the Maturity Date of the Notes) (the “Par Call Date”), the Company may redeem the Notes, at its option, in whole or in part, at any time and from time to time, at a redemption price (the “Redemption Price”) (expressed as a percentage of principal amount and rounded to three decimal places) equal to the greater of:</w:t>
      </w:r>
    </w:p>
    <w:p>
      <w:pPr>
        <w:spacing w:after="0" w:line="68" w:lineRule="exact"/>
        <w:rPr>
          <w:sz w:val="20"/>
          <w:szCs w:val="20"/>
          <w:color w:val="auto"/>
        </w:rPr>
      </w:pPr>
    </w:p>
    <w:p>
      <w:pPr>
        <w:jc w:val="both"/>
        <w:ind w:left="980" w:right="500" w:firstLine="401"/>
        <w:spacing w:after="0" w:line="266" w:lineRule="auto"/>
        <w:rPr>
          <w:sz w:val="20"/>
          <w:szCs w:val="20"/>
          <w:color w:val="auto"/>
        </w:rPr>
      </w:pPr>
      <w:r>
        <w:rPr>
          <w:rFonts w:ascii="Times New Roman" w:cs="Times New Roman" w:eastAsia="Times New Roman" w:hAnsi="Times New Roman"/>
          <w:sz w:val="18"/>
          <w:szCs w:val="18"/>
          <w:color w:val="auto"/>
        </w:rPr>
        <w:t>(i)  (1)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(2) interest accrued to the Redemption Date, and</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100% of the principal amount of the Notes to be redeemed,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if any, to the Redemption Date.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to be redeemed, plus accrued and unpaid interest thereon, if any, to the Redemption Date.</w:t>
      </w:r>
    </w:p>
    <w:p>
      <w:pPr>
        <w:spacing w:after="0" w:line="162" w:lineRule="exact"/>
        <w:rPr>
          <w:sz w:val="20"/>
          <w:szCs w:val="20"/>
          <w:color w:val="auto"/>
        </w:rPr>
      </w:pPr>
    </w:p>
    <w:p>
      <w:pPr>
        <w:ind w:right="160" w:firstLine="991"/>
        <w:spacing w:after="0" w:line="289" w:lineRule="auto"/>
        <w:rPr>
          <w:sz w:val="20"/>
          <w:szCs w:val="20"/>
          <w:color w:val="auto"/>
        </w:rPr>
      </w:pPr>
      <w:r>
        <w:rPr>
          <w:rFonts w:ascii="Times New Roman" w:cs="Times New Roman" w:eastAsia="Times New Roman" w:hAnsi="Times New Roman"/>
          <w:sz w:val="17"/>
          <w:szCs w:val="17"/>
          <w:color w:val="auto"/>
        </w:rPr>
        <w:t>(b)  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5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(c)  Notices under this optional redemption section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(d)  On and after the Redemption Date of Notes of a series, interest will cease to accrue on such Notes or any portion thereof called for redemption, unless the Company defaults in the payment of the Redemption Price and accrued interest. On or before the Redemption Date, the Company will deposit with a Paying Agent, or the Trustee, money sufficient to pay the Redemption Price of and accrued interest on the Notes to be redeemed on such date. In the case of a partial redemption, selection of the Notes for redemption will be made pro rata, by lot or by such other method as the Trustee in its sole discretion deems appropriate and fair, in accordance with the policies and procedures of the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8"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(e)  Except as otherwise set forth in this Article III, the terms and conditions upon which and the manner in which the Notes may be redeemed by the Company pursuant to this Article III are governed by the provisions of Article XI of the Base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6" w:name="page17"/>
    <w:bookmarkEnd w:id="16"/>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Notwithstanding subsection (a), installments of interest on the Notes that are due and payable on any Interest Payment Date falling on or prior to a Redemption Date shall be payable on such Interest Payment Date to the registered Holders as of the close of business on the relevant Regular Record Date according to the terms of the Notes and the Indenture. Unless the Company defaults in payment of the Redemption Price, on and after the Redemption Date interest shall cease to accrue on any Notes or portions thereof that are called for redemption.</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(g)  In addition to the Company’s right to redeem the Notes as set forth above, the Company may at any time and from time to time purchase Notes in open market transactions, tender offers or otherwise.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Section 501 of the Base Indenture is hereby amended, solely with respect to the Notes, to add the following Event of Default:</w:t>
      </w:r>
    </w:p>
    <w:p>
      <w:pPr>
        <w:spacing w:after="0" w:line="117" w:lineRule="exact"/>
        <w:rPr>
          <w:sz w:val="20"/>
          <w:szCs w:val="20"/>
          <w:color w:val="auto"/>
        </w:rPr>
      </w:pPr>
    </w:p>
    <w:p>
      <w:pPr>
        <w:jc w:val="both"/>
        <w:ind w:left="440" w:right="560" w:firstLine="419"/>
        <w:spacing w:after="0" w:line="266" w:lineRule="auto"/>
        <w:tabs>
          <w:tab w:leader="none" w:pos="9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a default under any Indebtedness by the Company or any of its Subsidiaries that results in acceleration of the maturity of such Indebtedness, or failure to pay any such Indebtedness at maturity, in an aggregate amount greater than $50,000,000 or its foreign currency equivalent at the time, provided that the cure of such default shall remedy such Event of Default under this Section 4.01(a)(l).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all other provisions of Section 501 of the Base Indenture shall apply to the Notes.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Repurchase at the Option of Holders Upon Change of Control Triggering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  If a Change of Control Triggering Event occurs, unless the Company has exercised its right to redeem the Notes pursuant to the Indenture, the Company shall be required to make an offer to each Holder of the Notes to repurchase all or any part (in excess of $2,000 and in integral multiples of $1,000 principal amount) of that Holder’s Notes at a repurchase price in cash equal to 101% of the aggregate principal amount of the Notes repurchased, plus any accrued and unpaid interest on the Notes repurchased to the date of repurchase.</w:t>
      </w:r>
    </w:p>
    <w:p>
      <w:pPr>
        <w:spacing w:after="0" w:line="180"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(b)  Within thirty (30) days following any Change of Control Triggering Event or, at the option of the Company, prior to any Change of Control, but after the public announcement of the pending Change of Control, the Company shall mail a notice to each Holder, with a copy to the Trustee, describing the transaction or transactions that constitute or may constitute the Change of Control Triggering Event and offering to repurchase the Notes on the payment date specified in the notice, which date shall be no earlier than thirty (30) days and no later than sixty (60) days from the date such notice is mailed. The notice shall, if mailed prior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7" w:name="page18"/>
    <w:bookmarkEnd w:id="17"/>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date of consummation of the Change of Control, state that the offer to repurchase is conditioned on the Change of Control Triggering Event occurring on or prior to the payment date specified in the notice.</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(c)  The Company shall comply with the requirements of Rule 14e-1 under the Exchange Act, and any other securities laws and regulations to the extent those laws and regulations are applicable in connection with the repurchase of the Notes as a result of a Change of Control Triggering Event. To the extent that the provisions of any securities laws or regulations conflict with the Change of Control Triggering Event provisions of the Notes, the Company shall comply with the applicable securities laws and regulations and shall not be deemed to have breached its obligations under the Change of Control Triggering Event provisions of the Notes or the Indenture by virtue of such conflict.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On the Change of Control Triggering Event payment date, the Company shall, to the extent lawful:</w:t>
      </w:r>
    </w:p>
    <w:p>
      <w:pPr>
        <w:spacing w:after="0" w:line="117"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  accept for payment all the Notes or portions of the Notes (in minimum denominations of $2,000 and integral multiples of $1,000 above that amount) properly tendered pursuant to its offer;</w:t>
      </w:r>
    </w:p>
    <w:p>
      <w:pPr>
        <w:spacing w:after="0" w:line="54" w:lineRule="exact"/>
        <w:rPr>
          <w:sz w:val="20"/>
          <w:szCs w:val="20"/>
          <w:color w:val="auto"/>
        </w:rPr>
      </w:pPr>
    </w:p>
    <w:p>
      <w:pPr>
        <w:ind w:left="440" w:right="340" w:firstLine="952"/>
        <w:spacing w:after="0" w:line="282" w:lineRule="auto"/>
        <w:rPr>
          <w:sz w:val="20"/>
          <w:szCs w:val="20"/>
          <w:color w:val="auto"/>
        </w:rPr>
      </w:pPr>
      <w:r>
        <w:rPr>
          <w:rFonts w:ascii="Times New Roman" w:cs="Times New Roman" w:eastAsia="Times New Roman" w:hAnsi="Times New Roman"/>
          <w:sz w:val="18"/>
          <w:szCs w:val="18"/>
          <w:color w:val="auto"/>
        </w:rPr>
        <w:t>(ii)  deposit with the Paying Agent an amount equal to the aggregate purchase price in respect of all the Notes or portions of the Notes properly tendered; and</w:t>
      </w:r>
    </w:p>
    <w:p>
      <w:pPr>
        <w:spacing w:after="0" w:line="54" w:lineRule="exact"/>
        <w:rPr>
          <w:sz w:val="20"/>
          <w:szCs w:val="20"/>
          <w:color w:val="auto"/>
        </w:rPr>
      </w:pPr>
    </w:p>
    <w:p>
      <w:pPr>
        <w:ind w:left="440" w:right="300" w:firstLine="952"/>
        <w:spacing w:after="0" w:line="282" w:lineRule="auto"/>
        <w:rPr>
          <w:sz w:val="20"/>
          <w:szCs w:val="20"/>
          <w:color w:val="auto"/>
        </w:rPr>
      </w:pPr>
      <w:r>
        <w:rPr>
          <w:rFonts w:ascii="Times New Roman" w:cs="Times New Roman" w:eastAsia="Times New Roman" w:hAnsi="Times New Roman"/>
          <w:sz w:val="18"/>
          <w:szCs w:val="18"/>
          <w:color w:val="auto"/>
        </w:rPr>
        <w:t>(iii)  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(e)  The Paying Agent shall promptly pay, from funds deposited by the Company for such purpose, to each Holder properly tendered, the purchase price for the Notes, and the Trustee shall promptly authenticate and mail (or cause to be transferred by book-entry) to each Holder a new Note equal in principal amount to any unpurchased portion of any Notes surrendered.</w:t>
      </w:r>
    </w:p>
    <w:p>
      <w:pPr>
        <w:spacing w:after="0" w:line="176"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(f)  The Company shall not be required to make an offer to repurchase the Notes upon a Change of Control Triggering Event if a third party makes an offer in the manner, at the times and otherwise in compliance with the requirements for an offer made by the Company and such third party purchase all Notes properly tendered and not withdrawn under its offer.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Ratification of Base Indenture</w:t>
      </w:r>
      <w:r>
        <w:rPr>
          <w:rFonts w:ascii="Times New Roman" w:cs="Times New Roman" w:eastAsia="Times New Roman" w:hAnsi="Times New Roman"/>
          <w:sz w:val="18"/>
          <w:szCs w:val="18"/>
          <w:color w:val="auto"/>
        </w:rPr>
        <w:t>. This Fifth Supplemental Indenture is executed and shall be construed as an indenture supplemental to the Base Indenture, and as supplemented and modified hereby, the Base Indenture is in all respects ratified and confirmed, and the Base Indenture and this Fifth Supplemental Indenture shall be read, taken and construed as one and the same instrument.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or with a provision of the Base Indenture, which is required to be included in this Fifth Supplemental Indenture, or in the Base Indenture, respectively, by any of the provisions of the Trust Indenture Act, such required provision shall control to the extent it is applicable.</w:t>
      </w:r>
    </w:p>
    <w:p>
      <w:pPr>
        <w:spacing w:after="0" w:line="176"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Fifth Supplemental Indenture by the Company shall bind its successors and assigns, whether so expressed or not.</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one or more of the provisions contained in this Fifth Supplemental Indenture or in the Notes shall for any reason be held to be invalid, illegal or unenforceable in any respect, the validity, legality and enforceability of the remaining provisions shall not in any way be affected or impaired thereby.</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Trustee Not Responsible for Recitals</w:t>
      </w:r>
      <w:r>
        <w:rPr>
          <w:rFonts w:ascii="Times New Roman" w:cs="Times New Roman" w:eastAsia="Times New Roman" w:hAnsi="Times New Roman"/>
          <w:sz w:val="18"/>
          <w:szCs w:val="18"/>
          <w:color w:val="auto"/>
        </w:rPr>
        <w:t>. The Trustee accepts the amendments of the Indenture effected by this Fifth Supplemental Indenture, but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Fifth Supplemental Indenture or any of the terms or provisions hereof, (ii) the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Governing Law and Waiver of Jury Trial</w:t>
      </w:r>
      <w:r>
        <w:rPr>
          <w:rFonts w:ascii="Times New Roman" w:cs="Times New Roman" w:eastAsia="Times New Roman" w:hAnsi="Times New Roman"/>
          <w:sz w:val="18"/>
          <w:szCs w:val="18"/>
          <w:color w:val="auto"/>
        </w:rPr>
        <w:t xml:space="preserve">. This Fifth Supplemental Indenture and the Notes shall be governed by and construed in accordance with the laws of the State of New York applicable to agreements made or instruments entered into and, in each case, performed in said State. EACH OF THE COMPANY AND THE TRUSTEE HEREBY IRREVOCABLY WAIVES, TO THE FULLEST EXTENT PERMITTED BY APPLICABLE LAW, ANY AND ALL RIGHT TO TRIAL BY JURY IN ANY LEGAL ACTION, SUIT OR PROCEEDING ARISING OUT OF OR IN CONNECTION WITH THIS FIFTH SUPPLEMENTAL INDENTURE, THE BASE INDENTURE, THE NOTES, ANY COUPONS OR THE TRANSACTIONS CONTEMPLATED </w:t>
      </w:r>
      <w:r>
        <w:rPr>
          <w:rFonts w:ascii="Times New Roman" w:cs="Times New Roman" w:eastAsia="Times New Roman" w:hAnsi="Times New Roman"/>
          <w:sz w:val="18"/>
          <w:szCs w:val="18"/>
          <w:u w:val="single" w:color="auto"/>
          <w:color w:val="auto"/>
        </w:rPr>
        <w:t>HEREBY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Fifth Supplemental Indenture may be executed in several counterparts, each of which shall be an original and all of which shall constitute but one and the same instrument. The exchange of copies of this Fifth Supplemental Indenture and of signature pages by facsimile, PDF or other electronic transmission shall constitute effective execution and delivery of this Fifth Supplemental Indenture as to the parties hereto and may be used in lieu of the original Fifth Supplemental Indenture and signature pages for all purposes. Signatures of the parties hereto transmitted by facsimile, PDF or other electronic transmission shall be deemed to be their original signatures for all purposes.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9" w:name="page20"/>
    <w:bookmarkEnd w:id="1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Fifth Supplemental Indenture to be duly executed, all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 Powell Brown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successor to U.S. Bank National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Leanne M.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Leanne M. Duffy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 Page to Fifth Supplemental Indenture]</w:t>
      </w:r>
    </w:p>
    <w:p>
      <w:pPr>
        <w:sectPr>
          <w:pgSz w:w="11900" w:h="16838" w:orient="portrait"/>
          <w:cols w:equalWidth="0" w:num="1">
            <w:col w:w="10740"/>
          </w:cols>
          <w:pgMar w:left="440" w:top="270" w:right="7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2034 Note]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5.650% Notes due 2034</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115236AG6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8500" w:space="720"/>
            <w:col w:w="1800"/>
          </w:cols>
          <w:pgMar w:left="440" w:top="270" w:right="439" w:bottom="1440" w:gutter="0" w:footer="0" w:header="0"/>
          <w:type w:val="continuous"/>
        </w:sectPr>
      </w:pPr>
    </w:p>
    <w:p>
      <w:pPr>
        <w:spacing w:after="0" w:line="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Brown &amp; Brown, Inc., a Florida corporation (herein called the “Company”, which term includes any successor Person under the Indenture hereinafter referred to), for value received, hereby promises to pay to Cede &amp; Co., or registered assigns, the principal sum of [        ] Dollars on June 11, 2034 and to pay interest thereon from June 11, 2024 or from the most recent Interest Payment Date to which interest has been paid or duly provided for, semi-annually on June 11 and December 11 in each year (or, if any such Interest Payment Date falls on a day that is not a Business Day, the payment shall be made on the next Business Day), commencing December 11, 2024, at the rate of 5.650%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the</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March 27 or November 26 (whether or not a Business Day),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of which shall be given to Holders of Notes not less than ten (10) days prior to the Special Record Date, or be paid at any time in any other lawful manner not inconsistent with the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type w:val="continuous"/>
        </w:sectPr>
      </w:pPr>
    </w:p>
    <w:bookmarkStart w:id="21" w:name="page22"/>
    <w:bookmarkEnd w:id="21"/>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any automated quotation system or securities exchange on which the Notes may be quoted or listed, and upon such notice as may be required by such exchange, all as more fully provided in the Indenture.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Security will be made at the office or agency of the Company maintained for that purpose in The City of New York, State of New York or at the office or agency of the Paying Agent in The City of New York, State of New York,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at the option of the Company payment of interest may be made by (i) check mailed to the address of the Person entitled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such address shall appear in the Security Register or (ii) wire transfer in immediately available funds to the place and account designated in writing by the Person entitled to such payment as specified in the Security Register;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this Security is a Global Note, payment may be made pursuant to the Applicable Procedures of the Depositary as permitted in the Indenture.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hereof has been executed by the Trustee referred to on the reverse hereof by manual signature, this Note shall not be entitled to any benefit under the Indenture or be valid or obligatory for any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2034 Note]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Note is one of a duly authorized issue of securities of the Company (herein called the “Notes”), issued and to be issued in one or more series under an Indenture, dated as of September 18, 2014 (the “Base Indenture”), as supplemented by the Fifth Supplemental Indenture, dated as of June 11, 2024 (the “Fifth Supplemental Indenture” and, together with the Base Indenture, the “Indenture”), between the Company and U.S. Bank Trust Company, National Association (as successor to U.S. Bank National Association), a national banking association duly organized and existing under the laws of the United States,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Note and of the terms upon which the Securities are, and are to be, authenticated and delivered. This Note is one of the series designated on the face hereof, initially limited in aggregate principal amount to $[ 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without the consent of any Holder, at any time and from time to time issue additional Notes.</w:t>
      </w:r>
    </w:p>
    <w:p>
      <w:pPr>
        <w:spacing w:after="0" w:line="18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of this series are subject to redemption as provided in Section 3.01 of the Fifth Supplemental Indenture and Article Eleven of the Base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will not be subject to any sinking fund.</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R-1</w:t>
      </w:r>
    </w:p>
    <w:p>
      <w:pPr>
        <w:sectPr>
          <w:pgSz w:w="11900" w:h="16838" w:orient="portrait"/>
          <w:cols w:equalWidth="0" w:num="1">
            <w:col w:w="11000"/>
          </w:cols>
          <w:pgMar w:left="440" w:top="270" w:right="459" w:bottom="144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of this series, the Holders of not less than 25% in principal amount of the Notes of this series at the time Outstanding shall have made written request to the Trustee to institute proceedings in respect of such Event of Default as Trustee and offered the Trustee an indemnity satisfactory to the Trustee,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Notes of this series are issuable only in registered form without coupons in minimum denominations of $2,000 and integral amounts of</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$1,000 in excess thereof. As provided in the Indenture and subject to certain limitations therein set forth, Securities of this series are exchangeable for a like aggregate principal amount of Notes of this series and of like tenor of a different authorized denomination, as requested by the Holder surrendering the same.</w:t>
      </w:r>
    </w:p>
    <w:p>
      <w:pPr>
        <w:spacing w:after="0" w:line="18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SECURITIES OF THIS SERIES SHALL BE GOVERNED BY AND CONSTRUED IN ACCORDANCE WITH THE LAWS OF THE STATE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R-2</w:t>
      </w:r>
    </w:p>
    <w:p>
      <w:pPr>
        <w:sectPr>
          <w:pgSz w:w="11900" w:h="16838" w:orient="portrait"/>
          <w:cols w:equalWidth="0" w:num="1">
            <w:col w:w="11000"/>
          </w:cols>
          <w:pgMar w:left="440" w:top="270" w:right="459" w:bottom="1440" w:gutter="0" w:footer="0" w:header="0"/>
        </w:sectPr>
      </w:pPr>
    </w:p>
    <w:bookmarkStart w:id="24" w:name="page25"/>
    <w:bookmarkEnd w:id="24"/>
    <w:p>
      <w:pPr>
        <w:ind w:left="101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5.650% Notes due 2034</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115236AG6</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ectPr>
          <w:pgSz w:w="11900" w:h="16838" w:orient="portrait"/>
          <w:cols w:equalWidth="0" w:num="2">
            <w:col w:w="8500" w:space="720"/>
            <w:col w:w="1800"/>
          </w:cols>
          <w:pgMar w:left="440" w:top="117" w:right="439" w:bottom="1440" w:gutter="0" w:footer="0" w:header="0"/>
          <w:type w:val="continuous"/>
        </w:sectPr>
      </w:pPr>
    </w:p>
    <w:p>
      <w:pPr>
        <w:spacing w:after="0" w:line="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Brown &amp; Brown, Inc., a Florida corporation (herein called the “Company”, which term includes any successor Person under the Indenture hereinafter referred to), for value received, hereby promises to pay to Cede &amp; Co., or registered assigns, the principal sum of         Dollars on June 11, 2034 and to pay interest thereon from June 11, 2024 or from the most recent Interest Payment Date to which interest has been paid or duly provided for, semi-annually on June 11 and December 11 in each year (or, if any such Interest Payment Date falls on a day that is not a Business Day, the payment shall be made on the next Business Day), commencing December 11, 2024, at the rate of 5.650%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the</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March 27 or November 26 (whether or not a Business Day),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of</w:t>
      </w:r>
    </w:p>
    <w:p>
      <w:pPr>
        <w:sectPr>
          <w:pgSz w:w="11900" w:h="16838" w:orient="portrait"/>
          <w:cols w:equalWidth="0" w:num="1">
            <w:col w:w="11020"/>
          </w:cols>
          <w:pgMar w:left="440" w:top="117" w:right="439" w:bottom="1440" w:gutter="0" w:footer="0" w:header="0"/>
          <w:type w:val="continuous"/>
        </w:sectPr>
      </w:pPr>
    </w:p>
    <w:bookmarkStart w:id="25" w:name="page26"/>
    <w:bookmarkEnd w:id="2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shall be given to Holders of Notes not less than ten (10) days prior to the Special Record Date, or be paid at any time in any other lawful manner not inconsistent with the requirements of any automated quotation system or securities exchange on which the Notes may be quoted or listed, and upon such notice as may be required by such exchange, all as more fully provided in the Indenture.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Security will be made at the office or agency of the Company maintained for that purpose in The City of New York, State of New York or at the office or agency of the Paying Agent in The City of New York, State of New York,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at the option of the Company payment of interest may be made by (i) check mailed to the address of the Person entitled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such address shall appear in the Security Register or (ii) wire transfer in immediately available funds to the place and account designated in writing by the Person entitled to such payment as specified in the Security Register;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this Security is a Global Note, payment may be made pursuant to the Applicable Procedures of the Depositary as permitted in the Indenture.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hereof has been executed by the Trustee referred to on the reverse hereof by manual signature, this Note shall not be entitled to any benefit under the Indenture or be valid or obligatory for any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0</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0</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70" w:right="459" w:bottom="1440" w:gutter="0" w:footer="0" w:header="0"/>
        </w:sectPr>
      </w:pPr>
    </w:p>
    <w:bookmarkStart w:id="26" w:name="page27"/>
    <w:bookmarkEnd w:id="26"/>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of the series designated therein referred to in the within-mentioned Indenture.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ASSOCIATION (as successor to U.S. Bank National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0</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9980"/>
          </w:cols>
          <w:pgMar w:left="880" w:top="270" w:right="1039" w:bottom="1440" w:gutter="0" w:footer="0" w:header="0"/>
        </w:sectPr>
      </w:pPr>
    </w:p>
    <w:bookmarkStart w:id="27" w:name="page28"/>
    <w:bookmarkEnd w:id="2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Note is one of a duly authorized issue of securities of the Company (herein called the “Notes”), issued and to be issued in one or more series under an Indenture, dated as of September 18, 2014 (the “Base Indenture”), as supplemented by the Fifth Supplemental Indenture, dated as of June 11, 2024 (the “Fifth Supplemental Indenture” and, together with the Base Indenture, the “Indenture”), between the Company and U.S. Bank Trust Company, National Association (as successor to U.S. Bank National Association), a national banking association duly organized and existing under the laws of the United States,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Note and of the terms upon which the Securities are, and are to be, authenticated and delivered. This Note is one of the series designated on the face hereof, initially limited in aggregate principal amount to $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without the consent of any Holder, at any time and from time to time issue additional Notes.</w:t>
      </w:r>
    </w:p>
    <w:p>
      <w:pPr>
        <w:spacing w:after="0" w:line="18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of this series are subject to redemption as provided in Section 3.01 of the Fifth Supplemental Indenture and Article Eleven of the Base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will not be subject to any sinking fund.</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Notes of this series at the time Outstanding shall have made written request to the Trustee to institute</w:t>
      </w:r>
    </w:p>
    <w:p>
      <w:pPr>
        <w:sectPr>
          <w:pgSz w:w="11900" w:h="16838" w:orient="portrait"/>
          <w:cols w:equalWidth="0" w:num="1">
            <w:col w:w="11000"/>
          </w:cols>
          <w:pgMar w:left="440" w:top="270" w:right="459" w:bottom="1440" w:gutter="0" w:footer="0" w:header="0"/>
        </w:sectPr>
      </w:pPr>
    </w:p>
    <w:bookmarkStart w:id="28" w:name="page29"/>
    <w:bookmarkEnd w:id="28"/>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in respect of such Event of Default as Trustee and offered the Trustee an indemnity satisfactory to the Trustee,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Notes of this series are issuable only in registered form without coupons in minimum denominations of $2,000 and integral amounts of</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$1,000 in excess thereof. As provided in the Indenture and subject to certain limitations therein set forth, Securities of this series are exchangeable for a like aggregate principal amount of Notes of this series and of like tenor of a different authorized denomination, as requested by the Holder surrendering the same.</w:t>
      </w:r>
    </w:p>
    <w:p>
      <w:pPr>
        <w:spacing w:after="0" w:line="18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SECURITIES OF THIS SERIES SHALL BE GOVERNED BY AND CONSTRUED IN ACCORDANCE WITH THE LAWS OF THE STATE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w:t>
      </w:r>
    </w:p>
    <w:p>
      <w:pPr>
        <w:sectPr>
          <w:pgSz w:w="11900" w:h="16838" w:orient="portrait"/>
          <w:cols w:equalWidth="0" w:num="1">
            <w:col w:w="11000"/>
          </w:cols>
          <w:pgMar w:left="440" w:top="270" w:right="4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442845"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428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220"/>
        <w:spacing w:after="0" w:line="282" w:lineRule="auto"/>
        <w:rPr>
          <w:sz w:val="20"/>
          <w:szCs w:val="20"/>
          <w:color w:val="auto"/>
        </w:rPr>
      </w:pPr>
      <w:r>
        <w:rPr>
          <w:rFonts w:ascii="Times New Roman" w:cs="Times New Roman" w:eastAsia="Times New Roman" w:hAnsi="Times New Roman"/>
          <w:sz w:val="18"/>
          <w:szCs w:val="18"/>
          <w:color w:val="auto"/>
        </w:rPr>
        <w:t>200 South Orange Avenue, Suite 2600 | Orlando, FL 32801 | T 407.425.8500 | F 407.244.5288 Holland &amp; Knight LLP | www.hklaw.com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North Beach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Daytona Beach, Florida 32114</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Brown &amp; Brown, Inc. – Registration Statement on Form S-3</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Senior Debt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special counsel for Brown &amp; Brown, Inc., a Florida corporation (the “Company”), in connection with the issuance and sale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$600,000,000 aggregate principal amount of the Company’s 5.650% Senior Notes due 2034 (the “Notes”). The Notes are being issued under that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as of September 18, 2014, between the Company and U.S. Bank Trust Company, National Association (as successor to U.S.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as trustee (the “Base Indenture”), as supplemented by the First Supplemental Indenture, dated as of September 18, 2014,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Supplemental Indenture, dated as of March 11, 2019, the Third Supplemental Indenture, dated as of September 24, 2020, the Fourth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dated as of March 17, 2022, and the Fifth Supplemental Indenture, dated as of June 11, 2024 (the “Supplemental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Base Indenture, as supplemented by the Supplemental Indentures, the “Indenture”). The Notes are to be sold as set forth in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 Shelf Registration Statement on Form S-3 (Registration No. 333-271708) (the “Registration Statement”) filed on May 8, 2023,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under the Securities Act of 1933, as amended (the “Securities Act”), the Prospectus dated May 8,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the Prospectus Supplement dated June 4, 2024 (the “Prospectus Supplement”), and pursuant to the terms of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“Underwriting Agreement”) dated June 4, 2024, between the Company and BofA Securities, Inc., BMO Capital Markets Corp., J.P.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and Truist Securities, Inc., on behalf of the several underwriters named therein (the “Underwriters”). Capitalized terms in this opinion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not otherwise defined herein have the meanings ascribed to them in the Underwriting Agreement.</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we have examined certain records of the Company, certificates of public officials and officers of the Company, and such other documents as we have deemed relevant for purposes of the opinions expressed below.</w:t>
      </w:r>
    </w:p>
    <w:p>
      <w:pPr>
        <w:spacing w:after="0" w:line="9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4"/>
          <w:szCs w:val="14"/>
          <w:color w:val="auto"/>
        </w:rPr>
        <w:t>Atlanta | Austin | Birmingham | Boston | Century City | Charlotte | Chattanooga | Chicago | Dallas | Denver | Fort Lauderdale Houston | Jacksonville | Los Angeles | Miami | Nashville | Newport Beach | New York | Orlando | Philadelphia Portland | Richmond | San Francisco | Stamford | Tallahassee | Tampa | Tysons | Washington, D.C. | West Palm Beach Algiers | Bogotá | London | Mexico City | Monterrey</w:t>
      </w:r>
    </w:p>
    <w:p>
      <w:pPr>
        <w:sectPr>
          <w:pgSz w:w="11900" w:h="16838" w:orient="portrait"/>
          <w:cols w:equalWidth="0" w:num="1">
            <w:col w:w="11020"/>
          </w:cols>
          <w:pgMar w:left="440" w:top="117" w:right="4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Brown &amp; Brown,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2588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With respect to various factual matters material to the opinion expressed below, we have relied upon certificates and information furnished by public officials and representatives of the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assumed without inquiry or other investigation: (i) the legal capacity of each natural person executing the agreements described herein;</w:t>
      </w:r>
    </w:p>
    <w:p>
      <w:pPr>
        <w:spacing w:after="0" w:line="27" w:lineRule="exact"/>
        <w:rPr>
          <w:sz w:val="20"/>
          <w:szCs w:val="20"/>
          <w:color w:val="auto"/>
        </w:rPr>
      </w:pPr>
    </w:p>
    <w:p>
      <w:pPr>
        <w:ind w:left="4" w:hanging="4"/>
        <w:spacing w:after="0" w:line="251"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power and authority of each entity other than the Company to execute, deliver and perform such agreements and each document executed and delivered or to be executed and delivered in connection therewith; (iii) the due authorization, execution and delivery by each entity other than the Company of each such agreement and each document executed and delivered or to be executed and delivered by such entity; (iv) that there have been no undisclosed modifications of any provision of any document reviewed by us in connection with the rendering of this opinion and no undisclosed prior waiver of any right or remedy contained in any of the documents; (v) the genuineness of all signatures (whether manual, electronic or otherwise) and to the extent that a signature on a document is manifested by electronic or similar means, such signature has been executed or adopted by a signatory with an intent to authenticate and sign the document; (vi) the completeness of each document submitted to us; (vii) the authenticity of each document reviewed by us as an original; (viii) the conformity to the original of each document reviewed by us as a copy and the authenticity of the original of each document received by us as a copy; (ix) that each certificate or copy of a public record furnished by public officials is accurate, complete and authentic; and (x) the valid, legal, binding and enforceable nature of the obligations of all parties under the Transaction Documents other than the Company and the Significant Subsidiaries.</w:t>
      </w:r>
    </w:p>
    <w:p>
      <w:pPr>
        <w:spacing w:after="0" w:line="19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assumed that the terms of the Notes will have been established so as not to violate, conflict with or constitute a default under any (i) agreement or instrument to which the Company is a party or to which its property is subject, (ii) law, rule or regulation to which the Company or any of its property is subject, (iii) judicial or administrative order or decree of any governmental authority or (iv) consent, approval, license, authorization or validation of, or filing, recording or registration with, any governmental authority.</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assumptions, limitations, qualifications and exceptions set forth herein, we are of the opinion that when the Notes have been duly executed, authenticated and issued in accordance with the Indenture and delivered in accordance with the Underwriting Agreement upon payment of the consideration therefor provided for therein, such Notes will constitute valid and legally binding obligations of the Company entitled to the benefits of the Indenture and enforceable against the Company in accordance with their terms.</w:t>
      </w:r>
    </w:p>
    <w:p>
      <w:pPr>
        <w:sectPr>
          <w:pgSz w:w="11900" w:h="16838" w:orient="portrait"/>
          <w:cols w:equalWidth="0" w:num="1">
            <w:col w:w="11024"/>
          </w:cols>
          <w:pgMar w:left="436" w:top="270"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Brown &amp; Brown,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qualifications and exceptions:</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  Our opinions are limited to the federal laws of the United States of America and the laws of the State of New York and the State of Florida (but not including any statutes, ordinances, administrative decisions, rules or regulations of any political subdivision of the States of Florida or New York), and we do not express any opinion herein concerning any other laws.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  Our opinions are subject to bankruptcy, insolvency, fraudulent transfer, reorganization, receivership, moratorium or similar laws affecting the rights and remedies of creditors, stakeholders, or classes or groups of creditors or stakeholders generally.</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(c)  Our opinions are subject to general principles of equity exercisable in the discretion of a court (including without limitation obligations and standards of good faith, fair dealing, materiality and reasonableness and defenses relating to unconscionability or to impracticability or impossibility of performance).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is limited to the matters expressly stated herein, and no opinions may be inferred or implied beyond the matters expressly stated herein. The opinions expressed herein are rendered and speak only as of the date hereof and we specifically disclaim any responsibility to update such opinions subsequent to the date hereof or to advise you of subsequent developments affecting such opinions.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or the Company’s Current Report on Form 8-K to be filed on or about June 11, 2024 and further consent to the reference to our name under the caption “Legal Matters” in the Prospectus Supplement and in the Prospectus included in the Registration Statement. In giving this consent, we do not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HOLLAND &amp; KNIGHT LLP</w:t>
      </w:r>
    </w:p>
    <w:p>
      <w:pPr>
        <w:spacing w:after="0" w:line="22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 Holland &amp; Knight 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19" Type="http://schemas.openxmlformats.org/officeDocument/2006/relationships/hyperlink" Target="http://www.sec.gov/Archives/edgar/data/79282/000119312514345625/d79151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2024-06-11T16:05:26Z</dcterms:created>
  <dcterms:modified xsi:type="dcterms:W3CDTF">2024-06-11T16:05:26Z</dcterms:modified>
</cp:coreProperties>
</file>