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23, 2021</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BROWN &amp; BROWN,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1860" w:type="dxa"/>
            <w:vAlign w:val="bottom"/>
          </w:tcPr>
          <w:p>
            <w:pPr>
              <w:jc w:val="center"/>
              <w:ind w:right="122"/>
              <w:spacing w:after="0"/>
              <w:rPr>
                <w:sz w:val="20"/>
                <w:szCs w:val="20"/>
                <w:color w:val="auto"/>
              </w:rPr>
            </w:pPr>
            <w:r>
              <w:rPr>
                <w:rFonts w:ascii="Arial" w:cs="Arial" w:eastAsia="Arial" w:hAnsi="Arial"/>
                <w:sz w:val="18"/>
                <w:szCs w:val="18"/>
                <w:b w:val="1"/>
                <w:bCs w:val="1"/>
                <w:color w:val="auto"/>
                <w:w w:val="96"/>
              </w:rPr>
              <w:t>Florida</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001-13619</w:t>
            </w:r>
          </w:p>
        </w:tc>
        <w:tc>
          <w:tcPr>
            <w:tcW w:w="1480" w:type="dxa"/>
            <w:vAlign w:val="bottom"/>
          </w:tcPr>
          <w:p>
            <w:pPr>
              <w:jc w:val="center"/>
              <w:ind w:left="262"/>
              <w:spacing w:after="0"/>
              <w:rPr>
                <w:sz w:val="20"/>
                <w:szCs w:val="20"/>
                <w:color w:val="auto"/>
              </w:rPr>
            </w:pPr>
            <w:r>
              <w:rPr>
                <w:rFonts w:ascii="Arial" w:cs="Arial" w:eastAsia="Arial" w:hAnsi="Arial"/>
                <w:sz w:val="18"/>
                <w:szCs w:val="18"/>
                <w:b w:val="1"/>
                <w:bCs w:val="1"/>
                <w:color w:val="auto"/>
                <w:w w:val="89"/>
              </w:rPr>
              <w:t>59-0864469</w:t>
            </w:r>
          </w:p>
        </w:tc>
      </w:tr>
      <w:tr>
        <w:trPr>
          <w:trHeight w:val="149"/>
        </w:trPr>
        <w:tc>
          <w:tcPr>
            <w:tcW w:w="18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57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(Commission</w:t>
            </w:r>
          </w:p>
        </w:tc>
        <w:tc>
          <w:tcPr>
            <w:tcW w:w="148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6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48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Identification No.)</w:t>
            </w:r>
          </w:p>
        </w:tc>
      </w:tr>
      <w:tr>
        <w:trPr>
          <w:trHeight w:val="394"/>
        </w:trPr>
        <w:tc>
          <w:tcPr>
            <w:tcW w:w="1860" w:type="dxa"/>
            <w:vAlign w:val="bottom"/>
          </w:tcPr>
          <w:p>
            <w:pPr>
              <w:spacing w:after="0"/>
              <w:rPr>
                <w:sz w:val="24"/>
                <w:szCs w:val="24"/>
                <w:color w:val="auto"/>
              </w:rPr>
            </w:pPr>
          </w:p>
        </w:tc>
        <w:tc>
          <w:tcPr>
            <w:tcW w:w="570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300 North Beach Street, Daytona Beach, Florida 32114</w:t>
            </w:r>
          </w:p>
        </w:tc>
        <w:tc>
          <w:tcPr>
            <w:tcW w:w="148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480" w:type="dxa"/>
            <w:vAlign w:val="bottom"/>
          </w:tcPr>
          <w:p>
            <w:pPr>
              <w:spacing w:after="0"/>
              <w:rPr>
                <w:sz w:val="16"/>
                <w:szCs w:val="16"/>
                <w:color w:val="auto"/>
              </w:rPr>
            </w:pPr>
          </w:p>
        </w:tc>
      </w:tr>
      <w:tr>
        <w:trPr>
          <w:trHeight w:val="417"/>
        </w:trPr>
        <w:tc>
          <w:tcPr>
            <w:tcW w:w="1860" w:type="dxa"/>
            <w:vAlign w:val="bottom"/>
          </w:tcPr>
          <w:p>
            <w:pPr>
              <w:spacing w:after="0"/>
              <w:rPr>
                <w:sz w:val="24"/>
                <w:szCs w:val="24"/>
                <w:color w:val="auto"/>
              </w:rPr>
            </w:pPr>
          </w:p>
        </w:tc>
        <w:tc>
          <w:tcPr>
            <w:tcW w:w="570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Registrant’s telephone number, including area code: (386) 252-9601</w:t>
            </w:r>
          </w:p>
        </w:tc>
        <w:tc>
          <w:tcPr>
            <w:tcW w:w="1480" w:type="dxa"/>
            <w:vAlign w:val="bottom"/>
          </w:tcPr>
          <w:p>
            <w:pPr>
              <w:spacing w:after="0"/>
              <w:rPr>
                <w:sz w:val="24"/>
                <w:szCs w:val="24"/>
                <w:color w:val="auto"/>
              </w:rPr>
            </w:pPr>
          </w:p>
        </w:tc>
      </w:tr>
      <w:tr>
        <w:trPr>
          <w:trHeight w:val="409"/>
        </w:trPr>
        <w:tc>
          <w:tcPr>
            <w:tcW w:w="1860" w:type="dxa"/>
            <w:vAlign w:val="bottom"/>
          </w:tcPr>
          <w:p>
            <w:pPr>
              <w:spacing w:after="0"/>
              <w:rPr>
                <w:sz w:val="24"/>
                <w:szCs w:val="24"/>
                <w:color w:val="auto"/>
              </w:rPr>
            </w:pPr>
          </w:p>
        </w:tc>
        <w:tc>
          <w:tcPr>
            <w:tcW w:w="5700" w:type="dxa"/>
            <w:vAlign w:val="bottom"/>
          </w:tcPr>
          <w:p>
            <w:pPr>
              <w:jc w:val="center"/>
              <w:ind w:right="59"/>
              <w:spacing w:after="0"/>
              <w:rPr>
                <w:sz w:val="20"/>
                <w:szCs w:val="20"/>
                <w:color w:val="auto"/>
              </w:rPr>
            </w:pPr>
            <w:r>
              <w:rPr>
                <w:rFonts w:ascii="Arial" w:cs="Arial" w:eastAsia="Arial" w:hAnsi="Arial"/>
                <w:sz w:val="18"/>
                <w:szCs w:val="18"/>
                <w:b w:val="1"/>
                <w:bCs w:val="1"/>
                <w:color w:val="auto"/>
              </w:rPr>
              <w:t>N/A</w:t>
            </w:r>
          </w:p>
        </w:tc>
        <w:tc>
          <w:tcPr>
            <w:tcW w:w="148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480" w:type="dxa"/>
            <w:vAlign w:val="bottom"/>
          </w:tcPr>
          <w:p>
            <w:pPr>
              <w:spacing w:after="0"/>
              <w:rPr>
                <w:sz w:val="16"/>
                <w:szCs w:val="16"/>
                <w:color w:val="auto"/>
              </w:rPr>
            </w:pPr>
          </w:p>
        </w:tc>
      </w:tr>
    </w:tbl>
    <w:p>
      <w:pPr>
        <w:spacing w:after="0" w:line="18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560" w:right="2800" w:hanging="3552"/>
        <w:spacing w:after="0" w:line="440" w:lineRule="auto"/>
        <w:tabs>
          <w:tab w:leader="none" w:pos="40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$0.10 Par Value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BRO</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Incentive for 2021</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February 23, 2021, the Compensation Committee adopted the annual cash incentive for 2021 for certain of the Company’s executive officers, including certain of the named executive officers, pursuant to which they are eligible to receive a cash incentive payment based on the achievement of certain performance objectives in 2021. The terms of the annual cash incentive are not contained in a formal written document.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named executive officer’s annual cash incentive payment amount will consist of three components (the calculation of which may be adjusted by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 at its discretion, to exclude the effect of items that are unusual in nature or infrequently occurring), which are as follows:</w:t>
      </w:r>
    </w:p>
    <w:p>
      <w:pPr>
        <w:spacing w:after="0" w:line="141" w:lineRule="exact"/>
        <w:rPr>
          <w:sz w:val="20"/>
          <w:szCs w:val="20"/>
          <w:color w:val="auto"/>
        </w:rPr>
      </w:pPr>
    </w:p>
    <w:p>
      <w:pPr>
        <w:ind w:left="880" w:hanging="440"/>
        <w:spacing w:after="0" w:line="25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first component, which will affect 40% of the 2021 cash incentive amount, is based on specified organic revenue growth targets, which, for named executive officers whose responsibilities encompass the Company as a whole rather than being tied to a particular segment, will be calculated based upon the organic revenue growth of the Company as a whole, and for named executive officers with segment operational responsibilities, will be calculated based upon the organic revenue growth of the offices for which each such executive officer has oversight responsibility.</w:t>
      </w:r>
    </w:p>
    <w:p>
      <w:pPr>
        <w:spacing w:after="0" w:line="187" w:lineRule="exact"/>
        <w:rPr>
          <w:rFonts w:ascii="Arial" w:cs="Arial" w:eastAsia="Arial" w:hAnsi="Arial"/>
          <w:sz w:val="18"/>
          <w:szCs w:val="18"/>
          <w:color w:val="auto"/>
        </w:rPr>
      </w:pPr>
    </w:p>
    <w:p>
      <w:pPr>
        <w:ind w:left="880" w:right="300" w:hanging="440"/>
        <w:spacing w:after="0" w:line="263"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second component, which will affect 40% of the 2021 cash incentive amount, will be determined based upon performance of the Company’s EBITDAC margin (“EBITDAC Margin”), which is the Company’s income before income taxes less amortization, depreciation, interest, and the change in estimated acquisition earn-out payables, divided by total revenues.</w:t>
      </w:r>
    </w:p>
    <w:p>
      <w:pPr>
        <w:spacing w:after="0" w:line="183"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third component, which will affect 20% of the 2021 cash incentive amount, will be linked to the achievement of personal objectives of the named executive officer as determined by the Compensation Committee.</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Each of the components described above contemplates a minimum payout of 0% of each named executive officer’s target cash incentive amount and a maximum payout of 200% of each named executive officer’s target cash incentive amount. The target cash incentive amounts for our named executive officers for 2021 are as follows: J. Powell Brown – $2,000,000; R. Andrew Watts – $700,000; J. Scott Penny – $900,000; and Chris L. Walker -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BROWN &amp; BROWN, INC.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Robert W.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W. Lloyd</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Secretary and General Counsel</w:t>
      </w:r>
    </w:p>
    <w:sectPr>
      <w:pgSz w:w="11900" w:h="16838" w:orient="portrait"/>
      <w:cols w:equalWidth="0" w:num="1">
        <w:col w:w="11200"/>
      </w:cols>
      <w:pgMar w:left="320" w:top="34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2021-02-23T16:11:05Z</dcterms:created>
  <dcterms:modified xsi:type="dcterms:W3CDTF">2021-02-23T16:11:05Z</dcterms:modified>
</cp:coreProperties>
</file>