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422910</wp:posOffset>
            </wp:positionH>
            <wp:positionV relativeFrom="page">
              <wp:posOffset>902970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8" w:lineRule="exact"/>
        <w:rPr>
          <w:sz w:val="24"/>
          <w:szCs w:val="24"/>
          <w:color w:val="auto"/>
        </w:rPr>
      </w:pPr>
    </w:p>
    <w:p>
      <w:pPr>
        <w:ind w:left="3580" w:right="2240" w:hanging="3574"/>
        <w:spacing w:after="0" w:line="313" w:lineRule="auto"/>
        <w:tabs>
          <w:tab w:leader="none" w:pos="417"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440" w:hanging="434"/>
        <w:spacing w:after="0"/>
        <w:tabs>
          <w:tab w:leader="none" w:pos="440"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6" w:lineRule="exact"/>
        <w:rPr>
          <w:sz w:val="24"/>
          <w:szCs w:val="24"/>
          <w:color w:val="auto"/>
        </w:rPr>
      </w:pPr>
    </w:p>
    <w:p>
      <w:pPr>
        <w:ind w:left="37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Commission file number 001-13619</w:t>
      </w:r>
    </w:p>
    <w:p>
      <w:pPr>
        <w:spacing w:after="0" w:line="123" w:lineRule="exact"/>
        <w:rPr>
          <w:sz w:val="24"/>
          <w:szCs w:val="24"/>
          <w:color w:val="auto"/>
        </w:rPr>
      </w:pPr>
    </w:p>
    <w:tbl>
      <w:tblPr>
        <w:tblLayout w:type="fixed"/>
        <w:tblInd w:w="760" w:type="dxa"/>
        <w:tblCellMar>
          <w:top w:w="0" w:type="dxa"/>
          <w:left w:w="0" w:type="dxa"/>
          <w:bottom w:w="0" w:type="dxa"/>
          <w:right w:w="0" w:type="dxa"/>
        </w:tblCellMar>
      </w:tblPr>
      <w:tr>
        <w:trPr>
          <w:trHeight w:val="473"/>
        </w:trPr>
        <w:tc>
          <w:tcPr>
            <w:tcW w:w="2220" w:type="dxa"/>
            <w:vAlign w:val="bottom"/>
          </w:tcPr>
          <w:p>
            <w:pPr>
              <w:spacing w:after="0"/>
              <w:rPr>
                <w:sz w:val="24"/>
                <w:szCs w:val="24"/>
                <w:color w:val="auto"/>
              </w:rPr>
            </w:pPr>
          </w:p>
        </w:tc>
        <w:tc>
          <w:tcPr>
            <w:tcW w:w="6460" w:type="dxa"/>
            <w:vAlign w:val="bottom"/>
          </w:tcPr>
          <w:p>
            <w:pPr>
              <w:jc w:val="center"/>
              <w:ind w:right="1752"/>
              <w:spacing w:after="0"/>
              <w:rPr>
                <w:sz w:val="20"/>
                <w:szCs w:val="20"/>
                <w:color w:val="auto"/>
              </w:rPr>
            </w:pPr>
            <w:r>
              <w:rPr>
                <w:rFonts w:ascii="Times New Roman" w:cs="Times New Roman" w:eastAsia="Times New Roman" w:hAnsi="Times New Roman"/>
                <w:sz w:val="38"/>
                <w:szCs w:val="38"/>
                <w:b w:val="1"/>
                <w:bCs w:val="1"/>
                <w:color w:val="auto"/>
              </w:rPr>
              <w:t>BROWN &amp; BROWN, INC.</w:t>
            </w:r>
          </w:p>
        </w:tc>
      </w:tr>
      <w:tr>
        <w:trPr>
          <w:trHeight w:val="205"/>
        </w:trPr>
        <w:tc>
          <w:tcPr>
            <w:tcW w:w="2220" w:type="dxa"/>
            <w:vAlign w:val="bottom"/>
          </w:tcPr>
          <w:p>
            <w:pPr>
              <w:spacing w:after="0"/>
              <w:rPr>
                <w:sz w:val="17"/>
                <w:szCs w:val="17"/>
                <w:color w:val="auto"/>
              </w:rPr>
            </w:pPr>
          </w:p>
        </w:tc>
        <w:tc>
          <w:tcPr>
            <w:tcW w:w="6460" w:type="dxa"/>
            <w:vAlign w:val="bottom"/>
          </w:tcPr>
          <w:p>
            <w:pPr>
              <w:jc w:val="center"/>
              <w:ind w:right="1752"/>
              <w:spacing w:after="0"/>
              <w:rPr>
                <w:sz w:val="20"/>
                <w:szCs w:val="20"/>
                <w:color w:val="auto"/>
              </w:rPr>
            </w:pPr>
            <w:r>
              <w:rPr>
                <w:rFonts w:ascii="Times New Roman" w:cs="Times New Roman" w:eastAsia="Times New Roman" w:hAnsi="Times New Roman"/>
                <w:sz w:val="16"/>
                <w:szCs w:val="16"/>
                <w:b w:val="1"/>
                <w:bCs w:val="1"/>
                <w:color w:val="auto"/>
                <w:w w:val="97"/>
              </w:rPr>
              <w:t>(Exact name of Registrant as specified in its charter)</w:t>
            </w:r>
          </w:p>
        </w:tc>
      </w:tr>
      <w:tr>
        <w:trPr>
          <w:trHeight w:val="421"/>
        </w:trPr>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64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59-0864469</w:t>
            </w:r>
          </w:p>
        </w:tc>
      </w:tr>
      <w:tr>
        <w:trPr>
          <w:trHeight w:val="156"/>
        </w:trPr>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6460" w:type="dxa"/>
            <w:vAlign w:val="bottom"/>
          </w:tcPr>
          <w:p>
            <w:pPr>
              <w:jc w:val="center"/>
              <w:ind w:left="5052"/>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5"/>
        </w:trPr>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6460" w:type="dxa"/>
            <w:vAlign w:val="bottom"/>
          </w:tcPr>
          <w:p>
            <w:pPr>
              <w:jc w:val="center"/>
              <w:ind w:left="5052"/>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180"/>
        </w:trPr>
        <w:tc>
          <w:tcPr>
            <w:tcW w:w="2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300 North Beach Street,</w:t>
            </w:r>
          </w:p>
        </w:tc>
        <w:tc>
          <w:tcPr>
            <w:tcW w:w="6460" w:type="dxa"/>
            <w:vAlign w:val="bottom"/>
          </w:tcPr>
          <w:p>
            <w:pPr>
              <w:spacing w:after="0"/>
              <w:rPr>
                <w:sz w:val="15"/>
                <w:szCs w:val="15"/>
                <w:color w:val="auto"/>
              </w:rPr>
            </w:pPr>
          </w:p>
        </w:tc>
      </w:tr>
      <w:tr>
        <w:trPr>
          <w:trHeight w:val="205"/>
        </w:trPr>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Daytona Beach, FL</w:t>
            </w:r>
          </w:p>
        </w:tc>
        <w:tc>
          <w:tcPr>
            <w:tcW w:w="64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32114</w:t>
            </w:r>
          </w:p>
        </w:tc>
      </w:tr>
      <w:tr>
        <w:trPr>
          <w:trHeight w:val="174"/>
        </w:trPr>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6460" w:type="dxa"/>
            <w:vAlign w:val="bottom"/>
          </w:tcPr>
          <w:p>
            <w:pPr>
              <w:jc w:val="center"/>
              <w:ind w:left="5052"/>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246"/>
        </w:trPr>
        <w:tc>
          <w:tcPr>
            <w:tcW w:w="2220" w:type="dxa"/>
            <w:vAlign w:val="bottom"/>
          </w:tcPr>
          <w:p>
            <w:pPr>
              <w:spacing w:after="0"/>
              <w:rPr>
                <w:sz w:val="21"/>
                <w:szCs w:val="21"/>
                <w:color w:val="auto"/>
              </w:rPr>
            </w:pPr>
          </w:p>
        </w:tc>
        <w:tc>
          <w:tcPr>
            <w:tcW w:w="6460" w:type="dxa"/>
            <w:vAlign w:val="bottom"/>
          </w:tcPr>
          <w:p>
            <w:pPr>
              <w:jc w:val="center"/>
              <w:ind w:right="1752"/>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(386) 252-9601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2602865</wp:posOffset>
            </wp:positionH>
            <wp:positionV relativeFrom="paragraph">
              <wp:posOffset>-592455</wp:posOffset>
            </wp:positionV>
            <wp:extent cx="1577975" cy="213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975" cy="213360"/>
                    </a:xfrm>
                    <a:prstGeom prst="rect">
                      <a:avLst/>
                    </a:prstGeom>
                    <a:noFill/>
                  </pic:spPr>
                </pic:pic>
              </a:graphicData>
            </a:graphic>
          </wp:anchor>
        </w:drawing>
      </w:r>
    </w:p>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168"/>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2"/>
        </w:trPr>
        <w:tc>
          <w:tcPr>
            <w:tcW w:w="476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Common Stock, $0.10 Par Value</w:t>
            </w:r>
          </w:p>
        </w:tc>
        <w:tc>
          <w:tcPr>
            <w:tcW w:w="222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BRO</w:t>
            </w:r>
          </w:p>
        </w:tc>
        <w:tc>
          <w:tcPr>
            <w:tcW w:w="360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67" w:lineRule="exact"/>
        <w:rPr>
          <w:sz w:val="24"/>
          <w:szCs w:val="24"/>
          <w:color w:val="auto"/>
        </w:rPr>
      </w:pPr>
    </w:p>
    <w:p>
      <w:pPr>
        <w:ind w:right="120" w:firstLine="468"/>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firstLine="468"/>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ind w:right="40" w:firstLine="468"/>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0"/>
        </w:trPr>
        <w:tc>
          <w:tcPr>
            <w:tcW w:w="1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880"/>
              <w:spacing w:after="0" w:line="180" w:lineRule="exact"/>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18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8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right="340" w:firstLine="468"/>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80" w:right="174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$0.10 par value, outstanding as of October 24, 2025 was 341,420,790.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835025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1439" w:right="6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BROWN &amp; BROWN,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9380" w:type="dxa"/>
            <w:vAlign w:val="bottom"/>
            <w:gridSpan w:val="20"/>
            <w:vMerge w:val="restart"/>
          </w:tcPr>
          <w:p>
            <w:pPr>
              <w:spacing w:after="0"/>
              <w:rPr>
                <w:rFonts w:ascii="Times New Roman" w:cs="Times New Roman" w:eastAsia="Times New Roman" w:hAnsi="Times New Roman"/>
                <w:sz w:val="16"/>
                <w:szCs w:val="16"/>
                <w:b w:val="1"/>
                <w:bCs w:val="1"/>
                <w:color w:val="0563C1"/>
              </w:rPr>
            </w:pPr>
            <w:hyperlink w:anchor="page5">
              <w:r>
                <w:rPr>
                  <w:rFonts w:ascii="Times New Roman" w:cs="Times New Roman" w:eastAsia="Times New Roman" w:hAnsi="Times New Roman"/>
                  <w:sz w:val="16"/>
                  <w:szCs w:val="16"/>
                  <w:b w:val="1"/>
                  <w:bCs w:val="1"/>
                  <w:color w:val="0563C1"/>
                </w:rPr>
                <w:t>PART I. FINANCIAL INFORMATION</w:t>
              </w:r>
            </w:hyperlink>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PAGE NO.</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9380" w:type="dxa"/>
            <w:vAlign w:val="bottom"/>
            <w:gridSpan w:val="20"/>
            <w:vMerge w:val="continue"/>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8340" w:type="dxa"/>
            <w:vAlign w:val="bottom"/>
            <w:gridSpan w:val="18"/>
          </w:tcPr>
          <w:p>
            <w:pPr>
              <w:spacing w:after="0"/>
              <w:rPr>
                <w:rFonts w:ascii="Times New Roman" w:cs="Times New Roman" w:eastAsia="Times New Roman" w:hAnsi="Times New Roman"/>
                <w:sz w:val="16"/>
                <w:szCs w:val="16"/>
                <w:color w:val="0563C1"/>
              </w:rPr>
            </w:pPr>
            <w:hyperlink w:anchor="page5">
              <w:r>
                <w:rPr>
                  <w:rFonts w:ascii="Times New Roman" w:cs="Times New Roman" w:eastAsia="Times New Roman" w:hAnsi="Times New Roman"/>
                  <w:sz w:val="16"/>
                  <w:szCs w:val="16"/>
                  <w:color w:val="0563C1"/>
                </w:rPr>
                <w:t>Financial Statements (Unaudited):</w:t>
              </w:r>
            </w:hyperlink>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4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563C1"/>
                <w:w w:val="90"/>
              </w:rPr>
            </w:pPr>
            <w:hyperlink w:anchor="page5">
              <w:r>
                <w:rPr>
                  <w:rFonts w:ascii="Times New Roman" w:cs="Times New Roman" w:eastAsia="Times New Roman" w:hAnsi="Times New Roman"/>
                  <w:sz w:val="16"/>
                  <w:szCs w:val="16"/>
                  <w:color w:val="0563C1"/>
                  <w:w w:val="90"/>
                </w:rPr>
                <w:t>Condensed Consolidated Statements</w:t>
              </w:r>
            </w:hyperlink>
          </w:p>
        </w:tc>
        <w:tc>
          <w:tcPr>
            <w:tcW w:w="6200" w:type="dxa"/>
            <w:vAlign w:val="bottom"/>
            <w:gridSpan w:val="9"/>
          </w:tcPr>
          <w:p>
            <w:pPr>
              <w:ind w:left="180"/>
              <w:spacing w:after="0" w:line="160" w:lineRule="exact"/>
              <w:rPr>
                <w:rFonts w:ascii="Times New Roman" w:cs="Times New Roman" w:eastAsia="Times New Roman" w:hAnsi="Times New Roman"/>
                <w:sz w:val="16"/>
                <w:szCs w:val="16"/>
                <w:color w:val="0563C1"/>
              </w:rPr>
            </w:pPr>
            <w:hyperlink w:anchor="page5">
              <w:r>
                <w:rPr>
                  <w:rFonts w:ascii="Times New Roman" w:cs="Times New Roman" w:eastAsia="Times New Roman" w:hAnsi="Times New Roman"/>
                  <w:sz w:val="16"/>
                  <w:szCs w:val="16"/>
                  <w:color w:val="0563C1"/>
                </w:rPr>
                <w:t>of Income for the three and nine months ended September 30, 2025 and 2024</w:t>
              </w:r>
            </w:hyperlink>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40" w:type="dxa"/>
            <w:vAlign w:val="bottom"/>
            <w:gridSpan w:val="18"/>
          </w:tcPr>
          <w:p>
            <w:pPr>
              <w:spacing w:after="0" w:line="160" w:lineRule="exact"/>
              <w:rPr>
                <w:rFonts w:ascii="Times New Roman" w:cs="Times New Roman" w:eastAsia="Times New Roman" w:hAnsi="Times New Roman"/>
                <w:sz w:val="16"/>
                <w:szCs w:val="16"/>
                <w:color w:val="0563C1"/>
              </w:rPr>
            </w:pPr>
            <w:hyperlink w:anchor="page6">
              <w:r>
                <w:rPr>
                  <w:rFonts w:ascii="Times New Roman" w:cs="Times New Roman" w:eastAsia="Times New Roman" w:hAnsi="Times New Roman"/>
                  <w:sz w:val="16"/>
                  <w:szCs w:val="16"/>
                  <w:color w:val="0563C1"/>
                </w:rPr>
                <w:t>Condensed Consolidated Statements of Comprehensive Income for the three and nine months ended September 30, 2025 and</w:t>
              </w:r>
            </w:hyperlink>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563C1"/>
                <w:w w:val="93"/>
              </w:rPr>
            </w:pPr>
            <w:hyperlink w:anchor="page6">
              <w:r>
                <w:rPr>
                  <w:rFonts w:ascii="Times New Roman" w:cs="Times New Roman" w:eastAsia="Times New Roman" w:hAnsi="Times New Roman"/>
                  <w:sz w:val="16"/>
                  <w:szCs w:val="16"/>
                  <w:color w:val="0563C1"/>
                  <w:w w:val="93"/>
                </w:rPr>
                <w:t>2024</w:t>
              </w:r>
            </w:hyperlink>
          </w:p>
        </w:tc>
        <w:tc>
          <w:tcPr>
            <w:tcW w:w="2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3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40" w:type="dxa"/>
            <w:vAlign w:val="bottom"/>
            <w:gridSpan w:val="18"/>
          </w:tcPr>
          <w:p>
            <w:pPr>
              <w:spacing w:after="0" w:line="160" w:lineRule="exact"/>
              <w:rPr>
                <w:rFonts w:ascii="Times New Roman" w:cs="Times New Roman" w:eastAsia="Times New Roman" w:hAnsi="Times New Roman"/>
                <w:sz w:val="16"/>
                <w:szCs w:val="16"/>
                <w:color w:val="0563C1"/>
              </w:rPr>
            </w:pPr>
            <w:hyperlink w:anchor="page7">
              <w:r>
                <w:rPr>
                  <w:rFonts w:ascii="Times New Roman" w:cs="Times New Roman" w:eastAsia="Times New Roman" w:hAnsi="Times New Roman"/>
                  <w:sz w:val="16"/>
                  <w:szCs w:val="16"/>
                  <w:color w:val="0563C1"/>
                </w:rPr>
                <w:t>Condensed Consolidated Balance Sheets as of September 30, 2025 and December 31, 2024</w:t>
              </w:r>
            </w:hyperlink>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340" w:type="dxa"/>
            <w:vAlign w:val="bottom"/>
            <w:gridSpan w:val="18"/>
          </w:tcPr>
          <w:p>
            <w:pPr>
              <w:spacing w:after="0" w:line="160" w:lineRule="exact"/>
              <w:rPr>
                <w:rFonts w:ascii="Times New Roman" w:cs="Times New Roman" w:eastAsia="Times New Roman" w:hAnsi="Times New Roman"/>
                <w:sz w:val="16"/>
                <w:szCs w:val="16"/>
                <w:color w:val="0563C1"/>
              </w:rPr>
            </w:pPr>
            <w:hyperlink w:anchor="page8">
              <w:r>
                <w:rPr>
                  <w:rFonts w:ascii="Times New Roman" w:cs="Times New Roman" w:eastAsia="Times New Roman" w:hAnsi="Times New Roman"/>
                  <w:sz w:val="16"/>
                  <w:szCs w:val="16"/>
                  <w:color w:val="0563C1"/>
                </w:rPr>
                <w:t>Condensed Consolidated Statements of Equity for the three and nine months ended September 30, 2025 and 2024</w:t>
              </w:r>
            </w:hyperlink>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14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563C1"/>
              </w:rPr>
            </w:pPr>
            <w:hyperlink w:anchor="page9">
              <w:r>
                <w:rPr>
                  <w:rFonts w:ascii="Times New Roman" w:cs="Times New Roman" w:eastAsia="Times New Roman" w:hAnsi="Times New Roman"/>
                  <w:sz w:val="16"/>
                  <w:szCs w:val="16"/>
                  <w:color w:val="0563C1"/>
                </w:rPr>
                <w:t>Condensed Consolidated Statements of Cash Flows for the nine months ended September 30, 2025 and 2024</w:t>
              </w:r>
            </w:hyperlink>
          </w:p>
        </w:tc>
        <w:tc>
          <w:tcPr>
            <w:tcW w:w="1200" w:type="dxa"/>
            <w:vAlign w:val="bottom"/>
            <w:gridSpan w:val="2"/>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563C1"/>
              </w:rPr>
            </w:pPr>
            <w:hyperlink w:anchor="page10">
              <w:r>
                <w:rPr>
                  <w:rFonts w:ascii="Times New Roman" w:cs="Times New Roman" w:eastAsia="Times New Roman" w:hAnsi="Times New Roman"/>
                  <w:sz w:val="16"/>
                  <w:szCs w:val="16"/>
                  <w:color w:val="0563C1"/>
                </w:rPr>
                <w:t>Notes to Condensed Consolidated Financial Statements</w:t>
              </w:r>
            </w:hyperlink>
          </w:p>
        </w:tc>
        <w:tc>
          <w:tcPr>
            <w:tcW w:w="1540" w:type="dxa"/>
            <w:vAlign w:val="bottom"/>
            <w:gridSpan w:val="3"/>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8340" w:type="dxa"/>
            <w:vAlign w:val="bottom"/>
            <w:gridSpan w:val="18"/>
          </w:tcPr>
          <w:p>
            <w:pPr>
              <w:spacing w:after="0"/>
              <w:rPr>
                <w:rFonts w:ascii="Times New Roman" w:cs="Times New Roman" w:eastAsia="Times New Roman" w:hAnsi="Times New Roman"/>
                <w:sz w:val="16"/>
                <w:szCs w:val="16"/>
                <w:color w:val="0563C1"/>
              </w:rPr>
            </w:pPr>
            <w:hyperlink w:anchor="page27">
              <w:r>
                <w:rPr>
                  <w:rFonts w:ascii="Times New Roman" w:cs="Times New Roman" w:eastAsia="Times New Roman" w:hAnsi="Times New Roman"/>
                  <w:sz w:val="16"/>
                  <w:szCs w:val="16"/>
                  <w:color w:val="0563C1"/>
                </w:rPr>
                <w:t>Management’s Discussion and Analysis of Financial Condition and Results of Operations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1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560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563C1"/>
              </w:rPr>
            </w:pPr>
            <w:hyperlink w:anchor="page44">
              <w:r>
                <w:rPr>
                  <w:rFonts w:ascii="Times New Roman" w:cs="Times New Roman" w:eastAsia="Times New Roman" w:hAnsi="Times New Roman"/>
                  <w:sz w:val="16"/>
                  <w:szCs w:val="16"/>
                  <w:color w:val="0563C1"/>
                </w:rPr>
                <w:t>Quantitative and Qualitative Disclosures About Market Risk</w:t>
              </w:r>
            </w:hyperlink>
          </w:p>
        </w:tc>
        <w:tc>
          <w:tcPr>
            <w:tcW w:w="2740" w:type="dxa"/>
            <w:vAlign w:val="bottom"/>
            <w:gridSpan w:val="5"/>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color w:val="auto"/>
              </w:rPr>
              <w:t>Item 4.</w:t>
            </w:r>
          </w:p>
        </w:tc>
        <w:tc>
          <w:tcPr>
            <w:tcW w:w="154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563C1"/>
                <w:w w:val="96"/>
              </w:rPr>
            </w:pPr>
            <w:hyperlink w:anchor="page44">
              <w:r>
                <w:rPr>
                  <w:rFonts w:ascii="Times New Roman" w:cs="Times New Roman" w:eastAsia="Times New Roman" w:hAnsi="Times New Roman"/>
                  <w:sz w:val="16"/>
                  <w:szCs w:val="16"/>
                  <w:color w:val="0563C1"/>
                  <w:w w:val="96"/>
                </w:rPr>
                <w:t>Controls and Procedures</w:t>
              </w:r>
            </w:hyperlink>
          </w:p>
        </w:tc>
        <w:tc>
          <w:tcPr>
            <w:tcW w:w="2260" w:type="dxa"/>
            <w:vAlign w:val="bottom"/>
            <w:tcBorders>
              <w:top w:val="single" w:sz="8" w:color="0000EE"/>
            </w:tcBorders>
            <w:gridSpan w:val="5"/>
          </w:tcPr>
          <w:p>
            <w:pPr>
              <w:spacing w:after="0"/>
              <w:rPr>
                <w:sz w:val="13"/>
                <w:szCs w:val="13"/>
                <w:color w:val="auto"/>
              </w:rPr>
            </w:pPr>
          </w:p>
        </w:tc>
        <w:tc>
          <w:tcPr>
            <w:tcW w:w="4540" w:type="dxa"/>
            <w:vAlign w:val="bottom"/>
            <w:gridSpan w:val="6"/>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9380" w:type="dxa"/>
            <w:vAlign w:val="bottom"/>
            <w:gridSpan w:val="20"/>
          </w:tcPr>
          <w:p>
            <w:pPr>
              <w:spacing w:after="0"/>
              <w:rPr>
                <w:rFonts w:ascii="Times New Roman" w:cs="Times New Roman" w:eastAsia="Times New Roman" w:hAnsi="Times New Roman"/>
                <w:sz w:val="16"/>
                <w:szCs w:val="16"/>
                <w:b w:val="1"/>
                <w:bCs w:val="1"/>
                <w:color w:val="0563C1"/>
              </w:rPr>
            </w:pPr>
            <w:hyperlink w:anchor="page45">
              <w:r>
                <w:rPr>
                  <w:rFonts w:ascii="Times New Roman" w:cs="Times New Roman" w:eastAsia="Times New Roman" w:hAnsi="Times New Roman"/>
                  <w:sz w:val="16"/>
                  <w:szCs w:val="16"/>
                  <w:b w:val="1"/>
                  <w:bCs w:val="1"/>
                  <w:color w:val="0563C1"/>
                </w:rPr>
                <w:t>PART II. OTHER INFORMATION</w:t>
              </w:r>
            </w:hyperlink>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8340" w:type="dxa"/>
            <w:vAlign w:val="bottom"/>
            <w:gridSpan w:val="18"/>
          </w:tcPr>
          <w:p>
            <w:pPr>
              <w:spacing w:after="0"/>
              <w:rPr>
                <w:rFonts w:ascii="Times New Roman" w:cs="Times New Roman" w:eastAsia="Times New Roman" w:hAnsi="Times New Roman"/>
                <w:sz w:val="16"/>
                <w:szCs w:val="16"/>
                <w:color w:val="0563C1"/>
              </w:rPr>
            </w:pPr>
            <w:hyperlink w:anchor="page45">
              <w:r>
                <w:rPr>
                  <w:rFonts w:ascii="Times New Roman" w:cs="Times New Roman" w:eastAsia="Times New Roman" w:hAnsi="Times New Roman"/>
                  <w:sz w:val="16"/>
                  <w:szCs w:val="16"/>
                  <w:color w:val="0563C1"/>
                </w:rPr>
                <w:t>Legal Proceedings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1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color w:val="auto"/>
              </w:rPr>
              <w:t>Item 1A.</w:t>
            </w:r>
          </w:p>
        </w:tc>
        <w:tc>
          <w:tcPr>
            <w:tcW w:w="116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563C1"/>
              </w:rPr>
            </w:pPr>
            <w:hyperlink w:anchor="page45">
              <w:r>
                <w:rPr>
                  <w:rFonts w:ascii="Times New Roman" w:cs="Times New Roman" w:eastAsia="Times New Roman" w:hAnsi="Times New Roman"/>
                  <w:sz w:val="16"/>
                  <w:szCs w:val="16"/>
                  <w:color w:val="0563C1"/>
                </w:rPr>
                <w:t>Risk Factors</w:t>
              </w:r>
            </w:hyperlink>
          </w:p>
        </w:tc>
        <w:tc>
          <w:tcPr>
            <w:tcW w:w="2620" w:type="dxa"/>
            <w:vAlign w:val="bottom"/>
            <w:gridSpan w:val="6"/>
          </w:tcPr>
          <w:p>
            <w:pPr>
              <w:spacing w:after="0"/>
              <w:rPr>
                <w:sz w:val="13"/>
                <w:szCs w:val="13"/>
                <w:color w:val="auto"/>
              </w:rPr>
            </w:pPr>
          </w:p>
        </w:tc>
        <w:tc>
          <w:tcPr>
            <w:tcW w:w="4560" w:type="dxa"/>
            <w:vAlign w:val="bottom"/>
            <w:gridSpan w:val="7"/>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78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563C1"/>
                <w:w w:val="91"/>
              </w:rPr>
            </w:pPr>
            <w:hyperlink w:anchor="page46">
              <w:r>
                <w:rPr>
                  <w:rFonts w:ascii="Times New Roman" w:cs="Times New Roman" w:eastAsia="Times New Roman" w:hAnsi="Times New Roman"/>
                  <w:sz w:val="16"/>
                  <w:szCs w:val="16"/>
                  <w:color w:val="0563C1"/>
                  <w:w w:val="91"/>
                </w:rPr>
                <w:t>Unregistered</w:t>
              </w:r>
            </w:hyperlink>
          </w:p>
        </w:tc>
        <w:tc>
          <w:tcPr>
            <w:tcW w:w="7560" w:type="dxa"/>
            <w:vAlign w:val="bottom"/>
            <w:gridSpan w:val="15"/>
          </w:tcPr>
          <w:p>
            <w:pPr>
              <w:ind w:left="60"/>
              <w:spacing w:after="0" w:line="160" w:lineRule="exact"/>
              <w:rPr>
                <w:rFonts w:ascii="Times New Roman" w:cs="Times New Roman" w:eastAsia="Times New Roman" w:hAnsi="Times New Roman"/>
                <w:sz w:val="16"/>
                <w:szCs w:val="16"/>
                <w:color w:val="0563C1"/>
              </w:rPr>
            </w:pPr>
            <w:hyperlink w:anchor="page46">
              <w:r>
                <w:rPr>
                  <w:rFonts w:ascii="Times New Roman" w:cs="Times New Roman" w:eastAsia="Times New Roman" w:hAnsi="Times New Roman"/>
                  <w:sz w:val="16"/>
                  <w:szCs w:val="16"/>
                  <w:color w:val="0563C1"/>
                </w:rPr>
                <w:t>Sales of Equity Securities and Use of Proceeds</w:t>
              </w:r>
            </w:hyperlink>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378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563C1"/>
              </w:rPr>
            </w:pPr>
            <w:hyperlink w:anchor="page47">
              <w:r>
                <w:rPr>
                  <w:rFonts w:ascii="Times New Roman" w:cs="Times New Roman" w:eastAsia="Times New Roman" w:hAnsi="Times New Roman"/>
                  <w:sz w:val="16"/>
                  <w:szCs w:val="16"/>
                  <w:color w:val="0563C1"/>
                </w:rPr>
                <w:t>Other Information</w:t>
              </w:r>
            </w:hyperlink>
          </w:p>
        </w:tc>
        <w:tc>
          <w:tcPr>
            <w:tcW w:w="4560" w:type="dxa"/>
            <w:vAlign w:val="bottom"/>
            <w:gridSpan w:val="7"/>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114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563C1"/>
              </w:rPr>
            </w:pPr>
            <w:hyperlink w:anchor="page48">
              <w:r>
                <w:rPr>
                  <w:rFonts w:ascii="Times New Roman" w:cs="Times New Roman" w:eastAsia="Times New Roman" w:hAnsi="Times New Roman"/>
                  <w:sz w:val="16"/>
                  <w:szCs w:val="16"/>
                  <w:color w:val="0563C1"/>
                </w:rPr>
                <w:t>Exhibits</w:t>
              </w:r>
            </w:hyperlink>
          </w:p>
        </w:tc>
        <w:tc>
          <w:tcPr>
            <w:tcW w:w="7200" w:type="dxa"/>
            <w:vAlign w:val="bottom"/>
            <w:gridSpan w:val="14"/>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40" w:type="dxa"/>
            <w:vAlign w:val="bottom"/>
            <w:gridSpan w:val="2"/>
          </w:tcPr>
          <w:p>
            <w:pPr>
              <w:spacing w:after="0" w:line="160" w:lineRule="exact"/>
              <w:rPr>
                <w:rFonts w:ascii="Times New Roman" w:cs="Times New Roman" w:eastAsia="Times New Roman" w:hAnsi="Times New Roman"/>
                <w:sz w:val="16"/>
                <w:szCs w:val="16"/>
                <w:b w:val="1"/>
                <w:bCs w:val="1"/>
                <w:color w:val="0563C1"/>
                <w:w w:val="98"/>
              </w:rPr>
            </w:pPr>
            <w:hyperlink w:anchor="page49">
              <w:r>
                <w:rPr>
                  <w:rFonts w:ascii="Times New Roman" w:cs="Times New Roman" w:eastAsia="Times New Roman" w:hAnsi="Times New Roman"/>
                  <w:sz w:val="16"/>
                  <w:szCs w:val="16"/>
                  <w:b w:val="1"/>
                  <w:bCs w:val="1"/>
                  <w:color w:val="0563C1"/>
                  <w:w w:val="98"/>
                </w:rPr>
                <w:t>SIGNATURES</w:t>
              </w:r>
            </w:hyperlink>
          </w:p>
        </w:tc>
        <w:tc>
          <w:tcPr>
            <w:tcW w:w="520" w:type="dxa"/>
            <w:vAlign w:val="bottom"/>
            <w:tcBorders>
              <w:top w:val="single" w:sz="8" w:color="0000EE"/>
            </w:tcBorders>
            <w:gridSpan w:val="2"/>
            <w:vMerge w:val="restart"/>
          </w:tcPr>
          <w:p>
            <w:pPr>
              <w:spacing w:after="0"/>
              <w:rPr>
                <w:sz w:val="13"/>
                <w:szCs w:val="13"/>
                <w:color w:val="auto"/>
              </w:rPr>
            </w:pPr>
          </w:p>
        </w:tc>
        <w:tc>
          <w:tcPr>
            <w:tcW w:w="5080" w:type="dxa"/>
            <w:vAlign w:val="bottom"/>
            <w:gridSpan w:val="11"/>
            <w:vMerge w:val="restart"/>
          </w:tcPr>
          <w:p>
            <w:pPr>
              <w:jc w:val="right"/>
              <w:ind w:right="14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6"/>
        </w:trPr>
        <w:tc>
          <w:tcPr>
            <w:tcW w:w="8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vMerge w:val="continue"/>
          </w:tcPr>
          <w:p>
            <w:pPr>
              <w:spacing w:after="0"/>
              <w:rPr>
                <w:sz w:val="24"/>
                <w:szCs w:val="24"/>
                <w:color w:val="auto"/>
              </w:rPr>
            </w:pPr>
          </w:p>
        </w:tc>
        <w:tc>
          <w:tcPr>
            <w:tcW w:w="5080" w:type="dxa"/>
            <w:vAlign w:val="bottom"/>
            <w:gridSpan w:val="11"/>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Disclosure Regarding Forward-Looking Statements</w:t>
      </w:r>
    </w:p>
    <w:p>
      <w:pPr>
        <w:spacing w:after="0" w:line="16"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16"/>
          <w:szCs w:val="16"/>
          <w:color w:val="auto"/>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 -looking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•Risks with respect to the acquisition of RSC Topco, Inc. (“RSC” or “Accession”), a Delaware corporation (the “Transaction”);</w:t>
      </w:r>
    </w:p>
    <w:p>
      <w:pPr>
        <w:spacing w:after="0" w:line="92" w:lineRule="exact"/>
        <w:rPr>
          <w:sz w:val="20"/>
          <w:szCs w:val="20"/>
          <w:color w:val="auto"/>
        </w:rPr>
      </w:pPr>
    </w:p>
    <w:p>
      <w:pPr>
        <w:ind w:left="480" w:right="240"/>
        <w:spacing w:after="0" w:line="360" w:lineRule="auto"/>
        <w:rPr>
          <w:sz w:val="20"/>
          <w:szCs w:val="20"/>
          <w:color w:val="auto"/>
        </w:rPr>
      </w:pPr>
      <w:r>
        <w:rPr>
          <w:rFonts w:ascii="Times New Roman" w:cs="Times New Roman" w:eastAsia="Times New Roman" w:hAnsi="Times New Roman"/>
          <w:sz w:val="16"/>
          <w:szCs w:val="16"/>
          <w:color w:val="auto"/>
        </w:rPr>
        <w:t>•The possibility that the anticipated benefits, including any anticipated costs saving and strategies, of the Transaction are not realized when expected or at all; •Risks related to the financing of the Transaction, including that financing the Transaction resulted in an increase in the Company’s indebtedness; •Risks relating to the financial information related to Accession;</w:t>
      </w:r>
    </w:p>
    <w:p>
      <w:pPr>
        <w:ind w:left="480" w:right="2360"/>
        <w:spacing w:after="0" w:line="411" w:lineRule="auto"/>
        <w:rPr>
          <w:sz w:val="20"/>
          <w:szCs w:val="20"/>
          <w:color w:val="auto"/>
        </w:rPr>
      </w:pPr>
      <w:r>
        <w:rPr>
          <w:rFonts w:ascii="Times New Roman" w:cs="Times New Roman" w:eastAsia="Times New Roman" w:hAnsi="Times New Roman"/>
          <w:sz w:val="14"/>
          <w:szCs w:val="14"/>
          <w:color w:val="auto"/>
        </w:rPr>
        <w:t>•Risks related to Accession’s business, including underwriting risk in connection with certain captive insurance companies; •The risk that certain assumptions the Company has made relating to the Transaction prove to be materially inaccurate;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inability to hire, retain and develop qualified employees, as well as the loss of any of our executive officers or other key employees;</w:t>
      </w:r>
    </w:p>
    <w:p>
      <w:pPr>
        <w:spacing w:after="0" w:line="92"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•A cybersecurity attack or any other interruption in information technology and/or data security that may impact our operations or the operations of third parties that support us;</w:t>
      </w:r>
    </w:p>
    <w:p>
      <w:pPr>
        <w:spacing w:after="0" w:line="59" w:lineRule="exact"/>
        <w:rPr>
          <w:sz w:val="20"/>
          <w:szCs w:val="20"/>
          <w:color w:val="auto"/>
        </w:rPr>
      </w:pPr>
    </w:p>
    <w:p>
      <w:pPr>
        <w:ind w:left="480" w:right="380"/>
        <w:spacing w:after="0" w:line="331" w:lineRule="auto"/>
        <w:rPr>
          <w:sz w:val="20"/>
          <w:szCs w:val="20"/>
          <w:color w:val="auto"/>
        </w:rPr>
      </w:pPr>
      <w:r>
        <w:rPr>
          <w:rFonts w:ascii="Times New Roman" w:cs="Times New Roman" w:eastAsia="Times New Roman" w:hAnsi="Times New Roman"/>
          <w:sz w:val="14"/>
          <w:szCs w:val="14"/>
          <w:color w:val="auto"/>
        </w:rPr>
        <w:t>•Acquisition-related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w:t>
      </w:r>
    </w:p>
    <w:p>
      <w:pPr>
        <w:spacing w:after="0" w:line="1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•Risks related to our international operations, which may result in additional risks or require more management time and expense than our domestic operations to achieve or maintain profitability;</w:t>
      </w:r>
    </w:p>
    <w:p>
      <w:pPr>
        <w:spacing w:after="0" w:line="59"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•The requirement for additional resources and time to adequately respond to dynamics resulting from rapid technological change, including the increasing use of artificial intelligence and robotic processing automation;</w:t>
      </w:r>
    </w:p>
    <w:p>
      <w:pPr>
        <w:spacing w:after="0" w:line="59" w:lineRule="exact"/>
        <w:rPr>
          <w:sz w:val="20"/>
          <w:szCs w:val="20"/>
          <w:color w:val="auto"/>
        </w:rPr>
      </w:pPr>
    </w:p>
    <w:p>
      <w:pPr>
        <w:ind w:left="480" w:right="520"/>
        <w:spacing w:after="0" w:line="259" w:lineRule="auto"/>
        <w:rPr>
          <w:sz w:val="20"/>
          <w:szCs w:val="20"/>
          <w:color w:val="auto"/>
        </w:rPr>
      </w:pPr>
      <w:r>
        <w:rPr>
          <w:rFonts w:ascii="Times New Roman" w:cs="Times New Roman" w:eastAsia="Times New Roman" w:hAnsi="Times New Roman"/>
          <w:sz w:val="16"/>
          <w:szCs w:val="16"/>
          <w:color w:val="auto"/>
        </w:rPr>
        <w:t>•The loss of or significant change to any of our insurance company or intermediary relationships, which could result in loss of capacity to write business, additional expense, loss of market share or material decrease in our commissions;</w:t>
      </w:r>
    </w:p>
    <w:p>
      <w:pPr>
        <w:spacing w:after="0" w:line="59" w:lineRule="exact"/>
        <w:rPr>
          <w:sz w:val="20"/>
          <w:szCs w:val="20"/>
          <w:color w:val="auto"/>
        </w:rPr>
      </w:pPr>
    </w:p>
    <w:p>
      <w:pPr>
        <w:ind w:left="480" w:right="460"/>
        <w:spacing w:after="0" w:line="259" w:lineRule="auto"/>
        <w:rPr>
          <w:sz w:val="20"/>
          <w:szCs w:val="20"/>
          <w:color w:val="auto"/>
        </w:rPr>
      </w:pPr>
      <w:r>
        <w:rPr>
          <w:rFonts w:ascii="Times New Roman" w:cs="Times New Roman" w:eastAsia="Times New Roman" w:hAnsi="Times New Roman"/>
          <w:sz w:val="16"/>
          <w:szCs w:val="16"/>
          <w:color w:val="auto"/>
        </w:rPr>
        <w:t>•The effect of natural disasters on our profit-sharing contingent commissions, insurer capacity or claims expenses within our capitalized captive insurance facilities;</w:t>
      </w:r>
    </w:p>
    <w:p>
      <w:pPr>
        <w:spacing w:after="0" w:line="59"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•Adverse economic conditions, political conditions (including the current U.S. federal government shutdown), outbreaks of war, disasters, or regulatory changes in states or countries where we have a concentration of our business;</w:t>
      </w:r>
    </w:p>
    <w:p>
      <w:pPr>
        <w:spacing w:after="0" w:line="59" w:lineRule="exact"/>
        <w:rPr>
          <w:sz w:val="20"/>
          <w:szCs w:val="20"/>
          <w:color w:val="auto"/>
        </w:rPr>
      </w:pPr>
    </w:p>
    <w:p>
      <w:pPr>
        <w:ind w:left="480" w:right="2120"/>
        <w:spacing w:after="0" w:line="360" w:lineRule="auto"/>
        <w:rPr>
          <w:sz w:val="20"/>
          <w:szCs w:val="20"/>
          <w:color w:val="auto"/>
        </w:rPr>
      </w:pPr>
      <w:r>
        <w:rPr>
          <w:rFonts w:ascii="Times New Roman" w:cs="Times New Roman" w:eastAsia="Times New Roman" w:hAnsi="Times New Roman"/>
          <w:sz w:val="16"/>
          <w:szCs w:val="16"/>
          <w:color w:val="auto"/>
        </w:rPr>
        <w:t>•The inability to maintain our culture or a significant change in management, management philosophy or our business strategy; •Fluctuations in our commission revenue as a result of factors outside of our control; •The effects of significant or sustained inflation or higher interest rates;</w:t>
      </w:r>
    </w:p>
    <w:p>
      <w:pPr>
        <w:ind w:left="480" w:right="1580"/>
        <w:spacing w:after="0" w:line="360" w:lineRule="auto"/>
        <w:rPr>
          <w:sz w:val="20"/>
          <w:szCs w:val="20"/>
          <w:color w:val="auto"/>
        </w:rPr>
      </w:pPr>
      <w:r>
        <w:rPr>
          <w:rFonts w:ascii="Times New Roman" w:cs="Times New Roman" w:eastAsia="Times New Roman" w:hAnsi="Times New Roman"/>
          <w:sz w:val="16"/>
          <w:szCs w:val="16"/>
          <w:color w:val="auto"/>
        </w:rPr>
        <w:t>•Claims expense resulting from the limited underwriting risk associated with our participation in capitalized captive insurance facilities; •Risks associated with our automobile and recreational vehicle finance and incentives dealer services (“F&amp;I”) businesses; •Changes in, or the termination of, certain programs administered by the U.S. federal government from which we derive revenues;</w:t>
      </w: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•The limitations of our system of disclosure and internal controls and procedures in preventing errors or fraud, or in informing management of all material information in a timely manner;</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1" w:right="700" w:bottom="1440" w:gutter="0" w:footer="0" w:header="0"/>
        </w:sectPr>
      </w:pPr>
    </w:p>
    <w:bookmarkStart w:id="3" w:name="page4"/>
    <w:bookmarkEnd w:id="3"/>
    <w:p>
      <w:pPr>
        <w:ind w:left="480" w:right="1420"/>
        <w:spacing w:after="0" w:line="360" w:lineRule="auto"/>
        <w:rPr>
          <w:sz w:val="20"/>
          <w:szCs w:val="20"/>
          <w:color w:val="auto"/>
        </w:rPr>
      </w:pPr>
      <w:r>
        <w:rPr>
          <w:rFonts w:ascii="Times New Roman" w:cs="Times New Roman" w:eastAsia="Times New Roman" w:hAnsi="Times New Roman"/>
          <w:sz w:val="16"/>
          <w:szCs w:val="16"/>
          <w:color w:val="auto"/>
        </w:rPr>
        <w:t>•Our reliance on vendors and other third parties to perform key functions of our business operations and provide services to our customers; •The significant control certain shareholders have;</w:t>
      </w:r>
    </w:p>
    <w:p>
      <w:pPr>
        <w:ind w:left="480" w:right="2720"/>
        <w:spacing w:after="0" w:line="360" w:lineRule="auto"/>
        <w:rPr>
          <w:sz w:val="20"/>
          <w:szCs w:val="20"/>
          <w:color w:val="auto"/>
        </w:rPr>
      </w:pPr>
      <w:r>
        <w:rPr>
          <w:rFonts w:ascii="Times New Roman" w:cs="Times New Roman" w:eastAsia="Times New Roman" w:hAnsi="Times New Roman"/>
          <w:sz w:val="16"/>
          <w:szCs w:val="16"/>
          <w:color w:val="auto"/>
        </w:rPr>
        <w:t>•Changes in data privacy and protection laws and regulations or any failure to comply with such laws and regulations; •Improper disclosure of confidential information;</w:t>
      </w:r>
    </w:p>
    <w:p>
      <w:pPr>
        <w:ind w:left="480"/>
        <w:spacing w:after="0"/>
        <w:rPr>
          <w:sz w:val="20"/>
          <w:szCs w:val="20"/>
          <w:color w:val="auto"/>
        </w:rPr>
      </w:pPr>
      <w:r>
        <w:rPr>
          <w:rFonts w:ascii="Times New Roman" w:cs="Times New Roman" w:eastAsia="Times New Roman" w:hAnsi="Times New Roman"/>
          <w:sz w:val="16"/>
          <w:szCs w:val="16"/>
          <w:color w:val="auto"/>
        </w:rPr>
        <w:t>•Our ability to comply with non-U.S. laws, regulations and policies;</w:t>
      </w:r>
    </w:p>
    <w:p>
      <w:pPr>
        <w:spacing w:after="0" w:line="92"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•The potential adverse effect of certain actual or potential claims, regulatory actions or proceedings on our businesses, results of operations, financial condition or liquidity;</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•Uncertainty in our business practices and compensation arrangements with insurance carriers due to potential changes in regulations;</w:t>
      </w:r>
    </w:p>
    <w:p>
      <w:pPr>
        <w:spacing w:after="0" w:line="92" w:lineRule="exact"/>
        <w:rPr>
          <w:sz w:val="20"/>
          <w:szCs w:val="20"/>
          <w:color w:val="auto"/>
        </w:rPr>
      </w:pPr>
    </w:p>
    <w:p>
      <w:pPr>
        <w:ind w:left="480" w:right="40"/>
        <w:spacing w:after="0" w:line="247" w:lineRule="auto"/>
        <w:rPr>
          <w:sz w:val="20"/>
          <w:szCs w:val="20"/>
          <w:color w:val="auto"/>
        </w:rPr>
      </w:pPr>
      <w:r>
        <w:rPr>
          <w:rFonts w:ascii="Times New Roman" w:cs="Times New Roman" w:eastAsia="Times New Roman" w:hAnsi="Times New Roman"/>
          <w:sz w:val="16"/>
          <w:szCs w:val="16"/>
          <w:color w:val="auto"/>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spacing w:after="0" w:line="68" w:lineRule="exact"/>
        <w:rPr>
          <w:sz w:val="20"/>
          <w:szCs w:val="20"/>
          <w:color w:val="auto"/>
        </w:rPr>
      </w:pPr>
    </w:p>
    <w:p>
      <w:pPr>
        <w:ind w:left="480" w:right="360"/>
        <w:spacing w:after="0" w:line="259" w:lineRule="auto"/>
        <w:rPr>
          <w:sz w:val="20"/>
          <w:szCs w:val="20"/>
          <w:color w:val="auto"/>
        </w:rPr>
      </w:pPr>
      <w:r>
        <w:rPr>
          <w:rFonts w:ascii="Times New Roman" w:cs="Times New Roman" w:eastAsia="Times New Roman" w:hAnsi="Times New Roman"/>
          <w:sz w:val="16"/>
          <w:szCs w:val="16"/>
          <w:color w:val="auto"/>
        </w:rPr>
        <w:t>•Increasing scrutiny and changing laws and expectations from regulators, investors and customers with respect to our environmental, social and governance practices and disclosure;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decrease in demand for liability insurance as a result of tort reform legislation;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failure to comply with any covenants contained in our debt agreements;</w:t>
      </w:r>
    </w:p>
    <w:p>
      <w:pPr>
        <w:spacing w:after="0" w:line="92" w:lineRule="exact"/>
        <w:rPr>
          <w:sz w:val="20"/>
          <w:szCs w:val="20"/>
          <w:color w:val="auto"/>
        </w:rPr>
      </w:pPr>
    </w:p>
    <w:p>
      <w:pPr>
        <w:ind w:left="480" w:right="2040"/>
        <w:spacing w:after="0" w:line="360" w:lineRule="auto"/>
        <w:rPr>
          <w:sz w:val="20"/>
          <w:szCs w:val="20"/>
          <w:color w:val="auto"/>
        </w:rPr>
      </w:pPr>
      <w:r>
        <w:rPr>
          <w:rFonts w:ascii="Times New Roman" w:cs="Times New Roman" w:eastAsia="Times New Roman" w:hAnsi="Times New Roman"/>
          <w:sz w:val="16"/>
          <w:szCs w:val="16"/>
          <w:color w:val="auto"/>
        </w:rPr>
        <w:t>•The possibility that covenants in our debt agreements could prevent us from engaging in certain potentially beneficial activities; •Fluctuations in foreign currency exchange rates;</w:t>
      </w:r>
    </w:p>
    <w:p>
      <w:pPr>
        <w:ind w:left="480"/>
        <w:spacing w:after="0"/>
        <w:rPr>
          <w:sz w:val="20"/>
          <w:szCs w:val="20"/>
          <w:color w:val="auto"/>
        </w:rPr>
      </w:pPr>
      <w:r>
        <w:rPr>
          <w:rFonts w:ascii="Times New Roman" w:cs="Times New Roman" w:eastAsia="Times New Roman" w:hAnsi="Times New Roman"/>
          <w:sz w:val="16"/>
          <w:szCs w:val="16"/>
          <w:color w:val="auto"/>
        </w:rPr>
        <w:t>•A downgrade to our corporate credit rating, the credit ratings of our outstanding debt or other market speculation;</w:t>
      </w:r>
    </w:p>
    <w:p>
      <w:pPr>
        <w:spacing w:after="0" w:line="92" w:lineRule="exact"/>
        <w:rPr>
          <w:sz w:val="20"/>
          <w:szCs w:val="20"/>
          <w:color w:val="auto"/>
        </w:rPr>
      </w:pPr>
    </w:p>
    <w:p>
      <w:pPr>
        <w:ind w:left="480" w:right="2060"/>
        <w:spacing w:after="0" w:line="411" w:lineRule="auto"/>
        <w:rPr>
          <w:sz w:val="20"/>
          <w:szCs w:val="20"/>
          <w:color w:val="auto"/>
        </w:rPr>
      </w:pPr>
      <w:r>
        <w:rPr>
          <w:rFonts w:ascii="Times New Roman" w:cs="Times New Roman" w:eastAsia="Times New Roman" w:hAnsi="Times New Roman"/>
          <w:sz w:val="14"/>
          <w:szCs w:val="14"/>
          <w:color w:val="auto"/>
        </w:rPr>
        <w:t>•Changes in the U.S.-based credit markets that might adversely affect our business, results of operations and financial condition; •Changes in current U.S. or global economic conditions, including an extended slowdown in the markets in which we operate;</w:t>
      </w:r>
    </w:p>
    <w:p>
      <w:pPr>
        <w:spacing w:after="0" w:line="1"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•Disintermediation within the insurance industry, including increased competition from insurance companies, technology companies and the financial services industry, as well as the shift away from traditional insurance markets;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•Conditions that result in reduced insurer capacity;</w:t>
      </w:r>
    </w:p>
    <w:p>
      <w:pPr>
        <w:spacing w:after="0" w:line="92" w:lineRule="exact"/>
        <w:rPr>
          <w:sz w:val="20"/>
          <w:szCs w:val="20"/>
          <w:color w:val="auto"/>
        </w:rPr>
      </w:pPr>
    </w:p>
    <w:p>
      <w:pPr>
        <w:ind w:left="480" w:right="480"/>
        <w:spacing w:after="0" w:line="360" w:lineRule="auto"/>
        <w:rPr>
          <w:sz w:val="20"/>
          <w:szCs w:val="20"/>
          <w:color w:val="auto"/>
        </w:rPr>
      </w:pPr>
      <w:r>
        <w:rPr>
          <w:rFonts w:ascii="Times New Roman" w:cs="Times New Roman" w:eastAsia="Times New Roman" w:hAnsi="Times New Roman"/>
          <w:sz w:val="16"/>
          <w:szCs w:val="16"/>
          <w:color w:val="auto"/>
        </w:rPr>
        <w:t>•Quarterly and annual variations in our commissions that result from the timing of policy renewals and the net effect of new and lost business production; •Intangible asset risk, including the possibility that our goodwill may become impaired in the future; •Changes in our accounting estimates and assumptions;</w:t>
      </w:r>
    </w:p>
    <w:p>
      <w:pPr>
        <w:ind w:left="480"/>
        <w:spacing w:after="0"/>
        <w:rPr>
          <w:sz w:val="20"/>
          <w:szCs w:val="20"/>
          <w:color w:val="auto"/>
        </w:rPr>
      </w:pPr>
      <w:r>
        <w:rPr>
          <w:rFonts w:ascii="Times New Roman" w:cs="Times New Roman" w:eastAsia="Times New Roman" w:hAnsi="Times New Roman"/>
          <w:sz w:val="16"/>
          <w:szCs w:val="16"/>
          <w:color w:val="auto"/>
        </w:rPr>
        <w:t>•Future pandemics, epidemics or outbreaks of infectious diseases, and the resulting governmental and societal responses;</w:t>
      </w:r>
    </w:p>
    <w:p>
      <w:pPr>
        <w:spacing w:after="0" w:line="92" w:lineRule="exact"/>
        <w:rPr>
          <w:sz w:val="20"/>
          <w:szCs w:val="20"/>
          <w:color w:val="auto"/>
        </w:rPr>
      </w:pPr>
    </w:p>
    <w:p>
      <w:pPr>
        <w:ind w:left="480" w:right="80"/>
        <w:spacing w:after="0" w:line="384" w:lineRule="auto"/>
        <w:rPr>
          <w:sz w:val="20"/>
          <w:szCs w:val="20"/>
          <w:color w:val="auto"/>
        </w:rPr>
      </w:pPr>
      <w:r>
        <w:rPr>
          <w:rFonts w:ascii="Times New Roman" w:cs="Times New Roman" w:eastAsia="Times New Roman" w:hAnsi="Times New Roman"/>
          <w:sz w:val="16"/>
          <w:szCs w:val="16"/>
          <w:color w:val="auto"/>
        </w:rPr>
        <w:t>•Other risks and uncertainties as may be detailed from time to time in our public announcements and Securities and Exchange Commission (“SEC”) filings; and •Other factors that the Company may not have currently identified or quantified.</w:t>
      </w:r>
    </w:p>
    <w:p>
      <w:pPr>
        <w:spacing w:after="0" w:line="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 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 Financial Statements (Unaudited)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BROWN &amp; BROWN,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data)</w:t>
            </w:r>
          </w:p>
        </w:tc>
        <w:tc>
          <w:tcPr>
            <w:tcW w:w="120" w:type="dxa"/>
            <w:vAlign w:val="bottom"/>
          </w:tcPr>
          <w:p>
            <w:pPr>
              <w:spacing w:after="0"/>
              <w:rPr>
                <w:sz w:val="18"/>
                <w:szCs w:val="18"/>
                <w:color w:val="auto"/>
              </w:rPr>
            </w:pPr>
          </w:p>
        </w:tc>
        <w:tc>
          <w:tcPr>
            <w:tcW w:w="10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Commissions and fees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1,550</w:t>
            </w:r>
          </w:p>
        </w:tc>
        <w:tc>
          <w:tcPr>
            <w:tcW w:w="3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1,155</w:t>
            </w:r>
          </w:p>
        </w:tc>
        <w:tc>
          <w:tcPr>
            <w:tcW w:w="28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4,183</w:t>
            </w:r>
          </w:p>
        </w:tc>
        <w:tc>
          <w:tcPr>
            <w:tcW w:w="3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3,545</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77</w:t>
            </w:r>
          </w:p>
        </w:tc>
      </w:tr>
      <w:tr>
        <w:trPr>
          <w:trHeight w:val="180"/>
        </w:trPr>
        <w:tc>
          <w:tcPr>
            <w:tcW w:w="20" w:type="dxa"/>
            <w:vAlign w:val="bottom"/>
          </w:tcPr>
          <w:p>
            <w:pPr>
              <w:spacing w:after="0"/>
              <w:rPr>
                <w:sz w:val="15"/>
                <w:szCs w:val="15"/>
                <w:color w:val="auto"/>
              </w:rPr>
            </w:pPr>
          </w:p>
        </w:tc>
        <w:tc>
          <w:tcPr>
            <w:tcW w:w="55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4,295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3,622</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2,116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1,823</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672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499</w:t>
            </w: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131</w:t>
            </w: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147</w:t>
            </w: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55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1,295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3,245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2,594</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1,028</w:t>
            </w: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237</w:t>
            </w: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799</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791</w:t>
            </w: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20" w:type="dxa"/>
            <w:vAlign w:val="bottom"/>
          </w:tcPr>
          <w:p>
            <w:pPr>
              <w:spacing w:after="0"/>
              <w:rPr>
                <w:sz w:val="15"/>
                <w:szCs w:val="15"/>
                <w:color w:val="auto"/>
              </w:rPr>
            </w:pPr>
          </w:p>
        </w:tc>
        <w:tc>
          <w:tcPr>
            <w:tcW w:w="10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income attributable to the Company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28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790</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783</w:t>
            </w:r>
          </w:p>
        </w:tc>
      </w:tr>
      <w:tr>
        <w:trPr>
          <w:trHeight w:val="156"/>
        </w:trPr>
        <w:tc>
          <w:tcPr>
            <w:tcW w:w="20" w:type="dxa"/>
            <w:vAlign w:val="bottom"/>
          </w:tcPr>
          <w:p>
            <w:pPr>
              <w:spacing w:after="0"/>
              <w:rPr>
                <w:sz w:val="13"/>
                <w:szCs w:val="13"/>
                <w:color w:val="auto"/>
              </w:rPr>
            </w:pPr>
          </w:p>
        </w:tc>
        <w:tc>
          <w:tcPr>
            <w:tcW w:w="55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20"/>
        </w:trPr>
        <w:tc>
          <w:tcPr>
            <w:tcW w:w="20" w:type="dxa"/>
            <w:vAlign w:val="bottom"/>
          </w:tcPr>
          <w:p>
            <w:pPr>
              <w:spacing w:after="0"/>
              <w:rPr>
                <w:sz w:val="19"/>
                <w:szCs w:val="19"/>
                <w:color w:val="auto"/>
              </w:rPr>
            </w:pPr>
          </w:p>
        </w:tc>
        <w:tc>
          <w:tcPr>
            <w:tcW w:w="5500" w:type="dxa"/>
            <w:vAlign w:val="bottom"/>
            <w:tcBorders>
              <w:bottom w:val="single" w:sz="8" w:color="CFF0FC"/>
            </w:tcBorders>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0.68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0.82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2.75</w:t>
            </w:r>
          </w:p>
        </w:tc>
      </w:tr>
      <w:tr>
        <w:trPr>
          <w:trHeight w:val="156"/>
        </w:trPr>
        <w:tc>
          <w:tcPr>
            <w:tcW w:w="20" w:type="dxa"/>
            <w:vAlign w:val="bottom"/>
          </w:tcPr>
          <w:p>
            <w:pPr>
              <w:spacing w:after="0"/>
              <w:rPr>
                <w:sz w:val="13"/>
                <w:szCs w:val="13"/>
                <w:color w:val="auto"/>
              </w:rPr>
            </w:pPr>
          </w:p>
        </w:tc>
        <w:tc>
          <w:tcPr>
            <w:tcW w:w="55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0.68</w:t>
            </w:r>
          </w:p>
        </w:tc>
        <w:tc>
          <w:tcPr>
            <w:tcW w:w="360" w:type="dxa"/>
            <w:vAlign w:val="bottom"/>
            <w:gridSpan w:val="2"/>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0.81</w:t>
            </w:r>
          </w:p>
        </w:tc>
        <w:tc>
          <w:tcPr>
            <w:tcW w:w="280" w:type="dxa"/>
            <w:vAlign w:val="bottom"/>
            <w:gridSpan w:val="2"/>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2.57</w:t>
            </w:r>
          </w:p>
        </w:tc>
        <w:tc>
          <w:tcPr>
            <w:tcW w:w="360" w:type="dxa"/>
            <w:vAlign w:val="bottom"/>
            <w:gridSpan w:val="2"/>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2.73</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 w:name="page6"/>
    <w:bookmarkEnd w:id="5"/>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BROWN &amp; BROWN,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Nine months ended September</w:t>
            </w:r>
          </w:p>
        </w:tc>
        <w:tc>
          <w:tcPr>
            <w:tcW w:w="0" w:type="dxa"/>
            <w:vAlign w:val="bottom"/>
          </w:tcPr>
          <w:p>
            <w:pPr>
              <w:spacing w:after="0"/>
              <w:rPr>
                <w:sz w:val="1"/>
                <w:szCs w:val="1"/>
                <w:color w:val="auto"/>
              </w:rPr>
            </w:pPr>
          </w:p>
        </w:tc>
      </w:tr>
      <w:tr>
        <w:trPr>
          <w:trHeight w:val="156"/>
        </w:trPr>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30,</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30,</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2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attributable to the Company</w:t>
            </w:r>
          </w:p>
        </w:tc>
        <w:tc>
          <w:tcPr>
            <w:tcW w:w="176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790</w:t>
            </w:r>
          </w:p>
        </w:tc>
        <w:tc>
          <w:tcPr>
            <w:tcW w:w="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Foreign currency translation (loss)/gain</w:t>
            </w: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Comprehensive income attributable to the Company</w:t>
            </w:r>
          </w:p>
        </w:tc>
        <w:tc>
          <w:tcPr>
            <w:tcW w:w="176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1,099</w:t>
            </w:r>
          </w:p>
        </w:tc>
        <w:tc>
          <w:tcPr>
            <w:tcW w:w="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BROWN &amp; BROWN,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data)</w:t>
            </w:r>
          </w:p>
        </w:tc>
        <w:tc>
          <w:tcPr>
            <w:tcW w:w="120" w:type="dxa"/>
            <w:vAlign w:val="bottom"/>
          </w:tcPr>
          <w:p>
            <w:pPr>
              <w:spacing w:after="0"/>
              <w:rPr>
                <w:sz w:val="14"/>
                <w:szCs w:val="14"/>
                <w:color w:val="auto"/>
              </w:rPr>
            </w:pPr>
          </w:p>
        </w:tc>
        <w:tc>
          <w:tcPr>
            <w:tcW w:w="142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1,190</w:t>
            </w:r>
          </w:p>
        </w:tc>
        <w:tc>
          <w:tcPr>
            <w:tcW w:w="3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Fiduciary cash</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2,271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Commission, fees and other receivables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1,457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Fiduciary receivables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1,348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Reinsurance recoverable</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Prepaid reinsurance premiums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8,143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6,924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Fixed assets, net</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lease assets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14,891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7,970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Amortizable intangible assets, net</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4,952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733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29,354</w:t>
            </w:r>
          </w:p>
        </w:tc>
        <w:tc>
          <w:tcPr>
            <w:tcW w:w="3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17,612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Fiduciary liabilities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3,619</w:t>
            </w:r>
          </w:p>
        </w:tc>
        <w:tc>
          <w:tcPr>
            <w:tcW w:w="3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Losses and loss adjustment reserve</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Unearned premiums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Accrued expenses and other liabilities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840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6,890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 less unamortized discount and debt issuance costs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7,653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2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 net</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857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1,304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80" w:type="dxa"/>
            <w:vAlign w:val="bottom"/>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Common stock, par value $0.10 per share; authorized 560 shares; issued 357 shares and outstanding 337 shares</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at 2025, issued 306</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shares and outstanding 286 shares at 2024, respectively</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6,117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Treasury stock, at cost 20 shares at 2025 and 2024</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income/(loss)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6,781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12,407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6,437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29,354</w:t>
            </w:r>
          </w:p>
        </w:tc>
        <w:tc>
          <w:tcPr>
            <w:tcW w:w="3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BROWN &amp; BROWN, INC.</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 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Non-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data)</w:t>
            </w: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3"/>
                <w:szCs w:val="13"/>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sive Income</w:t>
            </w:r>
          </w:p>
        </w:tc>
        <w:tc>
          <w:tcPr>
            <w:tcW w:w="16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20" w:type="dxa"/>
            <w:vAlign w:val="bottom"/>
            <w:gridSpan w:val="2"/>
            <w:vMerge w:val="continue"/>
          </w:tcPr>
          <w:p>
            <w:pPr>
              <w:spacing w:after="0"/>
              <w:rPr>
                <w:sz w:val="14"/>
                <w:szCs w:val="14"/>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4"/>
                <w:szCs w:val="14"/>
                <w:color w:val="auto"/>
              </w:rPr>
            </w:pPr>
          </w:p>
        </w:tc>
        <w:tc>
          <w:tcPr>
            <w:tcW w:w="72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80" w:type="dxa"/>
            <w:vAlign w:val="bottom"/>
          </w:tcPr>
          <w:p>
            <w:pPr>
              <w:spacing w:after="0"/>
              <w:rPr>
                <w:sz w:val="14"/>
                <w:szCs w:val="14"/>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4"/>
                <w:szCs w:val="14"/>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286</w:t>
            </w:r>
          </w:p>
        </w:tc>
        <w:tc>
          <w:tcPr>
            <w:tcW w:w="5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1,118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6,128</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331</w:t>
            </w:r>
          </w:p>
        </w:tc>
        <w:tc>
          <w:tcPr>
            <w:tcW w:w="180" w:type="dxa"/>
            <w:vAlign w:val="bottom"/>
          </w:tcPr>
          <w:p>
            <w:pPr>
              <w:spacing w:after="0"/>
              <w:rPr>
                <w:sz w:val="13"/>
                <w:szCs w:val="13"/>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 employee stock compensation plans: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incentive plans</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Repurchase shares to fund tax withholdings for non-cash stock-</w:t>
            </w:r>
          </w:p>
        </w:tc>
        <w:tc>
          <w:tcPr>
            <w:tcW w:w="9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based compensation</w:t>
            </w:r>
          </w:p>
        </w:tc>
        <w:tc>
          <w:tcPr>
            <w:tcW w:w="9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(40)</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($0.15 per share)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287</w:t>
            </w:r>
          </w:p>
        </w:tc>
        <w:tc>
          <w:tcPr>
            <w:tcW w:w="5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1,107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6,416</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231</w:t>
            </w:r>
          </w:p>
        </w:tc>
        <w:tc>
          <w:tcPr>
            <w:tcW w:w="180" w:type="dxa"/>
            <w:vAlign w:val="bottom"/>
          </w:tcPr>
          <w:p>
            <w:pPr>
              <w:spacing w:after="0"/>
              <w:rPr>
                <w:sz w:val="13"/>
                <w:szCs w:val="13"/>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247</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 employee stock compensation plans: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incentive plans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issued - public offering</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43</w:t>
            </w: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4,311</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Directors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Repurchase shares to fund tax withholdings for non-cash stock-</w:t>
            </w:r>
          </w:p>
        </w:tc>
        <w:tc>
          <w:tcPr>
            <w:tcW w:w="9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based compensation</w:t>
            </w:r>
          </w:p>
        </w:tc>
        <w:tc>
          <w:tcPr>
            <w:tcW w:w="9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($0.15 per share)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330</w:t>
            </w:r>
          </w:p>
        </w:tc>
        <w:tc>
          <w:tcPr>
            <w:tcW w:w="5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5,441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6,604</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11,617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227</w:t>
            </w:r>
          </w:p>
        </w:tc>
        <w:tc>
          <w:tcPr>
            <w:tcW w:w="180" w:type="dxa"/>
            <w:vAlign w:val="bottom"/>
          </w:tcPr>
          <w:p>
            <w:pPr>
              <w:spacing w:after="0"/>
              <w:rPr>
                <w:sz w:val="13"/>
                <w:szCs w:val="13"/>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74"/>
              <w:spacing w:after="0" w:line="120" w:lineRule="exact"/>
              <w:rPr>
                <w:sz w:val="20"/>
                <w:szCs w:val="20"/>
                <w:color w:val="auto"/>
              </w:rPr>
            </w:pPr>
            <w:r>
              <w:rPr>
                <w:rFonts w:ascii="Times New Roman" w:cs="Times New Roman" w:eastAsia="Times New Roman" w:hAnsi="Times New Roman"/>
                <w:sz w:val="13"/>
                <w:szCs w:val="13"/>
                <w:color w:val="auto"/>
              </w:rPr>
              <w:t>(62</w:t>
            </w: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 employee stock compensation plans: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incentive plans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Acquisitions</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611</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dividends paid ($0.15 per share)</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4"/>
              <w:spacing w:after="0" w:line="216" w:lineRule="exact"/>
              <w:rPr>
                <w:sz w:val="20"/>
                <w:szCs w:val="20"/>
                <w:color w:val="auto"/>
              </w:rPr>
            </w:pPr>
            <w:r>
              <w:rPr>
                <w:rFonts w:ascii="Times New Roman" w:cs="Times New Roman" w:eastAsia="Times New Roman" w:hAnsi="Times New Roman"/>
                <w:sz w:val="13"/>
                <w:szCs w:val="13"/>
                <w:color w:val="auto"/>
              </w:rPr>
              <w:t>(50</w:t>
            </w:r>
            <w:r>
              <w:rPr>
                <w:rFonts w:ascii="Times New Roman" w:cs="Times New Roman" w:eastAsia="Times New Roman" w:hAnsi="Times New Roman"/>
                <w:sz w:val="25"/>
                <w:szCs w:val="25"/>
                <w:color w:val="auto"/>
                <w:vertAlign w:val="superscript"/>
              </w:rPr>
              <w:t>)</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3"/>
                <w:szCs w:val="13"/>
                <w:color w:val="auto"/>
              </w:rPr>
              <w:t>(50</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337</w:t>
            </w: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6,117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6,781</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12,407</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285</w:t>
            </w:r>
          </w:p>
        </w:tc>
        <w:tc>
          <w:tcPr>
            <w:tcW w:w="5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1,027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5,289</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293</w:t>
            </w:r>
          </w:p>
        </w:tc>
        <w:tc>
          <w:tcPr>
            <w:tcW w:w="180" w:type="dxa"/>
            <w:vAlign w:val="bottom"/>
          </w:tcPr>
          <w:p>
            <w:pPr>
              <w:spacing w:after="0"/>
              <w:rPr>
                <w:sz w:val="13"/>
                <w:szCs w:val="13"/>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 employee stock compensation plans: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incentive plans</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non-controlling interest acquired (disposed)</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Repurchase shares to fund tax withholdings for non-cash stock-</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based compensation</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dividends paid ($0.13 per share)</w:t>
            </w: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14"/>
              <w:spacing w:after="0" w:line="252" w:lineRule="exact"/>
              <w:rPr>
                <w:sz w:val="20"/>
                <w:szCs w:val="20"/>
                <w:color w:val="auto"/>
              </w:rPr>
            </w:pPr>
            <w:r>
              <w:rPr>
                <w:rFonts w:ascii="Times New Roman" w:cs="Times New Roman" w:eastAsia="Times New Roman" w:hAnsi="Times New Roman"/>
                <w:sz w:val="13"/>
                <w:szCs w:val="13"/>
                <w:color w:val="auto"/>
              </w:rPr>
              <w:t>(38</w:t>
            </w:r>
            <w:r>
              <w:rPr>
                <w:rFonts w:ascii="Times New Roman" w:cs="Times New Roman" w:eastAsia="Times New Roman" w:hAnsi="Times New Roman"/>
                <w:sz w:val="26"/>
                <w:szCs w:val="26"/>
                <w:color w:val="auto"/>
                <w:vertAlign w:val="superscript"/>
              </w:rPr>
              <w:t>)</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line="252" w:lineRule="exact"/>
              <w:rPr>
                <w:sz w:val="20"/>
                <w:szCs w:val="20"/>
                <w:color w:val="auto"/>
              </w:rPr>
            </w:pPr>
            <w:r>
              <w:rPr>
                <w:rFonts w:ascii="Times New Roman" w:cs="Times New Roman" w:eastAsia="Times New Roman" w:hAnsi="Times New Roman"/>
                <w:sz w:val="13"/>
                <w:szCs w:val="13"/>
                <w:color w:val="auto"/>
              </w:rPr>
              <w:t>(38</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285</w:t>
            </w: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1,003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5,544</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256</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issued - employee stock compensation plans:</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incentive plans</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Directors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dividends paid ($0.13 per share)</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285</w:t>
            </w: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1,027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5,764</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234</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172</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issued - employee stock compensation plans:</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520" w:type="dxa"/>
            <w:vAlign w:val="bottom"/>
          </w:tcPr>
          <w:p>
            <w:pPr>
              <w:spacing w:after="0"/>
              <w:rPr>
                <w:sz w:val="13"/>
                <w:szCs w:val="13"/>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incentive plans</w:t>
            </w:r>
          </w:p>
        </w:tc>
        <w:tc>
          <w:tcPr>
            <w:tcW w:w="9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paid ($0.13 per share)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9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286</w:t>
            </w:r>
          </w:p>
        </w:tc>
        <w:tc>
          <w:tcPr>
            <w:tcW w:w="52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1,095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(748)</w:t>
            </w:r>
          </w:p>
        </w:tc>
        <w:tc>
          <w:tcPr>
            <w:tcW w:w="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5,961</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6,480</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5"/>
        </w:trPr>
        <w:tc>
          <w:tcPr>
            <w:tcW w:w="7200" w:type="dxa"/>
            <w:vAlign w:val="bottom"/>
          </w:tcPr>
          <w:p>
            <w:pPr>
              <w:jc w:val="center"/>
              <w:ind w:left="3302"/>
              <w:spacing w:after="0"/>
              <w:rPr>
                <w:sz w:val="20"/>
                <w:szCs w:val="20"/>
                <w:color w:val="auto"/>
              </w:rPr>
            </w:pPr>
            <w:r>
              <w:rPr>
                <w:rFonts w:ascii="Times New Roman" w:cs="Times New Roman" w:eastAsia="Times New Roman" w:hAnsi="Times New Roman"/>
                <w:sz w:val="16"/>
                <w:szCs w:val="16"/>
                <w:b w:val="1"/>
                <w:bCs w:val="1"/>
                <w:color w:val="auto"/>
                <w:w w:val="97"/>
              </w:rPr>
              <w:t>BROWN &amp; BROWN, INC.</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7700" w:type="dxa"/>
            <w:vAlign w:val="bottom"/>
            <w:gridSpan w:val="3"/>
          </w:tcPr>
          <w:p>
            <w:pPr>
              <w:jc w:val="center"/>
              <w:ind w:left="2782"/>
              <w:spacing w:after="0"/>
              <w:rPr>
                <w:sz w:val="20"/>
                <w:szCs w:val="20"/>
                <w:color w:val="auto"/>
              </w:rPr>
            </w:pPr>
            <w:r>
              <w:rPr>
                <w:rFonts w:ascii="Times New Roman" w:cs="Times New Roman" w:eastAsia="Times New Roman" w:hAnsi="Times New Roman"/>
                <w:sz w:val="16"/>
                <w:szCs w:val="16"/>
                <w:b w:val="1"/>
                <w:bCs w:val="1"/>
                <w:color w:val="auto"/>
                <w:w w:val="97"/>
              </w:rPr>
              <w:t>CONDENSED CONSOLIDATED STATEMENTS OF CASH FLOWS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00" w:type="dxa"/>
            <w:vAlign w:val="bottom"/>
          </w:tcPr>
          <w:p>
            <w:pPr>
              <w:jc w:val="center"/>
              <w:ind w:left="3302"/>
              <w:spacing w:after="0"/>
              <w:rPr>
                <w:sz w:val="20"/>
                <w:szCs w:val="20"/>
                <w:color w:val="auto"/>
              </w:rPr>
            </w:pPr>
            <w:r>
              <w:rPr>
                <w:rFonts w:ascii="Times New Roman" w:cs="Times New Roman" w:eastAsia="Times New Roman" w:hAnsi="Times New Roman"/>
                <w:sz w:val="16"/>
                <w:szCs w:val="16"/>
                <w:b w:val="1"/>
                <w:bCs w:val="1"/>
                <w:color w:val="auto"/>
                <w:w w:val="98"/>
              </w:rPr>
              <w:t>(UNAUDITED)</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7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60" w:type="dxa"/>
            <w:vAlign w:val="bottom"/>
            <w:gridSpan w:val="4"/>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195"/>
        </w:trPr>
        <w:tc>
          <w:tcPr>
            <w:tcW w:w="7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 before non-controlling interests</w:t>
            </w:r>
          </w:p>
        </w:tc>
        <w:tc>
          <w:tcPr>
            <w:tcW w:w="500" w:type="dxa"/>
            <w:vAlign w:val="bottom"/>
            <w:gridSpan w:val="2"/>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799</w:t>
            </w:r>
          </w:p>
        </w:tc>
        <w:tc>
          <w:tcPr>
            <w:tcW w:w="48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Adjustments to reconcile net income before non-controlling interests to net cash provided by operating activities: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Non-cash stock-based compensation</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00"/>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loss/(gain) on sales/disposals of investments, businesses, fixed assets and customer accounts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line="301" w:lineRule="exact"/>
              <w:rPr>
                <w:sz w:val="20"/>
                <w:szCs w:val="20"/>
                <w:color w:val="auto"/>
              </w:rPr>
            </w:pPr>
            <w:r>
              <w:rPr>
                <w:rFonts w:ascii="Times New Roman" w:cs="Times New Roman" w:eastAsia="Times New Roman" w:hAnsi="Times New Roman"/>
                <w:sz w:val="16"/>
                <w:szCs w:val="16"/>
                <w:color w:val="auto"/>
              </w:rPr>
              <w:t>(29</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Payments on acquisition earn-outs in excess of original estimated payables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from acquisitions and divestitures:</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7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Commissions, fees and other receivables (increase) decrease</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Reinsurance recoverable (increase) decrease</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1,190</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Prepaid reinsurance premiums (increase) decrease</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Other assets (increase) decrease</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Losses and loss adjustment reserve increase (decrease)</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Unearned premiums increase (decrease)</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Accounts payable increase (decrease)</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Accrued expenses and other liabilities increase (decrease)</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72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Other liabilities increase (decrease)</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1,006</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Additions to fixed assets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for businesses acquired, net of cash acquired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(7,659)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Proceeds from sales of businesses, fixed assets and customer accounts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investing activities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(7,701)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Fiduciary receivables and liabilities, net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on acquisition earn-outs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Proceeds from long-term debt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4,192</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on long-term debt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debt issuance costs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Borrowings on revolving credit facility</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Payments on revolving credit facility</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net of expenses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4,315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Issuances of common stock for employee stock benefit plans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Repurchase shares to fund tax withholdings for non-cash stock-based compensation</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8"/>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8" w:lineRule="exact"/>
              <w:rPr>
                <w:sz w:val="20"/>
                <w:szCs w:val="20"/>
                <w:color w:val="auto"/>
              </w:rPr>
            </w:pPr>
            <w:r>
              <w:rPr>
                <w:rFonts w:ascii="Times New Roman" w:cs="Times New Roman" w:eastAsia="Times New Roman" w:hAnsi="Times New Roman"/>
                <w:sz w:val="14"/>
                <w:szCs w:val="14"/>
                <w:color w:val="auto"/>
              </w:rPr>
              <w:t>(111</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80"/>
        </w:trPr>
        <w:tc>
          <w:tcPr>
            <w:tcW w:w="7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financing activities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7,851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 inclusive of fiduciary cash</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61"/>
        </w:trPr>
        <w:tc>
          <w:tcPr>
            <w:tcW w:w="7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2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 inclusive of fiduciary cash</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1,222</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inclusive of fiduciary cash at beginning of period</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97"/>
        </w:trPr>
        <w:tc>
          <w:tcPr>
            <w:tcW w:w="7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7200" w:type="dxa"/>
            <w:vAlign w:val="bottom"/>
            <w:tcBorders>
              <w:bottom w:val="single" w:sz="8" w:color="CFF0FC"/>
            </w:tcBorders>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inclusive of fiduciary cash at end of period</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3,724</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ind w:left="680" w:right="80"/>
        <w:spacing w:after="0" w:line="259" w:lineRule="auto"/>
        <w:rPr>
          <w:sz w:val="20"/>
          <w:szCs w:val="20"/>
          <w:color w:val="auto"/>
        </w:rPr>
      </w:pPr>
      <w:r>
        <w:rPr>
          <w:rFonts w:ascii="Times New Roman" w:cs="Times New Roman" w:eastAsia="Times New Roman" w:hAnsi="Times New Roman"/>
          <w:sz w:val="16"/>
          <w:szCs w:val="16"/>
          <w:color w:val="auto"/>
        </w:rPr>
        <w:t>See accompanying Notes to Condensed Consolidated Financial Statements. Refer to Note 10 for the reconciliations of cash and cash equivalents inclusive of fiduciary cash.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 w:name="page10"/>
    <w:bookmarkEnd w:id="9"/>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94"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4"/>
          <w:szCs w:val="14"/>
          <w:color w:val="auto"/>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two reportable segments. The Retail segment provides a broad range of risk management products and services to commercial, public and quasi-public entities, and to professional and individual customers. These products and services include property and casualty insurance and reinsurance, employee benefits, private client services, captive solutions, consulting services and financial and wealth solutions, as well as non-insurance warranty services and products through the Retail segment’s automobile and recreational vehicle dealer services (“F&amp;I”) businesses. The Specialty Distribution segment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These products and services include specialty property and casualty insurance, financial lines, life and health benefits, reinsurance, travel/accident and health insurance, captive administrative services, warranty services and specialty packages of coverages. The wholesale brokerage businesses underwrite and place excess and surplus commercial and personal lines insurance, typically for specialized or hard -to-place types of risks, primarily through a global network of independent agents and brokers, including Brown &amp; Brown retail agents. The specialty business offers solutions across affinity and administrative services, captives, reinsurance, travel/accident, warranty, and life &amp; health.</w:t>
      </w:r>
    </w:p>
    <w:p>
      <w:pPr>
        <w:spacing w:after="0" w:line="239" w:lineRule="exact"/>
        <w:rPr>
          <w:sz w:val="20"/>
          <w:szCs w:val="20"/>
          <w:color w:val="auto"/>
        </w:rPr>
      </w:pPr>
    </w:p>
    <w:p>
      <w:pPr>
        <w:ind w:right="40" w:firstLine="456"/>
        <w:spacing w:after="0" w:line="278" w:lineRule="auto"/>
        <w:rPr>
          <w:sz w:val="20"/>
          <w:szCs w:val="20"/>
          <w:color w:val="auto"/>
        </w:rPr>
      </w:pPr>
      <w:r>
        <w:rPr>
          <w:rFonts w:ascii="Times New Roman" w:cs="Times New Roman" w:eastAsia="Times New Roman" w:hAnsi="Times New Roman"/>
          <w:sz w:val="14"/>
          <w:szCs w:val="14"/>
          <w:color w:val="auto"/>
        </w:rPr>
        <w:t>The Company primarily operates as an agent or broker not assuming underwriting risks. However, we also operate and/or participate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(collectively, the “Captives”). These respective entities are utilized for the purpose of managing SCICs, facilitating additional underwriting capacity, generating incremental revenues and/or participating in underwriting results. The Company also operates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w:t>
      </w:r>
    </w:p>
    <w:p>
      <w:pPr>
        <w:spacing w:after="0" w:line="51" w:lineRule="exact"/>
        <w:rPr>
          <w:sz w:val="20"/>
          <w:szCs w:val="20"/>
          <w:color w:val="auto"/>
        </w:rPr>
      </w:pPr>
    </w:p>
    <w:p>
      <w:pPr>
        <w:ind w:right="80" w:firstLine="456"/>
        <w:spacing w:after="0" w:line="278" w:lineRule="auto"/>
        <w:rPr>
          <w:sz w:val="20"/>
          <w:szCs w:val="20"/>
          <w:color w:val="auto"/>
        </w:rPr>
      </w:pPr>
      <w:r>
        <w:rPr>
          <w:rFonts w:ascii="Times New Roman" w:cs="Times New Roman" w:eastAsia="Times New Roman" w:hAnsi="Times New Roman"/>
          <w:sz w:val="14"/>
          <w:szCs w:val="14"/>
          <w:color w:val="auto"/>
        </w:rPr>
        <w:t>In conjunction with the acquisition of RSC Topco, Inc., (“RSC” or “Accession”) the holding company for Accession Risk Management Group, Inc., in the third quarter of 2025, the Company aligned its business from three to two segments. As a result of the segment reorganization, the Company consolidated its Programs and Wholesale Brokerage segments into a new Specialty Distribution segment. The Company now reports its financial results in the following two reportable segments: Retail and Specialty Distribution. The historical results, discussion and presentation of our business segments as set forth in the accompanying Condensed Consolidated Financial Statements and these Notes reflect the impact of these changes for all periods presented in order to present segment information on a comparable basis. There is no impact on our previously reported consolidated statements of income, balance sheets, statements of cash flows, statements of comprehensive income or statements of shareholders’ equity resulting from these changes. See Note 12 of these Notes to Condensed Consolidated Financial Statements for further information.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Basis of Financial Reporting</w:t>
      </w:r>
    </w:p>
    <w:p>
      <w:pPr>
        <w:spacing w:after="0" w:line="94" w:lineRule="exact"/>
        <w:rPr>
          <w:sz w:val="20"/>
          <w:szCs w:val="20"/>
          <w:color w:val="auto"/>
        </w:rPr>
      </w:pPr>
    </w:p>
    <w:p>
      <w:pPr>
        <w:ind w:right="120" w:firstLine="456"/>
        <w:spacing w:after="0" w:line="239"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generally accepted accounting principles in the United States (“U.S. GAAP”) for interim financial information and with the instructions for Form 10- 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2024.</w:t>
      </w:r>
    </w:p>
    <w:p>
      <w:pPr>
        <w:spacing w:after="0" w:line="77" w:lineRule="exact"/>
        <w:rPr>
          <w:sz w:val="20"/>
          <w:szCs w:val="20"/>
          <w:color w:val="auto"/>
        </w:rPr>
      </w:pPr>
    </w:p>
    <w:p>
      <w:pPr>
        <w:ind w:right="260" w:firstLine="456"/>
        <w:spacing w:after="0" w:line="247" w:lineRule="auto"/>
        <w:rPr>
          <w:sz w:val="20"/>
          <w:szCs w:val="20"/>
          <w:color w:val="auto"/>
        </w:rPr>
      </w:pPr>
      <w:r>
        <w:rPr>
          <w:rFonts w:ascii="Times New Roman" w:cs="Times New Roman" w:eastAsia="Times New Roman" w:hAnsi="Times New Roman"/>
          <w:sz w:val="16"/>
          <w:szCs w:val="16"/>
          <w:color w:val="auto"/>
        </w:rPr>
        <w:t>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94" w:lineRule="exact"/>
        <w:rPr>
          <w:sz w:val="20"/>
          <w:szCs w:val="20"/>
          <w:color w:val="auto"/>
        </w:rPr>
      </w:pPr>
    </w:p>
    <w:p>
      <w:pPr>
        <w:jc w:val="both"/>
        <w:ind w:right="100" w:firstLine="456"/>
        <w:spacing w:after="0" w:line="247"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Statement-Reporting Comprehensive Income- 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2027. Early adoption is permitted. The Company is currently evaluating these new disclosure requirements.</w:t>
      </w:r>
    </w:p>
    <w:p>
      <w:pPr>
        <w:spacing w:after="0" w:line="92" w:lineRule="exact"/>
        <w:rPr>
          <w:sz w:val="20"/>
          <w:szCs w:val="20"/>
          <w:color w:val="auto"/>
        </w:rPr>
      </w:pPr>
    </w:p>
    <w:p>
      <w:pPr>
        <w:ind w:right="200" w:firstLine="456"/>
        <w:spacing w:after="0" w:line="243" w:lineRule="auto"/>
        <w:rPr>
          <w:sz w:val="20"/>
          <w:szCs w:val="20"/>
          <w:color w:val="auto"/>
        </w:rPr>
      </w:pPr>
      <w:r>
        <w:rPr>
          <w:rFonts w:ascii="Times New Roman" w:cs="Times New Roman" w:eastAsia="Times New Roman" w:hAnsi="Times New Roman"/>
          <w:sz w:val="16"/>
          <w:szCs w:val="16"/>
          <w:color w:val="auto"/>
        </w:rPr>
        <w:t>On December 14, 2023, the FASB issued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w:t>
      </w:r>
    </w:p>
    <w:p>
      <w:pPr>
        <w:spacing w:after="0" w:line="94" w:lineRule="exact"/>
        <w:rPr>
          <w:sz w:val="20"/>
          <w:szCs w:val="20"/>
          <w:color w:val="auto"/>
        </w:rPr>
      </w:pPr>
    </w:p>
    <w:p>
      <w:pPr>
        <w:ind w:right="120" w:firstLine="456"/>
        <w:spacing w:after="0" w:line="243" w:lineRule="auto"/>
        <w:rPr>
          <w:sz w:val="20"/>
          <w:szCs w:val="20"/>
          <w:color w:val="auto"/>
        </w:rPr>
      </w:pPr>
      <w:r>
        <w:rPr>
          <w:rFonts w:ascii="Times New Roman" w:cs="Times New Roman" w:eastAsia="Times New Roman" w:hAnsi="Times New Roman"/>
          <w:sz w:val="16"/>
          <w:szCs w:val="16"/>
          <w:color w:val="auto"/>
        </w:rPr>
        <w:t>In November 2023, the FASB issued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The Company adopted ASU 2023-07 for fiscal year ending December 31, 2024, and it has been applied retrospectively to the interim disclosures beginning January 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right="220" w:firstLine="456"/>
        <w:spacing w:after="0" w:line="299"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w:t>
      </w:r>
    </w:p>
    <w:p>
      <w:pPr>
        <w:spacing w:after="0" w:line="34" w:lineRule="exact"/>
        <w:rPr>
          <w:sz w:val="20"/>
          <w:szCs w:val="20"/>
          <w:color w:val="auto"/>
        </w:rPr>
      </w:pPr>
    </w:p>
    <w:p>
      <w:pPr>
        <w:ind w:right="100" w:firstLine="456"/>
        <w:spacing w:after="0" w:line="248" w:lineRule="auto"/>
        <w:rPr>
          <w:sz w:val="20"/>
          <w:szCs w:val="20"/>
          <w:color w:val="auto"/>
        </w:rPr>
      </w:pPr>
      <w:r>
        <w:rPr>
          <w:rFonts w:ascii="Times New Roman" w:cs="Times New Roman" w:eastAsia="Times New Roman" w:hAnsi="Times New Roman"/>
          <w:sz w:val="16"/>
          <w:szCs w:val="16"/>
          <w:color w:val="auto"/>
        </w:rPr>
        <w:t>The OBBBA includes several provisions that impact the timing and magnitude of certain tax deductions, including restoring 100% bonus depreciation for qualifying property, increasing the business interest limitation and the immediate expensing of domestic research and development costs. The Company has applied the provisions of OBBBA to its financial results and position for the three months ended September 30, 2025, and will continue to assess potential impacts to its financial position, results of operations and cash flows as additional guidance from the OBBBA is issued</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Revenues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tables present the revenues disaggregated by revenue source: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Base commissions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623</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1,073</w:t>
            </w: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Fees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supplemental commissions </w:t>
            </w:r>
            <w:r>
              <w:rPr>
                <w:rFonts w:ascii="Times New Roman" w:cs="Times New Roman" w:eastAsia="Times New Roman" w:hAnsi="Times New Roman"/>
                <w:sz w:val="20"/>
                <w:szCs w:val="20"/>
                <w:color w:val="auto"/>
                <w:vertAlign w:val="superscript"/>
              </w:rPr>
              <w:t>(3)</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Profit-sharing contingent commissions </w:t>
            </w:r>
            <w:r>
              <w:rPr>
                <w:rFonts w:ascii="Times New Roman" w:cs="Times New Roman" w:eastAsia="Times New Roman" w:hAnsi="Times New Roman"/>
                <w:sz w:val="20"/>
                <w:szCs w:val="20"/>
                <w:color w:val="auto"/>
                <w:vertAlign w:val="superscript"/>
              </w:rPr>
              <w:t>(4)</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Earned premium </w:t>
            </w:r>
            <w:r>
              <w:rPr>
                <w:rFonts w:ascii="Times New Roman" w:cs="Times New Roman" w:eastAsia="Times New Roman" w:hAnsi="Times New Roman"/>
                <w:sz w:val="20"/>
                <w:szCs w:val="20"/>
                <w:color w:val="auto"/>
                <w:vertAlign w:val="superscript"/>
              </w:rPr>
              <w:t>(5)</w:t>
            </w: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Investment income </w:t>
            </w:r>
            <w:r>
              <w:rPr>
                <w:rFonts w:ascii="Times New Roman" w:cs="Times New Roman" w:eastAsia="Times New Roman" w:hAnsi="Times New Roman"/>
                <w:sz w:val="20"/>
                <w:szCs w:val="20"/>
                <w:color w:val="auto"/>
                <w:vertAlign w:val="superscript"/>
              </w:rPr>
              <w:t>(6)</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w w:val="87"/>
              </w:rPr>
              <w:t>42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income, net </w:t>
            </w:r>
            <w:r>
              <w:rPr>
                <w:rFonts w:ascii="Times New Roman" w:cs="Times New Roman" w:eastAsia="Times New Roman" w:hAnsi="Times New Roman"/>
                <w:sz w:val="20"/>
                <w:szCs w:val="20"/>
                <w:color w:val="auto"/>
                <w:vertAlign w:val="superscript"/>
              </w:rPr>
              <w:t>(7)</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5"/>
                <w:szCs w:val="15"/>
                <w:color w:val="auto"/>
              </w:rPr>
            </w:pPr>
          </w:p>
        </w:tc>
        <w:tc>
          <w:tcPr>
            <w:tcW w:w="4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w w:val="87"/>
              </w:rPr>
              <w:t>42</w:t>
            </w:r>
          </w:p>
        </w:tc>
        <w:tc>
          <w:tcPr>
            <w:tcW w:w="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1,606</w:t>
            </w: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Base commissions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822</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Fees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supplemental commissions </w:t>
            </w:r>
            <w:r>
              <w:rPr>
                <w:rFonts w:ascii="Times New Roman" w:cs="Times New Roman" w:eastAsia="Times New Roman" w:hAnsi="Times New Roman"/>
                <w:sz w:val="20"/>
                <w:szCs w:val="20"/>
                <w:color w:val="auto"/>
                <w:vertAlign w:val="superscript"/>
              </w:rPr>
              <w:t>(3)</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Profit-sharing contingent commissions </w:t>
            </w:r>
            <w:r>
              <w:rPr>
                <w:rFonts w:ascii="Times New Roman" w:cs="Times New Roman" w:eastAsia="Times New Roman" w:hAnsi="Times New Roman"/>
                <w:sz w:val="20"/>
                <w:szCs w:val="20"/>
                <w:color w:val="auto"/>
                <w:vertAlign w:val="superscript"/>
              </w:rPr>
              <w:t>(4)</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Earned premium </w:t>
            </w:r>
            <w:r>
              <w:rPr>
                <w:rFonts w:ascii="Times New Roman" w:cs="Times New Roman" w:eastAsia="Times New Roman" w:hAnsi="Times New Roman"/>
                <w:sz w:val="20"/>
                <w:szCs w:val="20"/>
                <w:color w:val="auto"/>
                <w:vertAlign w:val="superscript"/>
              </w:rPr>
              <w:t>(5)</w:t>
            </w: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Investment income </w:t>
            </w:r>
            <w:r>
              <w:rPr>
                <w:rFonts w:ascii="Times New Roman" w:cs="Times New Roman" w:eastAsia="Times New Roman" w:hAnsi="Times New Roman"/>
                <w:sz w:val="20"/>
                <w:szCs w:val="20"/>
                <w:color w:val="auto"/>
                <w:vertAlign w:val="superscript"/>
              </w:rPr>
              <w:t>(6)</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w w:val="87"/>
              </w:rPr>
              <w:t>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income, net </w:t>
            </w:r>
            <w:r>
              <w:rPr>
                <w:rFonts w:ascii="Times New Roman" w:cs="Times New Roman" w:eastAsia="Times New Roman" w:hAnsi="Times New Roman"/>
                <w:sz w:val="20"/>
                <w:szCs w:val="20"/>
                <w:color w:val="auto"/>
                <w:vertAlign w:val="superscript"/>
              </w:rPr>
              <w:t>(7)</w:t>
            </w: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ind w:left="9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1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120" w:type="dxa"/>
            <w:vAlign w:val="bottom"/>
          </w:tcPr>
          <w:p>
            <w:pPr>
              <w:spacing w:after="0"/>
              <w:rPr>
                <w:sz w:val="15"/>
                <w:szCs w:val="15"/>
                <w:color w:val="auto"/>
              </w:rPr>
            </w:pP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5"/>
                <w:szCs w:val="15"/>
                <w:color w:val="auto"/>
              </w:rPr>
            </w:pPr>
          </w:p>
        </w:tc>
        <w:tc>
          <w:tcPr>
            <w:tcW w:w="4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w w:val="87"/>
              </w:rPr>
              <w:t>21</w:t>
            </w:r>
          </w:p>
        </w:tc>
        <w:tc>
          <w:tcPr>
            <w:tcW w:w="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1,186</w:t>
            </w: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8"/>
        </w:trPr>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4"/>
        </w:trPr>
        <w:tc>
          <w:tcPr>
            <w:tcW w:w="4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1" w:name="page12"/>
    <w:bookmarkEnd w:id="11"/>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4"/>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00" w:type="dxa"/>
            <w:vAlign w:val="bottom"/>
          </w:tcPr>
          <w:p>
            <w:pPr>
              <w:spacing w:after="0"/>
              <w:rPr>
                <w:sz w:val="18"/>
                <w:szCs w:val="18"/>
                <w:color w:val="auto"/>
              </w:rPr>
            </w:pP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18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Base commissions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1,188</w:t>
            </w:r>
          </w:p>
        </w:tc>
        <w:tc>
          <w:tcPr>
            <w:tcW w:w="1260" w:type="dxa"/>
            <w:vAlign w:val="bottom"/>
            <w:gridSpan w:val="2"/>
            <w:shd w:val="clear" w:color="auto" w:fill="CFF0FC"/>
          </w:tcPr>
          <w:p>
            <w:pPr>
              <w:jc w:val="right"/>
              <w:ind w:right="9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2,910</w:t>
            </w: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Fees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878</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supplemental commissions </w:t>
            </w:r>
            <w:r>
              <w:rPr>
                <w:rFonts w:ascii="Times New Roman" w:cs="Times New Roman" w:eastAsia="Times New Roman" w:hAnsi="Times New Roman"/>
                <w:sz w:val="20"/>
                <w:szCs w:val="20"/>
                <w:color w:val="auto"/>
                <w:vertAlign w:val="superscript"/>
              </w:rPr>
              <w:t>(3)</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160</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Profit-sharing contingent commissions </w:t>
            </w:r>
            <w:r>
              <w:rPr>
                <w:rFonts w:ascii="Times New Roman" w:cs="Times New Roman" w:eastAsia="Times New Roman" w:hAnsi="Times New Roman"/>
                <w:sz w:val="20"/>
                <w:szCs w:val="20"/>
                <w:color w:val="auto"/>
                <w:vertAlign w:val="superscript"/>
              </w:rPr>
              <w:t>(4)</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Earned premium </w:t>
            </w:r>
            <w:r>
              <w:rPr>
                <w:rFonts w:ascii="Times New Roman" w:cs="Times New Roman" w:eastAsia="Times New Roman" w:hAnsi="Times New Roman"/>
                <w:sz w:val="20"/>
                <w:szCs w:val="20"/>
                <w:color w:val="auto"/>
                <w:vertAlign w:val="superscript"/>
              </w:rPr>
              <w:t>(5)</w:t>
            </w:r>
          </w:p>
        </w:tc>
        <w:tc>
          <w:tcPr>
            <w:tcW w:w="30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Investment income </w:t>
            </w:r>
            <w:r>
              <w:rPr>
                <w:rFonts w:ascii="Times New Roman" w:cs="Times New Roman" w:eastAsia="Times New Roman" w:hAnsi="Times New Roman"/>
                <w:sz w:val="20"/>
                <w:szCs w:val="20"/>
                <w:color w:val="auto"/>
                <w:vertAlign w:val="superscript"/>
              </w:rPr>
              <w:t>(6)</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income, net </w:t>
            </w:r>
            <w:r>
              <w:rPr>
                <w:rFonts w:ascii="Times New Roman" w:cs="Times New Roman" w:eastAsia="Times New Roman" w:hAnsi="Times New Roman"/>
                <w:sz w:val="20"/>
                <w:szCs w:val="20"/>
                <w:color w:val="auto"/>
                <w:vertAlign w:val="superscript"/>
              </w:rPr>
              <w:t>(7)</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1,731</w:t>
            </w:r>
          </w:p>
        </w:tc>
        <w:tc>
          <w:tcPr>
            <w:tcW w:w="1260" w:type="dxa"/>
            <w:vAlign w:val="bottom"/>
            <w:gridSpan w:val="2"/>
          </w:tcPr>
          <w:p>
            <w:pPr>
              <w:jc w:val="right"/>
              <w:ind w:right="9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4,295</w:t>
            </w: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448"/>
        </w:trPr>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4"/>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00" w:type="dxa"/>
            <w:vAlign w:val="bottom"/>
          </w:tcPr>
          <w:p>
            <w:pPr>
              <w:spacing w:after="0"/>
              <w:rPr>
                <w:sz w:val="18"/>
                <w:szCs w:val="18"/>
                <w:color w:val="auto"/>
              </w:rPr>
            </w:pP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18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Base commissions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1,065</w:t>
            </w:r>
          </w:p>
        </w:tc>
        <w:tc>
          <w:tcPr>
            <w:tcW w:w="1260" w:type="dxa"/>
            <w:vAlign w:val="bottom"/>
            <w:gridSpan w:val="2"/>
            <w:shd w:val="clear" w:color="auto" w:fill="CFF0FC"/>
          </w:tcPr>
          <w:p>
            <w:pPr>
              <w:jc w:val="right"/>
              <w:ind w:right="9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2,505</w:t>
            </w: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Fees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716</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supplemental commissions </w:t>
            </w:r>
            <w:r>
              <w:rPr>
                <w:rFonts w:ascii="Times New Roman" w:cs="Times New Roman" w:eastAsia="Times New Roman" w:hAnsi="Times New Roman"/>
                <w:sz w:val="20"/>
                <w:szCs w:val="20"/>
                <w:color w:val="auto"/>
                <w:vertAlign w:val="superscript"/>
              </w:rPr>
              <w:t>(3)</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Profit-sharing contingent commissions </w:t>
            </w:r>
            <w:r>
              <w:rPr>
                <w:rFonts w:ascii="Times New Roman" w:cs="Times New Roman" w:eastAsia="Times New Roman" w:hAnsi="Times New Roman"/>
                <w:sz w:val="20"/>
                <w:szCs w:val="20"/>
                <w:color w:val="auto"/>
                <w:vertAlign w:val="superscript"/>
              </w:rPr>
              <w:t>(4)</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Earned premium </w:t>
            </w:r>
            <w:r>
              <w:rPr>
                <w:rFonts w:ascii="Times New Roman" w:cs="Times New Roman" w:eastAsia="Times New Roman" w:hAnsi="Times New Roman"/>
                <w:sz w:val="20"/>
                <w:szCs w:val="20"/>
                <w:color w:val="auto"/>
                <w:vertAlign w:val="superscript"/>
              </w:rPr>
              <w:t>(5)</w:t>
            </w:r>
          </w:p>
        </w:tc>
        <w:tc>
          <w:tcPr>
            <w:tcW w:w="30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Investment income </w:t>
            </w:r>
            <w:r>
              <w:rPr>
                <w:rFonts w:ascii="Times New Roman" w:cs="Times New Roman" w:eastAsia="Times New Roman" w:hAnsi="Times New Roman"/>
                <w:sz w:val="20"/>
                <w:szCs w:val="20"/>
                <w:color w:val="auto"/>
                <w:vertAlign w:val="superscript"/>
              </w:rPr>
              <w:t>(6)</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5"/>
                <w:szCs w:val="15"/>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income, net </w:t>
            </w:r>
            <w:r>
              <w:rPr>
                <w:rFonts w:ascii="Times New Roman" w:cs="Times New Roman" w:eastAsia="Times New Roman" w:hAnsi="Times New Roman"/>
                <w:sz w:val="20"/>
                <w:szCs w:val="20"/>
                <w:color w:val="auto"/>
                <w:vertAlign w:val="superscript"/>
              </w:rPr>
              <w:t>(7)</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5"/>
                <w:szCs w:val="15"/>
                <w:color w:val="auto"/>
              </w:rPr>
            </w:pPr>
          </w:p>
        </w:tc>
      </w:tr>
      <w:tr>
        <w:trPr>
          <w:trHeight w:val="180"/>
        </w:trPr>
        <w:tc>
          <w:tcPr>
            <w:tcW w:w="41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5"/>
                <w:szCs w:val="15"/>
                <w:color w:val="auto"/>
              </w:rPr>
            </w:pP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1,482</w:t>
            </w:r>
          </w:p>
        </w:tc>
        <w:tc>
          <w:tcPr>
            <w:tcW w:w="1260" w:type="dxa"/>
            <w:vAlign w:val="bottom"/>
            <w:gridSpan w:val="2"/>
          </w:tcPr>
          <w:p>
            <w:pPr>
              <w:jc w:val="right"/>
              <w:ind w:right="9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3,622</w:t>
            </w: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6"/>
          <w:szCs w:val="16"/>
          <w:color w:val="auto"/>
        </w:rPr>
        <w:t>(1)Base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spacing w:after="0" w:line="2" w:lineRule="exact"/>
        <w:rPr>
          <w:sz w:val="20"/>
          <w:szCs w:val="20"/>
          <w:color w:val="auto"/>
        </w:rPr>
      </w:pPr>
    </w:p>
    <w:p>
      <w:pPr>
        <w:ind w:right="440"/>
        <w:spacing w:after="0" w:line="234" w:lineRule="auto"/>
        <w:rPr>
          <w:sz w:val="20"/>
          <w:szCs w:val="20"/>
          <w:color w:val="auto"/>
        </w:rPr>
      </w:pPr>
      <w:r>
        <w:rPr>
          <w:rFonts w:ascii="Times New Roman" w:cs="Times New Roman" w:eastAsia="Times New Roman" w:hAnsi="Times New Roman"/>
          <w:sz w:val="16"/>
          <w:szCs w:val="16"/>
          <w:color w:val="auto"/>
        </w:rPr>
        <w:t>(2)Fee revenues relate to fees for services other than securing coverage for our customers, including fees negotiated in lieu of commissions, and F&amp;I products and services.</w:t>
      </w:r>
    </w:p>
    <w:p>
      <w:pPr>
        <w:spacing w:after="0" w:line="1" w:lineRule="exact"/>
        <w:rPr>
          <w:sz w:val="20"/>
          <w:szCs w:val="20"/>
          <w:color w:val="auto"/>
        </w:rPr>
      </w:pPr>
    </w:p>
    <w:p>
      <w:pPr>
        <w:ind w:right="560"/>
        <w:spacing w:after="0" w:line="234" w:lineRule="auto"/>
        <w:rPr>
          <w:sz w:val="20"/>
          <w:szCs w:val="20"/>
          <w:color w:val="auto"/>
        </w:rPr>
      </w:pPr>
      <w:r>
        <w:rPr>
          <w:rFonts w:ascii="Times New Roman" w:cs="Times New Roman" w:eastAsia="Times New Roman" w:hAnsi="Times New Roman"/>
          <w:sz w:val="16"/>
          <w:szCs w:val="16"/>
          <w:color w:val="auto"/>
        </w:rPr>
        <w:t>(3)Other supplemental commissions include additional commissions over base commissions received from insurance carriers based on predetermined growth or production measures. This includes incentive commissions and guaranteed supplemental commissions.</w:t>
      </w:r>
    </w:p>
    <w:p>
      <w:pPr>
        <w:spacing w:after="0" w:line="236" w:lineRule="auto"/>
        <w:rPr>
          <w:sz w:val="20"/>
          <w:szCs w:val="20"/>
          <w:color w:val="auto"/>
        </w:rPr>
      </w:pPr>
      <w:r>
        <w:rPr>
          <w:rFonts w:ascii="Times New Roman" w:cs="Times New Roman" w:eastAsia="Times New Roman" w:hAnsi="Times New Roman"/>
          <w:sz w:val="16"/>
          <w:szCs w:val="16"/>
          <w:color w:val="auto"/>
        </w:rPr>
        <w:t>(4)Profit-sharing contingent commissions are based primarily on underwriting results, but may also reflect considerations for volume, growth and/or retention.</w:t>
      </w:r>
    </w:p>
    <w:p>
      <w:pPr>
        <w:spacing w:after="0" w:line="235" w:lineRule="auto"/>
        <w:rPr>
          <w:sz w:val="20"/>
          <w:szCs w:val="20"/>
          <w:color w:val="auto"/>
        </w:rPr>
      </w:pPr>
      <w:r>
        <w:rPr>
          <w:rFonts w:ascii="Times New Roman" w:cs="Times New Roman" w:eastAsia="Times New Roman" w:hAnsi="Times New Roman"/>
          <w:sz w:val="16"/>
          <w:szCs w:val="16"/>
          <w:color w:val="auto"/>
        </w:rPr>
        <w:t>(5)Earned premium relates to the premiums earned in the Captives.</w:t>
      </w:r>
    </w:p>
    <w:p>
      <w:pPr>
        <w:spacing w:after="0" w:line="235" w:lineRule="auto"/>
        <w:rPr>
          <w:sz w:val="20"/>
          <w:szCs w:val="20"/>
          <w:color w:val="auto"/>
        </w:rPr>
      </w:pPr>
      <w:r>
        <w:rPr>
          <w:rFonts w:ascii="Times New Roman" w:cs="Times New Roman" w:eastAsia="Times New Roman" w:hAnsi="Times New Roman"/>
          <w:sz w:val="16"/>
          <w:szCs w:val="16"/>
          <w:color w:val="auto"/>
        </w:rPr>
        <w:t>(6)Investment income consists primarily of interest on cash and investments.</w:t>
      </w:r>
    </w:p>
    <w:p>
      <w:pPr>
        <w:spacing w:after="0" w:line="235" w:lineRule="auto"/>
        <w:rPr>
          <w:sz w:val="20"/>
          <w:szCs w:val="20"/>
          <w:color w:val="auto"/>
        </w:rPr>
      </w:pPr>
      <w:r>
        <w:rPr>
          <w:rFonts w:ascii="Times New Roman" w:cs="Times New Roman" w:eastAsia="Times New Roman" w:hAnsi="Times New Roman"/>
          <w:sz w:val="16"/>
          <w:szCs w:val="16"/>
          <w:color w:val="auto"/>
        </w:rPr>
        <w:t>(7)Other income consists primarily of other miscellaneous income.</w:t>
      </w:r>
    </w:p>
    <w:p>
      <w:pPr>
        <w:spacing w:after="0"/>
        <w:rPr>
          <w:sz w:val="20"/>
          <w:szCs w:val="20"/>
          <w:color w:val="auto"/>
        </w:rPr>
      </w:pPr>
      <w:r>
        <w:rPr>
          <w:rFonts w:ascii="Times New Roman" w:cs="Times New Roman" w:eastAsia="Times New Roman" w:hAnsi="Times New Roman"/>
          <w:sz w:val="16"/>
          <w:szCs w:val="16"/>
          <w:color w:val="auto"/>
        </w:rPr>
        <w:t>(8)Fees within Other reflect the elimination of intercompany revenues.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presents the revenues disaggregated by geographic area where our services are being performed: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00" w:type="dxa"/>
            <w:vAlign w:val="bottom"/>
          </w:tcPr>
          <w:p>
            <w:pPr>
              <w:spacing w:after="0"/>
              <w:rPr>
                <w:sz w:val="13"/>
                <w:szCs w:val="13"/>
                <w:color w:val="auto"/>
              </w:rPr>
            </w:pPr>
          </w:p>
        </w:tc>
        <w:tc>
          <w:tcPr>
            <w:tcW w:w="3040" w:type="dxa"/>
            <w:vAlign w:val="bottom"/>
            <w:gridSpan w:val="6"/>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00" w:type="dxa"/>
            <w:vAlign w:val="bottom"/>
          </w:tcPr>
          <w:p>
            <w:pPr>
              <w:spacing w:after="0"/>
              <w:rPr>
                <w:sz w:val="13"/>
                <w:szCs w:val="13"/>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1,410</w:t>
            </w:r>
          </w:p>
        </w:tc>
        <w:tc>
          <w:tcPr>
            <w:tcW w:w="4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1,031</w:t>
            </w: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3,657</w:t>
            </w:r>
          </w:p>
        </w:tc>
        <w:tc>
          <w:tcPr>
            <w:tcW w:w="3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U.K.</w:t>
            </w: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1,606</w:t>
            </w:r>
          </w:p>
        </w:tc>
        <w:tc>
          <w:tcPr>
            <w:tcW w:w="4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1,186</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4,295</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 w:name="page13"/>
    <w:bookmarkEnd w:id="12"/>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Assets and Liabilities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balances of contract assets and contract liabilities arising from contracts with customers as of September 30, 2025 and December 31, 2024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180" w:type="dxa"/>
            <w:vAlign w:val="bottom"/>
          </w:tcPr>
          <w:p>
            <w:pPr>
              <w:spacing w:after="0"/>
              <w:rPr>
                <w:sz w:val="14"/>
                <w:szCs w:val="14"/>
                <w:color w:val="auto"/>
              </w:rPr>
            </w:pPr>
          </w:p>
        </w:tc>
        <w:tc>
          <w:tcPr>
            <w:tcW w:w="148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80" w:type="dxa"/>
            <w:vAlign w:val="bottom"/>
          </w:tcPr>
          <w:p>
            <w:pPr>
              <w:spacing w:after="0"/>
              <w:rPr>
                <w:sz w:val="14"/>
                <w:szCs w:val="14"/>
                <w:color w:val="auto"/>
              </w:rPr>
            </w:pPr>
          </w:p>
        </w:tc>
        <w:tc>
          <w:tcPr>
            <w:tcW w:w="140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Contract assets</w:t>
            </w:r>
          </w:p>
        </w:tc>
        <w:tc>
          <w:tcPr>
            <w:tcW w:w="3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881</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575</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119</w:t>
            </w:r>
          </w:p>
        </w:tc>
      </w:tr>
    </w:tbl>
    <w:p>
      <w:pPr>
        <w:spacing w:after="0" w:line="60" w:lineRule="exact"/>
        <w:rPr>
          <w:sz w:val="20"/>
          <w:szCs w:val="20"/>
          <w:color w:val="auto"/>
        </w:rPr>
      </w:pPr>
    </w:p>
    <w:p>
      <w:pPr>
        <w:ind w:right="60" w:firstLine="456"/>
        <w:spacing w:after="0" w:line="243" w:lineRule="auto"/>
        <w:rPr>
          <w:sz w:val="20"/>
          <w:szCs w:val="20"/>
          <w:color w:val="auto"/>
        </w:rPr>
      </w:pPr>
      <w:r>
        <w:rPr>
          <w:rFonts w:ascii="Times New Roman" w:cs="Times New Roman" w:eastAsia="Times New Roman" w:hAnsi="Times New Roman"/>
          <w:sz w:val="16"/>
          <w:szCs w:val="16"/>
          <w:color w:val="auto"/>
        </w:rPr>
        <w:t>Unbilled receivables (contract assets) arise when the Company recognizes revenue for amounts which have not yet been billed in the Company's systems and are reflected in commissions, fees and other receivables in the Company's Condensed Consolidated Balance Sheets. Businesses acquired in the current year accounted for $219 million of the increase in contract assets over the balance as of December 31, 2024, with the remaining increase due to normal seasonality and growth in the business.</w:t>
      </w:r>
    </w:p>
    <w:p>
      <w:pPr>
        <w:spacing w:after="0" w:line="71" w:lineRule="exact"/>
        <w:rPr>
          <w:sz w:val="20"/>
          <w:szCs w:val="20"/>
          <w:color w:val="auto"/>
        </w:rPr>
      </w:pPr>
    </w:p>
    <w:p>
      <w:pPr>
        <w:ind w:right="120" w:firstLine="456"/>
        <w:spacing w:after="0" w:line="243" w:lineRule="auto"/>
        <w:rPr>
          <w:sz w:val="20"/>
          <w:szCs w:val="20"/>
          <w:color w:val="auto"/>
        </w:rPr>
      </w:pPr>
      <w:r>
        <w:rPr>
          <w:rFonts w:ascii="Times New Roman" w:cs="Times New Roman" w:eastAsia="Times New Roman" w:hAnsi="Times New Roman"/>
          <w:sz w:val="16"/>
          <w:szCs w:val="16"/>
          <w:color w:val="auto"/>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 Businesses acquired in the current year accounted for $50 million of the increase in contract liabilities over the balance as of December 31, 2024.</w:t>
      </w:r>
    </w:p>
    <w:p>
      <w:pPr>
        <w:spacing w:after="0" w:line="71" w:lineRule="exact"/>
        <w:rPr>
          <w:sz w:val="20"/>
          <w:szCs w:val="20"/>
          <w:color w:val="auto"/>
        </w:rPr>
      </w:pPr>
    </w:p>
    <w:p>
      <w:pPr>
        <w:ind w:right="400" w:firstLine="456"/>
        <w:spacing w:after="0" w:line="247" w:lineRule="auto"/>
        <w:rPr>
          <w:sz w:val="20"/>
          <w:szCs w:val="20"/>
          <w:color w:val="auto"/>
        </w:rPr>
      </w:pPr>
      <w:r>
        <w:rPr>
          <w:rFonts w:ascii="Times New Roman" w:cs="Times New Roman" w:eastAsia="Times New Roman" w:hAnsi="Times New Roman"/>
          <w:sz w:val="16"/>
          <w:szCs w:val="16"/>
          <w:color w:val="auto"/>
        </w:rPr>
        <w:t>As of September 30, 2025, deferred revenue totaled $167 million and consisted of $124 million and $42 million classified as short term and long term, respectively. As of December 31, 2024, deferred revenue totaled $119 million and consisted of $80 million and $39 million classified as short term and long term, respectively.</w:t>
      </w:r>
    </w:p>
    <w:p>
      <w:pPr>
        <w:spacing w:after="0" w:line="68" w:lineRule="exact"/>
        <w:rPr>
          <w:sz w:val="20"/>
          <w:szCs w:val="20"/>
          <w:color w:val="auto"/>
        </w:rPr>
      </w:pPr>
    </w:p>
    <w:p>
      <w:pPr>
        <w:ind w:right="280" w:firstLine="456"/>
        <w:spacing w:after="0" w:line="331" w:lineRule="auto"/>
        <w:rPr>
          <w:sz w:val="20"/>
          <w:szCs w:val="20"/>
          <w:color w:val="auto"/>
        </w:rPr>
      </w:pPr>
      <w:r>
        <w:rPr>
          <w:rFonts w:ascii="Times New Roman" w:cs="Times New Roman" w:eastAsia="Times New Roman" w:hAnsi="Times New Roman"/>
          <w:sz w:val="14"/>
          <w:szCs w:val="14"/>
          <w:color w:val="auto"/>
        </w:rPr>
        <w:t>During the nine months ended September 30, 2025 and 2024, the net amount of revenue recognized related to performance obligations satisfied in a previous period was $24 million and $17 million, consisting of additional variable consideration received on our incentive and profit-sharing contingent commissions.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Assets and Deferred Cost</w:t>
      </w:r>
    </w:p>
    <w:p>
      <w:pPr>
        <w:spacing w:after="0" w:line="94" w:lineRule="exact"/>
        <w:rPr>
          <w:sz w:val="20"/>
          <w:szCs w:val="20"/>
          <w:color w:val="auto"/>
        </w:rPr>
      </w:pPr>
    </w:p>
    <w:p>
      <w:pPr>
        <w:ind w:right="20" w:firstLine="456"/>
        <w:spacing w:after="0" w:line="239" w:lineRule="auto"/>
        <w:rPr>
          <w:sz w:val="20"/>
          <w:szCs w:val="20"/>
          <w:color w:val="auto"/>
        </w:rPr>
      </w:pPr>
      <w:r>
        <w:rPr>
          <w:rFonts w:ascii="Times New Roman" w:cs="Times New Roman" w:eastAsia="Times New Roman" w:hAnsi="Times New Roman"/>
          <w:sz w:val="16"/>
          <w:szCs w:val="16"/>
          <w:color w:val="auto"/>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$137 million and $119 million as of September 30, 2025 and December 31, 2024, respectively. For the nine months ended September 30, 2025, the Company deferred $26 million of incremental cost to obtain customer contracts. The Company recorded expense of $8 million associated with the incremental cost to obtain customer contracts for the nine months ended September 30, 2025.</w:t>
      </w:r>
    </w:p>
    <w:p>
      <w:pPr>
        <w:spacing w:after="0" w:line="77"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4"/>
          <w:szCs w:val="14"/>
          <w:color w:val="auto"/>
        </w:rPr>
        <w:t>Cost to fulfill - The Company defers certain costs to fulfill contracts and recognizes these costs as the associated performance obligations are fulfilled. The cost to fulfill balance within the other current assets caption in the Company's Condensed Consolidated Balance Sheets was $ 193 million as of September 30, 2025, which is inclusive of deferrals from businesses acquired in the current year of $57 million. The cost to fulfill balance was $145 million as of December 31, 2024. For the nine months ended September 30, 2025, the Company had net expense of $13 million related to the release of previously deferred contract fulfillment costs associated with performance obligations that were satisfied in the period, net of current year deferrals for costs incurred that related to performance obligations yet to be fulfilled.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NOTE 4 Net Income Per Share</w:t>
      </w:r>
    </w:p>
    <w:p>
      <w:pPr>
        <w:spacing w:after="0" w:line="94" w:lineRule="exact"/>
        <w:rPr>
          <w:sz w:val="20"/>
          <w:szCs w:val="20"/>
          <w:color w:val="auto"/>
        </w:rPr>
      </w:pPr>
    </w:p>
    <w:p>
      <w:pPr>
        <w:ind w:right="240" w:firstLine="468"/>
        <w:spacing w:after="0" w:line="241" w:lineRule="auto"/>
        <w:rPr>
          <w:sz w:val="20"/>
          <w:szCs w:val="20"/>
          <w:color w:val="auto"/>
        </w:rPr>
      </w:pPr>
      <w:r>
        <w:rPr>
          <w:rFonts w:ascii="Times New Roman" w:cs="Times New Roman" w:eastAsia="Times New Roman" w:hAnsi="Times New Roman"/>
          <w:sz w:val="16"/>
          <w:szCs w:val="16"/>
          <w:color w:val="auto"/>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As of September 30, 2025, approximately 4.5 million shares were excluded from the diluted net income per share calculation as they would be anti-dilutive. The following is a reconciliation between basic and diluted weighted average shares outstanding: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data)</w:t>
            </w:r>
          </w:p>
        </w:tc>
        <w:tc>
          <w:tcPr>
            <w:tcW w:w="120" w:type="dxa"/>
            <w:vAlign w:val="bottom"/>
          </w:tcPr>
          <w:p>
            <w:pPr>
              <w:spacing w:after="0"/>
              <w:rPr>
                <w:sz w:val="13"/>
                <w:szCs w:val="13"/>
                <w:color w:val="auto"/>
              </w:rPr>
            </w:pPr>
          </w:p>
        </w:tc>
        <w:tc>
          <w:tcPr>
            <w:tcW w:w="2320" w:type="dxa"/>
            <w:vAlign w:val="bottom"/>
            <w:gridSpan w:val="4"/>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4"/>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5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attributable to the Company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227</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28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790</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income attributable to unvested awarded performance stock</w:t>
            </w: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attributable to common shares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231</w:t>
            </w:r>
          </w:p>
        </w:tc>
        <w:tc>
          <w:tcPr>
            <w:tcW w:w="28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782</w:t>
            </w:r>
          </w:p>
        </w:tc>
        <w:tc>
          <w:tcPr>
            <w:tcW w:w="3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305</w:t>
            </w:r>
          </w:p>
        </w:tc>
        <w:tc>
          <w:tcPr>
            <w:tcW w:w="1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Less unvested awarded performance stock included in weighted</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ind w:left="80"/>
              <w:spacing w:after="0" w:line="167" w:lineRule="exact"/>
              <w:rPr>
                <w:sz w:val="20"/>
                <w:szCs w:val="20"/>
                <w:color w:val="auto"/>
              </w:rPr>
            </w:pPr>
            <w:r>
              <w:rPr>
                <w:rFonts w:ascii="Times New Roman" w:cs="Times New Roman" w:eastAsia="Times New Roman" w:hAnsi="Times New Roman"/>
                <w:sz w:val="16"/>
                <w:szCs w:val="16"/>
                <w:color w:val="auto"/>
              </w:rPr>
              <w:t>Weighted average number of common shares outstanding for basic</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2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Dilutive effect of potentially issuable common shares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shares outstanding – diluted</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0.68</w:t>
            </w:r>
          </w:p>
        </w:tc>
        <w:tc>
          <w:tcPr>
            <w:tcW w:w="3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0.82</w:t>
            </w:r>
          </w:p>
        </w:tc>
        <w:tc>
          <w:tcPr>
            <w:tcW w:w="28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2.59</w:t>
            </w:r>
          </w:p>
        </w:tc>
        <w:tc>
          <w:tcPr>
            <w:tcW w:w="36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CFF0FC"/>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0.68</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0.81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ind w:right="24"/>
              <w:spacing w:after="0" w:line="156" w:lineRule="exact"/>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ind w:right="23"/>
              <w:spacing w:after="0" w:line="156" w:lineRule="exact"/>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Business Combinations</w:t>
      </w:r>
    </w:p>
    <w:p>
      <w:pPr>
        <w:spacing w:after="0" w:line="94"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During the nine months ended September 30, 2025, Brown &amp; Brown acquired all of the stock of 13 insurance intermediaries, purchased assets and assumed certain liabilities of 16 insurance intermediaries, and purchased eight books of business (customer accounts) for a total of 37 acquisitions. Additionally, adjustments were recorded to the purchase price allocation of certain prior acquisitions completed within the last twelve months as permitted by Accounting Standards Codification (“ASC”) Topic 805 — Business Combinations (“ASC 805”).</w:t>
      </w:r>
    </w:p>
    <w:p>
      <w:pPr>
        <w:spacing w:after="0" w:line="71"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spacing w:after="0" w:line="71" w:lineRule="exact"/>
        <w:rPr>
          <w:sz w:val="20"/>
          <w:szCs w:val="20"/>
          <w:color w:val="auto"/>
        </w:rPr>
      </w:pPr>
    </w:p>
    <w:p>
      <w:pPr>
        <w:ind w:right="60" w:firstLine="456"/>
        <w:spacing w:after="0" w:line="239" w:lineRule="auto"/>
        <w:rPr>
          <w:sz w:val="20"/>
          <w:szCs w:val="20"/>
          <w:color w:val="auto"/>
        </w:rPr>
      </w:pPr>
      <w:r>
        <w:rPr>
          <w:rFonts w:ascii="Times New Roman" w:cs="Times New Roman" w:eastAsia="Times New Roman" w:hAnsi="Times New Roman"/>
          <w:sz w:val="16"/>
          <w:szCs w:val="16"/>
          <w:color w:val="auto"/>
        </w:rPr>
        <w:t>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 805. Management often uses independent third -party valuation specialists to assist in finalizing the fair value of assets acquired and liabilities assumed. Fair value adjustments, if any, are most common to the values established for amortizable intangible assets and earnout liabilities, with the offset to goodwill, net of any income tax effect. Provisional estimates were used to initially record the acquisitions of NBS Insurance Agency, Tim Parkman, Inc. and Accession, including for intangible assets, goodwill, customer contract related balances, tax related balances and other asset and liability accounts.</w:t>
      </w:r>
    </w:p>
    <w:p>
      <w:pPr>
        <w:spacing w:after="0" w:line="77" w:lineRule="exact"/>
        <w:rPr>
          <w:sz w:val="20"/>
          <w:szCs w:val="20"/>
          <w:color w:val="auto"/>
        </w:rPr>
      </w:pPr>
    </w:p>
    <w:p>
      <w:pPr>
        <w:ind w:right="40" w:firstLine="456"/>
        <w:spacing w:after="0" w:line="239" w:lineRule="auto"/>
        <w:rPr>
          <w:sz w:val="20"/>
          <w:szCs w:val="20"/>
          <w:color w:val="auto"/>
        </w:rPr>
      </w:pPr>
      <w:r>
        <w:rPr>
          <w:rFonts w:ascii="Times New Roman" w:cs="Times New Roman" w:eastAsia="Times New Roman" w:hAnsi="Times New Roman"/>
          <w:sz w:val="16"/>
          <w:szCs w:val="16"/>
          <w:color w:val="auto"/>
        </w:rPr>
        <w:t>On August 1, 2025, the Company completed the acquisition of RSC, the holding company for Accession Risk Management Group, Inc., a North American insurance distribution platform is composed of specialty insurance and risk management companies, including Risk Strategies, a retail brokerage firm, and One80 Intermediaries, an insurance wholesaler and program manager. The acquisition was completed pursuant to an Agreement and Plan of Merger (the “Merger Agreement”), by and among RSC, the Company, Encore Merger Sub, Inc., a Delaware corporation and wholly owned subsidiary of the Company (“Merger Sub”) and Kelso RSC (Investor), L.P., a Delaware limited partnership, solely in its capacity as the equityholder representative. The aggregate purchase price totaled $9,598 million and included consideration paid at closing of $8,293 million in cash and $612 million in shares of the Company’s common stock, par value $0.10 per share. The acquisition was funded using cash raised from our June 2025 follow-on common stock offering and senior notes issuance.</w:t>
      </w:r>
    </w:p>
    <w:p>
      <w:pPr>
        <w:spacing w:after="0" w:line="98" w:lineRule="exact"/>
        <w:rPr>
          <w:sz w:val="20"/>
          <w:szCs w:val="20"/>
          <w:color w:val="auto"/>
        </w:rPr>
      </w:pPr>
    </w:p>
    <w:p>
      <w:pPr>
        <w:ind w:right="220" w:firstLine="456"/>
        <w:spacing w:after="0" w:line="243" w:lineRule="auto"/>
        <w:rPr>
          <w:sz w:val="20"/>
          <w:szCs w:val="20"/>
          <w:color w:val="auto"/>
        </w:rPr>
      </w:pPr>
      <w:r>
        <w:rPr>
          <w:rFonts w:ascii="Times New Roman" w:cs="Times New Roman" w:eastAsia="Times New Roman" w:hAnsi="Times New Roman"/>
          <w:sz w:val="16"/>
          <w:szCs w:val="16"/>
          <w:color w:val="auto"/>
        </w:rPr>
        <w:t>The Merger Agreement provided for escrowed consideration of $750 million in the form of $250 million of cash and $500 million in shares of the Company’s common stock. Both the cash and shares are held in an escrow account. Escrowed shares, which were issued at closing of the acquisition, totaled approximately 4.5 million shares. The number of shares was determined using an agreed upon share price of $110.57 and $500 million of consideration, as detailed in the Merger Agreement. The total number of shares will not increase in the future.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 w:name="page15"/>
    <w:bookmarkEnd w:id="14"/>
    <w:p>
      <w:pPr>
        <w:ind w:right="20" w:firstLine="456"/>
        <w:spacing w:after="0" w:line="243" w:lineRule="auto"/>
        <w:rPr>
          <w:sz w:val="20"/>
          <w:szCs w:val="20"/>
          <w:color w:val="auto"/>
        </w:rPr>
      </w:pPr>
      <w:r>
        <w:rPr>
          <w:rFonts w:ascii="Times New Roman" w:cs="Times New Roman" w:eastAsia="Times New Roman" w:hAnsi="Times New Roman"/>
          <w:sz w:val="16"/>
          <w:szCs w:val="16"/>
          <w:color w:val="auto"/>
        </w:rPr>
        <w:t>Once all claims related to certain indemnification matters described in the Merger Agreement are resolved, the remaining amount in the escrow account will be released to the equityholders. The amount of the cash balance will change over time based on payment of any indemnification obligations of the equityholders associated with the discontinued businesses, as well as dividends paid on the shares and interest income earned on the cash. The Company believes this escrow, plus other available funds, is sufficient to cover any potential costs associated with those specified matters subject to indemnification under the Merger Agreement.</w:t>
      </w:r>
    </w:p>
    <w:p>
      <w:pPr>
        <w:spacing w:after="0" w:line="71"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16"/>
          <w:szCs w:val="16"/>
          <w:color w:val="auto"/>
        </w:rPr>
        <w:t>The value of the shares and cash in the escrow account are presented within long-term liabilities (other liabilities), and the restricted cash is presented within other assets in the Company's Condensed Consolidated Balance Sheets. The value of the shares placed in escrow change as the share price of the Company increases or decreases as compared to the value at the start of the applicable reporting period. On August 1, 2025, the closing date of the Accession acquisition, each share was valued at $92.00 using our opening share price, for a total amount of $406 million. In accordance with ASC Topic 480 — Distinguishing Liabilities from Equity and ASC Topic 815 — Derivatives and Hedging, periodic share value changes will be recorded as a mark-to-market of the escrow liability in the Company's Condensed Consolidated Statements of Income. This mark-to-market adjustment is non-cash.</w:t>
      </w:r>
    </w:p>
    <w:p>
      <w:pPr>
        <w:spacing w:after="0" w:line="101" w:lineRule="exact"/>
        <w:rPr>
          <w:sz w:val="20"/>
          <w:szCs w:val="20"/>
          <w:color w:val="auto"/>
        </w:rPr>
      </w:pPr>
    </w:p>
    <w:p>
      <w:pPr>
        <w:jc w:val="both"/>
        <w:ind w:right="240" w:firstLine="456"/>
        <w:spacing w:after="0" w:line="247" w:lineRule="auto"/>
        <w:rPr>
          <w:sz w:val="20"/>
          <w:szCs w:val="20"/>
          <w:color w:val="auto"/>
        </w:rPr>
      </w:pPr>
      <w:r>
        <w:rPr>
          <w:rFonts w:ascii="Times New Roman" w:cs="Times New Roman" w:eastAsia="Times New Roman" w:hAnsi="Times New Roman"/>
          <w:sz w:val="16"/>
          <w:szCs w:val="16"/>
          <w:color w:val="auto"/>
        </w:rPr>
        <w:t>As of September 30, 2025, the total balance of the escrow liability was $676 million, with $414 million in escrowed shares and $ 263 million in cash. The fair value of the shares held in escrow were re-evaluated and measured at fair value on a recurring basis using unobservable inputs (Level 3) as defined in ASC 820 - Fair Value Measurement. The change in fair value of the shares during the three months ended September 30, 2025, was $8 million.</w:t>
      </w:r>
    </w:p>
    <w:p>
      <w:pPr>
        <w:spacing w:after="0" w:line="92"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estimated fair values of the aggregate assets and liabilities acquired through the nine months ended September 30, 2025 as of the date of each acquisition and adjustments made during the measurement period of the prior year acquisitions.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Accession Risk</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NBS Insurance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Tim Parkman,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 xml:space="preserve">Other </w:t>
            </w:r>
            <w:r>
              <w:rPr>
                <w:rFonts w:ascii="Times New Roman" w:cs="Times New Roman" w:eastAsia="Times New Roman" w:hAnsi="Times New Roman"/>
                <w:sz w:val="16"/>
                <w:szCs w:val="16"/>
                <w:b w:val="1"/>
                <w:bCs w:val="1"/>
                <w:color w:val="auto"/>
                <w:w w:val="93"/>
                <w:vertAlign w:val="superscript"/>
              </w:rPr>
              <w:t>(1)</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Agency</w:t>
            </w:r>
          </w:p>
        </w:tc>
        <w:tc>
          <w:tcPr>
            <w:tcW w:w="100" w:type="dxa"/>
            <w:vAlign w:val="bottom"/>
          </w:tcPr>
          <w:p>
            <w:pPr>
              <w:spacing w:after="0"/>
              <w:rPr>
                <w:sz w:val="13"/>
                <w:szCs w:val="13"/>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Group</w:t>
            </w: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Retail &amp;</w:t>
            </w:r>
          </w:p>
        </w:tc>
        <w:tc>
          <w:tcPr>
            <w:tcW w:w="1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Retail &amp;</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Specialty</w:t>
            </w:r>
          </w:p>
        </w:tc>
        <w:tc>
          <w:tcPr>
            <w:tcW w:w="100" w:type="dxa"/>
            <w:vAlign w:val="bottom"/>
          </w:tcPr>
          <w:p>
            <w:pPr>
              <w:spacing w:after="0"/>
              <w:rPr>
                <w:sz w:val="13"/>
                <w:szCs w:val="13"/>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Specialty</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Specialty</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Specialty</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Business Segment</w:t>
            </w:r>
          </w:p>
        </w:tc>
        <w:tc>
          <w:tcPr>
            <w:tcW w:w="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0" w:type="dxa"/>
            <w:vAlign w:val="bottom"/>
          </w:tcPr>
          <w:p>
            <w:pPr>
              <w:spacing w:after="0"/>
              <w:rPr>
                <w:sz w:val="13"/>
                <w:szCs w:val="13"/>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Effective date of acquisition</w:t>
            </w: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March 1, 2025</w:t>
            </w:r>
          </w:p>
        </w:tc>
        <w:tc>
          <w:tcPr>
            <w:tcW w:w="10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May 1, 2025</w:t>
            </w:r>
          </w:p>
        </w:tc>
        <w:tc>
          <w:tcPr>
            <w:tcW w:w="22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August 1, 2025</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Various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paid</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8,293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8,514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Common stock issued</w:t>
            </w:r>
          </w:p>
        </w:tc>
        <w:tc>
          <w:tcPr>
            <w:tcW w:w="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payable</w:t>
            </w: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699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Recorded earn-out payable</w:t>
            </w:r>
          </w:p>
        </w:tc>
        <w:tc>
          <w:tcPr>
            <w:tcW w:w="8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4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consideration</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9,598</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9,849</w:t>
            </w:r>
          </w:p>
        </w:tc>
        <w:tc>
          <w:tcPr>
            <w:tcW w:w="0" w:type="dxa"/>
            <w:vAlign w:val="bottom"/>
          </w:tcPr>
          <w:p>
            <w:pPr>
              <w:spacing w:after="0"/>
              <w:rPr>
                <w:sz w:val="1"/>
                <w:szCs w:val="1"/>
                <w:color w:val="auto"/>
              </w:rPr>
            </w:pPr>
          </w:p>
        </w:tc>
      </w:tr>
      <w:tr>
        <w:trPr>
          <w:trHeight w:val="180"/>
        </w:trPr>
        <w:tc>
          <w:tcPr>
            <w:tcW w:w="48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Maximum potential earn-out payable</w:t>
            </w:r>
          </w:p>
        </w:tc>
        <w:tc>
          <w:tcPr>
            <w:tcW w:w="80" w:type="dxa"/>
            <w:vAlign w:val="bottom"/>
          </w:tcPr>
          <w:p>
            <w:pPr>
              <w:spacing w:after="0"/>
              <w:rPr>
                <w:sz w:val="15"/>
                <w:szCs w:val="15"/>
                <w:color w:val="auto"/>
              </w:rPr>
            </w:pPr>
          </w:p>
        </w:tc>
        <w:tc>
          <w:tcPr>
            <w:tcW w:w="11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Allocation of purchase price:</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and equivalents</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Fiduciary cash</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Fiduciary receivables</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2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6,538</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6,703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5"/>
                <w:szCs w:val="15"/>
                <w:color w:val="auto"/>
              </w:rPr>
              <w:t xml:space="preserve">Purchased customer accounts and other intangibles </w:t>
            </w:r>
            <w:r>
              <w:rPr>
                <w:rFonts w:ascii="Times New Roman" w:cs="Times New Roman" w:eastAsia="Times New Roman" w:hAnsi="Times New Roman"/>
                <w:sz w:val="20"/>
                <w:szCs w:val="20"/>
                <w:color w:val="auto"/>
                <w:vertAlign w:val="superscript"/>
              </w:rPr>
              <w:t>(2)</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3,236</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assets acquired</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12,284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12,577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Fiduciary liabilities</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(957)</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Deferred income tax, net</w:t>
            </w:r>
          </w:p>
        </w:tc>
        <w:tc>
          <w:tcPr>
            <w:tcW w:w="8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liabilities assumed</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(2,686)</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assets acquired</w:t>
            </w: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79</w:t>
            </w:r>
          </w:p>
        </w:tc>
        <w:tc>
          <w:tcPr>
            <w:tcW w:w="30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9,598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9,849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40" w:right="280"/>
        <w:spacing w:after="0" w:line="259" w:lineRule="auto"/>
        <w:rPr>
          <w:sz w:val="20"/>
          <w:szCs w:val="20"/>
          <w:color w:val="auto"/>
        </w:rPr>
      </w:pPr>
      <w:r>
        <w:rPr>
          <w:rFonts w:ascii="Times New Roman" w:cs="Times New Roman" w:eastAsia="Times New Roman" w:hAnsi="Times New Roman"/>
          <w:sz w:val="16"/>
          <w:szCs w:val="16"/>
          <w:color w:val="auto"/>
        </w:rPr>
        <w:t>(1)The other column represents a summarization of current year acquisitions with total consideration of less than $50 million per acquisition and adjustments from prior year acquisitions that were made within the permitted measurement period.</w:t>
      </w:r>
    </w:p>
    <w:p>
      <w:pPr>
        <w:spacing w:after="0" w:line="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(2)The weighted average useful life of purchased customer accounts is 14 years.</w:t>
      </w:r>
    </w:p>
    <w:p>
      <w:pPr>
        <w:spacing w:after="0" w:line="92" w:lineRule="exact"/>
        <w:rPr>
          <w:sz w:val="20"/>
          <w:szCs w:val="20"/>
          <w:color w:val="auto"/>
        </w:rPr>
      </w:pPr>
    </w:p>
    <w:p>
      <w:pPr>
        <w:ind w:firstLine="456"/>
        <w:spacing w:after="0" w:line="299" w:lineRule="auto"/>
        <w:rPr>
          <w:sz w:val="20"/>
          <w:szCs w:val="20"/>
          <w:color w:val="auto"/>
        </w:rPr>
      </w:pPr>
      <w:r>
        <w:rPr>
          <w:rFonts w:ascii="Times New Roman" w:cs="Times New Roman" w:eastAsia="Times New Roman" w:hAnsi="Times New Roman"/>
          <w:sz w:val="14"/>
          <w:szCs w:val="14"/>
          <w:color w:val="auto"/>
        </w:rPr>
        <w:t>For the nine months ended September 30, 2025, adjustments were made within the permitted measurement period, which increased total net assets acquired by $5 million and decreased goodwill by $4 million. These measurement-period adjustments have been reflected as current-period adjustments in the nine months ended September 30, 2025 in accordance with the guidance in ASC 805. The measurement-period adjustments had no effect on earnings or cash in the current period.</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the acquisitions completed during 2025, the results of operations since the acquisition dates have been combined with those of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5" w:name="page16"/>
    <w:bookmarkEnd w:id="15"/>
    <w:p>
      <w:pPr>
        <w:ind w:right="440"/>
        <w:spacing w:after="0" w:line="259" w:lineRule="auto"/>
        <w:rPr>
          <w:sz w:val="20"/>
          <w:szCs w:val="20"/>
          <w:color w:val="auto"/>
        </w:rPr>
      </w:pPr>
      <w:r>
        <w:rPr>
          <w:rFonts w:ascii="Times New Roman" w:cs="Times New Roman" w:eastAsia="Times New Roman" w:hAnsi="Times New Roman"/>
          <w:sz w:val="16"/>
          <w:szCs w:val="16"/>
          <w:color w:val="auto"/>
        </w:rPr>
        <w:t>Company. The total revenues and income before income taxes from acquisitions completed through September 30, 2025, included in the Condensed Consolidated Statement of Income for the nine months ended September 30, 2025 were $318 million and $34 million, respectively.</w:t>
      </w:r>
    </w:p>
    <w:p>
      <w:pPr>
        <w:spacing w:after="0" w:line="59" w:lineRule="exact"/>
        <w:rPr>
          <w:sz w:val="20"/>
          <w:szCs w:val="20"/>
          <w:color w:val="auto"/>
        </w:rPr>
      </w:pPr>
    </w:p>
    <w:p>
      <w:pPr>
        <w:ind w:left="20" w:right="20" w:firstLine="456"/>
        <w:spacing w:after="0" w:line="247" w:lineRule="auto"/>
        <w:rPr>
          <w:sz w:val="20"/>
          <w:szCs w:val="20"/>
          <w:color w:val="auto"/>
        </w:rPr>
      </w:pPr>
      <w:r>
        <w:rPr>
          <w:rFonts w:ascii="Times New Roman" w:cs="Times New Roman" w:eastAsia="Times New Roman" w:hAnsi="Times New Roman"/>
          <w:sz w:val="16"/>
          <w:szCs w:val="16"/>
          <w:color w:val="auto"/>
        </w:rPr>
        <w:t>If the Company's 2025 acquisitions had occurred as of the beginning of 2024, the estimated results of operations would be as shown in the following table. These unaudited pro forma results are not necessarily indicative of the actual results of operations that would have occurred had the acquisitions actually been made at the beginning of the respective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w:t>
            </w:r>
          </w:p>
        </w:tc>
        <w:tc>
          <w:tcPr>
            <w:tcW w:w="4280" w:type="dxa"/>
            <w:vAlign w:val="bottom"/>
            <w:gridSpan w:val="4"/>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w:t>
            </w:r>
          </w:p>
        </w:tc>
        <w:tc>
          <w:tcPr>
            <w:tcW w:w="260" w:type="dxa"/>
            <w:vAlign w:val="bottom"/>
          </w:tcPr>
          <w:p>
            <w:pPr>
              <w:spacing w:after="0"/>
              <w:rPr>
                <w:sz w:val="13"/>
                <w:szCs w:val="13"/>
                <w:color w:val="auto"/>
              </w:rPr>
            </w:pPr>
          </w:p>
        </w:tc>
        <w:tc>
          <w:tcPr>
            <w:tcW w:w="2920" w:type="dxa"/>
            <w:vAlign w:val="bottom"/>
            <w:gridSpan w:val="3"/>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r>
      <w:tr>
        <w:trPr>
          <w:trHeight w:val="172"/>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data)</w:t>
            </w:r>
          </w:p>
        </w:tc>
        <w:tc>
          <w:tcPr>
            <w:tcW w:w="214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1300" w:type="dxa"/>
            <w:vAlign w:val="bottom"/>
          </w:tcPr>
          <w:p>
            <w:pPr>
              <w:jc w:val="right"/>
              <w:ind w:right="60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4"/>
                <w:szCs w:val="14"/>
                <w:color w:val="auto"/>
              </w:rPr>
            </w:pPr>
          </w:p>
        </w:tc>
        <w:tc>
          <w:tcPr>
            <w:tcW w:w="118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3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2140" w:type="dxa"/>
            <w:vAlign w:val="bottom"/>
            <w:shd w:val="clear" w:color="auto" w:fill="CFF0FC"/>
          </w:tcPr>
          <w:p>
            <w:pPr>
              <w:jc w:val="right"/>
              <w:ind w:right="7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1,750</w:t>
            </w:r>
          </w:p>
        </w:tc>
        <w:tc>
          <w:tcPr>
            <w:tcW w:w="4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1,636</w:t>
            </w:r>
          </w:p>
        </w:tc>
        <w:tc>
          <w:tcPr>
            <w:tcW w:w="2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5,316</w:t>
            </w:r>
          </w:p>
        </w:tc>
        <w:tc>
          <w:tcPr>
            <w:tcW w:w="4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4,972</w:t>
            </w:r>
          </w:p>
        </w:tc>
      </w:tr>
      <w:tr>
        <w:trPr>
          <w:trHeight w:val="180"/>
        </w:trPr>
        <w:tc>
          <w:tcPr>
            <w:tcW w:w="3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140" w:type="dxa"/>
            <w:vAlign w:val="bottom"/>
          </w:tcPr>
          <w:p>
            <w:pPr>
              <w:jc w:val="right"/>
              <w:ind w:right="7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4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w:t>
            </w:r>
          </w:p>
        </w:tc>
        <w:tc>
          <w:tcPr>
            <w:tcW w:w="2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859</w:t>
            </w:r>
          </w:p>
        </w:tc>
        <w:tc>
          <w:tcPr>
            <w:tcW w:w="4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841</w:t>
            </w:r>
          </w:p>
        </w:tc>
      </w:tr>
      <w:tr>
        <w:trPr>
          <w:trHeight w:val="180"/>
        </w:trPr>
        <w:tc>
          <w:tcPr>
            <w:tcW w:w="3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income per share:</w:t>
            </w:r>
          </w:p>
        </w:tc>
        <w:tc>
          <w:tcPr>
            <w:tcW w:w="2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0"/>
        </w:trPr>
        <w:tc>
          <w:tcPr>
            <w:tcW w:w="31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2140" w:type="dxa"/>
            <w:vAlign w:val="bottom"/>
          </w:tcPr>
          <w:p>
            <w:pPr>
              <w:jc w:val="right"/>
              <w:ind w:right="7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0.74</w:t>
            </w:r>
          </w:p>
        </w:tc>
        <w:tc>
          <w:tcPr>
            <w:tcW w:w="4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0.76</w:t>
            </w:r>
          </w:p>
        </w:tc>
        <w:tc>
          <w:tcPr>
            <w:tcW w:w="2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4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2.54</w:t>
            </w:r>
          </w:p>
        </w:tc>
      </w:tr>
      <w:tr>
        <w:trPr>
          <w:trHeight w:val="180"/>
        </w:trPr>
        <w:tc>
          <w:tcPr>
            <w:tcW w:w="31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140" w:type="dxa"/>
            <w:vAlign w:val="bottom"/>
            <w:shd w:val="clear" w:color="auto" w:fill="CFF0FC"/>
          </w:tcPr>
          <w:p>
            <w:pPr>
              <w:jc w:val="right"/>
              <w:ind w:right="7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0.73</w:t>
            </w:r>
          </w:p>
        </w:tc>
        <w:tc>
          <w:tcPr>
            <w:tcW w:w="4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0.76</w:t>
            </w:r>
          </w:p>
        </w:tc>
        <w:tc>
          <w:tcPr>
            <w:tcW w:w="2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2.57</w:t>
            </w:r>
          </w:p>
        </w:tc>
        <w:tc>
          <w:tcPr>
            <w:tcW w:w="44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2.52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Earn-Out Payables</w:t>
      </w:r>
    </w:p>
    <w:p>
      <w:pPr>
        <w:spacing w:after="0" w:line="94" w:lineRule="exact"/>
        <w:rPr>
          <w:sz w:val="20"/>
          <w:szCs w:val="20"/>
          <w:color w:val="auto"/>
        </w:rPr>
      </w:pPr>
    </w:p>
    <w:p>
      <w:pPr>
        <w:ind w:right="120" w:firstLine="456"/>
        <w:spacing w:after="0" w:line="247" w:lineRule="auto"/>
        <w:rPr>
          <w:sz w:val="20"/>
          <w:szCs w:val="20"/>
          <w:color w:val="auto"/>
        </w:rPr>
      </w:pPr>
      <w:r>
        <w:rPr>
          <w:rFonts w:ascii="Times New Roman" w:cs="Times New Roman" w:eastAsia="Times New Roman" w:hAnsi="Times New Roman"/>
          <w:sz w:val="16"/>
          <w:szCs w:val="16"/>
          <w:color w:val="auto"/>
        </w:rPr>
        <w:t xml:space="preserve">As of September 30, 2025 and 2024, the fair values of the estimated acquisition earn-out payables were re-evaluated and measured at fair value on a recurring basis using unobservable inputs (Level 3) as defined in ASC 820 -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resulting additions, payments, and net changes, as well as the interest expense accretion on the estimated acquisition earn-out payables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4"/>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as of the beginning of the period</w:t>
            </w:r>
          </w:p>
        </w:tc>
        <w:tc>
          <w:tcPr>
            <w:tcW w:w="50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Additions to estimated acquisition earn-out payables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Assumed acquisition earn-out payables</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439</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439</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Payments for estimated acquisition earn-out payables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Subtotal</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566</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552</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earnings from estimated acquisition earn-out payables: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Change in fair value on estimated acquisition earn-out payables</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Interest expense accretion</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Net change in earnings from estimated acquisition earn-out payables</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adjustments during the year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as of September 30,</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4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00" w:firstLine="456"/>
        <w:spacing w:after="0" w:line="241" w:lineRule="auto"/>
        <w:rPr>
          <w:sz w:val="20"/>
          <w:szCs w:val="20"/>
          <w:color w:val="auto"/>
        </w:rPr>
      </w:pPr>
      <w:r>
        <w:rPr>
          <w:rFonts w:ascii="Times New Roman" w:cs="Times New Roman" w:eastAsia="Times New Roman" w:hAnsi="Times New Roman"/>
          <w:sz w:val="16"/>
          <w:szCs w:val="16"/>
          <w:color w:val="auto"/>
        </w:rPr>
        <w:t>Of the $575 million of estimated acquisition earn -out payables as of September 30, 2025, $262 million was recorded as accounts payable and $313 million was recorded as other non-current liabilities. Included within the additions to estimated acquisition earn-out payables are any adjustments to opening balance sheet items within the allowable measurement period, which may therefore differ from previously reported amounts. Certain acquisition agreements include provisions with no maximum potential earn-out amount. The amount recorded for these acquisitions as of September 30, 2025 was $431 million. The maximum future acquisition contingency payments totaled $353 million, excluding the uncapped earn-out payables, as of September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Goodwill</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changes in the carrying value of goodwill by reportable segment for the nine months ended September 30, 2025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60" w:type="dxa"/>
            <w:vAlign w:val="bottom"/>
          </w:tcPr>
          <w:p>
            <w:pPr>
              <w:spacing w:after="0"/>
              <w:rPr>
                <w:sz w:val="14"/>
                <w:szCs w:val="14"/>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as of December 31, 2024</w:t>
            </w:r>
          </w:p>
        </w:tc>
        <w:tc>
          <w:tcPr>
            <w:tcW w:w="15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5,436</w:t>
            </w:r>
          </w:p>
        </w:tc>
        <w:tc>
          <w:tcPr>
            <w:tcW w:w="720" w:type="dxa"/>
            <w:vAlign w:val="bottom"/>
            <w:gridSpan w:val="2"/>
            <w:shd w:val="clear" w:color="auto" w:fill="CFF0FC"/>
          </w:tcPr>
          <w:p>
            <w:pPr>
              <w:jc w:val="right"/>
              <w:ind w:right="4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2,534</w:t>
            </w:r>
          </w:p>
        </w:tc>
        <w:tc>
          <w:tcPr>
            <w:tcW w:w="4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7,970</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 of acquired businesses</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4,206</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6,707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Goodwill adjustments during measurement period </w:t>
            </w:r>
            <w:r>
              <w:rPr>
                <w:rFonts w:ascii="Times New Roman" w:cs="Times New Roman" w:eastAsia="Times New Roman" w:hAnsi="Times New Roman"/>
                <w:sz w:val="20"/>
                <w:szCs w:val="20"/>
                <w:color w:val="auto"/>
                <w:vertAlign w:val="superscript"/>
              </w:rPr>
              <w:t>(1)</w:t>
            </w: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Goodwill disposed of relating to sales of businesses</w:t>
            </w: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Foreign currency translation adjustments during the year</w:t>
            </w: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as of September 30, 2025</w:t>
            </w:r>
          </w:p>
        </w:tc>
        <w:tc>
          <w:tcPr>
            <w:tcW w:w="15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9,815</w:t>
            </w:r>
          </w:p>
        </w:tc>
        <w:tc>
          <w:tcPr>
            <w:tcW w:w="720" w:type="dxa"/>
            <w:vAlign w:val="bottom"/>
            <w:gridSpan w:val="2"/>
          </w:tcPr>
          <w:p>
            <w:pPr>
              <w:jc w:val="right"/>
              <w:ind w:right="4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5,076</w:t>
            </w:r>
          </w:p>
        </w:tc>
        <w:tc>
          <w:tcPr>
            <w:tcW w:w="4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14,891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3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3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6" w:name="page17"/>
    <w:bookmarkEnd w:id="16"/>
    <w:p>
      <w:pPr>
        <w:ind w:right="100"/>
        <w:spacing w:after="0" w:line="259" w:lineRule="auto"/>
        <w:rPr>
          <w:sz w:val="20"/>
          <w:szCs w:val="20"/>
          <w:color w:val="auto"/>
        </w:rPr>
      </w:pPr>
      <w:r>
        <w:rPr>
          <w:rFonts w:ascii="Times New Roman" w:cs="Times New Roman" w:eastAsia="Times New Roman" w:hAnsi="Times New Roman"/>
          <w:sz w:val="16"/>
          <w:szCs w:val="16"/>
          <w:color w:val="auto"/>
        </w:rPr>
        <w:t>(1)Provisional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Amortizable Intangible Assets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Amortizable intangible assets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880" w:type="dxa"/>
            <w:vAlign w:val="bottom"/>
            <w:vMerge w:val="restart"/>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920" w:type="dxa"/>
            <w:vAlign w:val="bottom"/>
            <w:vMerge w:val="restart"/>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8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0"/>
        </w:trPr>
        <w:tc>
          <w:tcPr>
            <w:tcW w:w="3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Purchased customer accounts and other</w:t>
            </w:r>
          </w:p>
        </w:tc>
        <w:tc>
          <w:tcPr>
            <w:tcW w:w="3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6,734</w:t>
            </w:r>
          </w:p>
        </w:tc>
        <w:tc>
          <w:tcPr>
            <w:tcW w:w="440" w:type="dxa"/>
            <w:vAlign w:val="bottom"/>
            <w:gridSpan w:val="2"/>
            <w:shd w:val="clear" w:color="auto" w:fill="CFF0FC"/>
          </w:tcPr>
          <w:p>
            <w:pPr>
              <w:jc w:val="right"/>
              <w:ind w:right="1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(1,869)</w:t>
            </w: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4,865</w:t>
            </w:r>
          </w:p>
        </w:tc>
        <w:tc>
          <w:tcPr>
            <w:tcW w:w="2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3,557</w:t>
            </w:r>
          </w:p>
        </w:tc>
        <w:tc>
          <w:tcPr>
            <w:tcW w:w="2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(1,718)</w:t>
            </w:r>
          </w:p>
        </w:tc>
        <w:tc>
          <w:tcPr>
            <w:tcW w:w="1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167"/>
        </w:trPr>
        <w:tc>
          <w:tcPr>
            <w:tcW w:w="3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Foreign currency translation adjustments during the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4"/>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4,952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3,529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1,814</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160" w:firstLine="468"/>
        <w:spacing w:after="0" w:line="259" w:lineRule="auto"/>
        <w:rPr>
          <w:sz w:val="20"/>
          <w:szCs w:val="20"/>
          <w:color w:val="auto"/>
        </w:rPr>
      </w:pPr>
      <w:r>
        <w:rPr>
          <w:rFonts w:ascii="Times New Roman" w:cs="Times New Roman" w:eastAsia="Times New Roman" w:hAnsi="Times New Roman"/>
          <w:sz w:val="16"/>
          <w:szCs w:val="16"/>
          <w:color w:val="auto"/>
        </w:rPr>
        <w:t>Amortization expense for intangible assets for the years ending December 31, 2025, 2026, 2027, 2028 and 2029 is estimated to be $261 million, $446 million, $427 million, $420 million, and $402 million, respectively.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7" w:name="page18"/>
    <w:bookmarkEnd w:id="17"/>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Long-Term Debt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Long-term debt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28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Pr>
          <w:p>
            <w:pPr>
              <w:spacing w:after="0"/>
              <w:rPr>
                <w:sz w:val="14"/>
                <w:szCs w:val="14"/>
                <w:color w:val="auto"/>
              </w:rPr>
            </w:pP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Current portion of 5-year term loan facility expires 2026</w:t>
            </w:r>
          </w:p>
        </w:tc>
        <w:tc>
          <w:tcPr>
            <w:tcW w:w="460" w:type="dxa"/>
            <w:vAlign w:val="bottom"/>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640" w:type="dxa"/>
            <w:vAlign w:val="bottom"/>
            <w:gridSpan w:val="2"/>
          </w:tcPr>
          <w:p>
            <w:pPr>
              <w:jc w:val="right"/>
              <w:ind w:right="308"/>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Current portion of 3-year term loan facility expires 2025</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Current portion of 5-year term loan facility expires 2027</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color w:val="auto"/>
              </w:rPr>
              <w:t>Total current portion of long-term debt</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80"/>
        </w:trPr>
        <w:tc>
          <w:tcPr>
            <w:tcW w:w="7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Note agreements:</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4.600% senior notes, semi-annual interest payments, balloon due 2026</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4.700% senior notes, semi-annual interest payments, balloon due 2028</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4.500% senior notes, semi-annual interest payments, balloon due 2029</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4.900% senior notes, semi-annual interest payments, balloon due 2030</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2.375% senior notes, semi-annual interest payments, balloon due 2031</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4.200% senior notes, semi-annual interest payments, balloon due 2032</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5.250% senior notes, semi-annual interest payments, balloon due 2032</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5.650% senior notes, semi-annual interest payments, balloon due 2034</w:t>
            </w:r>
          </w:p>
        </w:tc>
        <w:tc>
          <w:tcPr>
            <w:tcW w:w="46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145"/>
        </w:trPr>
        <w:tc>
          <w:tcPr>
            <w:tcW w:w="78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5.550% senior notes, semi-annual interest payments, balloon due 2035</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4.950% senior notes, semi-annual interest payments, balloon due 2052</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6.250% senior notes, semi-annual interest payments, balloon due 2055</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280"/>
              <w:spacing w:after="0" w:line="180" w:lineRule="exact"/>
              <w:rPr>
                <w:sz w:val="20"/>
                <w:szCs w:val="20"/>
                <w:color w:val="auto"/>
              </w:rPr>
            </w:pPr>
            <w:r>
              <w:rPr>
                <w:rFonts w:ascii="Times New Roman" w:cs="Times New Roman" w:eastAsia="Times New Roman" w:hAnsi="Times New Roman"/>
                <w:sz w:val="16"/>
                <w:szCs w:val="16"/>
                <w:color w:val="auto"/>
              </w:rPr>
              <w:t>Total notes</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7,050</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180"/>
        </w:trPr>
        <w:tc>
          <w:tcPr>
            <w:tcW w:w="7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Credit agreements:</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800" w:type="dxa"/>
            <w:vAlign w:val="bottom"/>
            <w:shd w:val="clear" w:color="auto" w:fill="CFF0FC"/>
          </w:tcPr>
          <w:p>
            <w:pPr>
              <w:ind w:left="140"/>
              <w:spacing w:after="0" w:line="167" w:lineRule="exact"/>
              <w:rPr>
                <w:sz w:val="20"/>
                <w:szCs w:val="20"/>
                <w:color w:val="auto"/>
              </w:rPr>
            </w:pPr>
            <w:r>
              <w:rPr>
                <w:rFonts w:ascii="Times New Roman" w:cs="Times New Roman" w:eastAsia="Times New Roman" w:hAnsi="Times New Roman"/>
                <w:sz w:val="16"/>
                <w:szCs w:val="16"/>
                <w:color w:val="auto"/>
              </w:rPr>
              <w:t>5-year term loan facility, periodic interest and principal payments, SOFR plus up to</w:t>
            </w: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1.750%, expires October 27, 2026</w:t>
            </w:r>
          </w:p>
        </w:tc>
        <w:tc>
          <w:tcPr>
            <w:tcW w:w="4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67"/>
        </w:trPr>
        <w:tc>
          <w:tcPr>
            <w:tcW w:w="7800" w:type="dxa"/>
            <w:vAlign w:val="bottom"/>
          </w:tcPr>
          <w:p>
            <w:pPr>
              <w:ind w:left="140"/>
              <w:spacing w:after="0" w:line="167" w:lineRule="exact"/>
              <w:rPr>
                <w:sz w:val="20"/>
                <w:szCs w:val="20"/>
                <w:color w:val="auto"/>
              </w:rPr>
            </w:pPr>
            <w:r>
              <w:rPr>
                <w:rFonts w:ascii="Times New Roman" w:cs="Times New Roman" w:eastAsia="Times New Roman" w:hAnsi="Times New Roman"/>
                <w:sz w:val="16"/>
                <w:szCs w:val="16"/>
                <w:color w:val="auto"/>
              </w:rPr>
              <w:t>5-year revolving loan facility, periodic interest payments, SOFR plus up to 1.525%, plus commitment fees up to</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0.225%, expires October 27, 2026</w:t>
            </w:r>
          </w:p>
        </w:tc>
        <w:tc>
          <w:tcPr>
            <w:tcW w:w="460" w:type="dxa"/>
            <w:vAlign w:val="bottom"/>
          </w:tcPr>
          <w:p>
            <w:pPr>
              <w:spacing w:after="0"/>
              <w:rPr>
                <w:sz w:val="16"/>
                <w:szCs w:val="16"/>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5-year term loan facility, periodic interest and principal payments, SOFR plus up to 1.750%, expires March 31, 2027</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Total credit agreements</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rPr>
              <w:t>Unamortized portion of debt discounts related to note agreements (contra)</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780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Debt issuance costs (contra)</w:t>
            </w:r>
          </w:p>
        </w:tc>
        <w:tc>
          <w:tcPr>
            <w:tcW w:w="4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420"/>
              <w:spacing w:after="0" w:line="180" w:lineRule="exact"/>
              <w:rPr>
                <w:sz w:val="20"/>
                <w:szCs w:val="20"/>
                <w:color w:val="auto"/>
              </w:rPr>
            </w:pPr>
            <w:r>
              <w:rPr>
                <w:rFonts w:ascii="Times New Roman" w:cs="Times New Roman" w:eastAsia="Times New Roman" w:hAnsi="Times New Roman"/>
                <w:sz w:val="16"/>
                <w:szCs w:val="16"/>
                <w:color w:val="auto"/>
              </w:rPr>
              <w:t>Total long-term debt, less unamortized discount and debt issuance costs</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7,653</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r>
        <w:trPr>
          <w:trHeight w:val="180"/>
        </w:trPr>
        <w:tc>
          <w:tcPr>
            <w:tcW w:w="780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460" w:type="dxa"/>
            <w:vAlign w:val="bottom"/>
          </w:tcPr>
          <w:p>
            <w:pPr>
              <w:spacing w:after="0"/>
              <w:rPr>
                <w:sz w:val="15"/>
                <w:szCs w:val="15"/>
                <w:color w:val="auto"/>
              </w:rPr>
            </w:pPr>
          </w:p>
        </w:tc>
        <w:tc>
          <w:tcPr>
            <w:tcW w:w="8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20"/>
        </w:trPr>
        <w:tc>
          <w:tcPr>
            <w:tcW w:w="7800" w:type="dxa"/>
            <w:vAlign w:val="bottom"/>
            <w:tcBorders>
              <w:bottom w:val="single" w:sz="8" w:color="CFF0FC"/>
            </w:tcBorders>
            <w:shd w:val="clear" w:color="auto" w:fill="CFF0FC"/>
          </w:tcPr>
          <w:p>
            <w:pPr>
              <w:ind w:left="560"/>
              <w:spacing w:after="0" w:line="180" w:lineRule="exact"/>
              <w:rPr>
                <w:sz w:val="20"/>
                <w:szCs w:val="20"/>
                <w:color w:val="auto"/>
              </w:rPr>
            </w:pPr>
            <w:r>
              <w:rPr>
                <w:rFonts w:ascii="Times New Roman" w:cs="Times New Roman" w:eastAsia="Times New Roman" w:hAnsi="Times New Roman"/>
                <w:sz w:val="16"/>
                <w:szCs w:val="16"/>
                <w:color w:val="auto"/>
              </w:rPr>
              <w:t>Total debt</w:t>
            </w:r>
          </w:p>
        </w:tc>
        <w:tc>
          <w:tcPr>
            <w:tcW w:w="460" w:type="dxa"/>
            <w:vAlign w:val="bottom"/>
            <w:tcBorders>
              <w:bottom w:val="single" w:sz="8" w:color="auto"/>
            </w:tcBorders>
            <w:shd w:val="clear" w:color="auto" w:fill="CFF0FC"/>
          </w:tcPr>
          <w:p>
            <w:pPr>
              <w:jc w:val="right"/>
              <w:ind w:right="3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7,728</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3,824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0" w:firstLine="456"/>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Note agreements: </w:t>
      </w:r>
      <w:r>
        <w:rPr>
          <w:rFonts w:ascii="Times New Roman" w:cs="Times New Roman" w:eastAsia="Times New Roman" w:hAnsi="Times New Roman"/>
          <w:sz w:val="16"/>
          <w:szCs w:val="16"/>
          <w:color w:val="auto"/>
        </w:rPr>
        <w:t>On June 11, 2025, the Company entered into an Underwriting Agreement (the “Notes Underwriting Agreement”) with BofA Securities, Inc.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J.P. Morgan Securities LLC, as representatives of the several underwriters named therein (collectively, the “Notes Underwriters”), with respect to the offer and sale by the Company of $ 400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Notes Underwriting Agreement contains customary representations, warranties and covenants of the Company, conditions to closing, termination provisions and other terms and conditions customary in agreements of this type. The Notes Underwriting Agreement also contains customary indemnification and contribution rights and obligations of the Company and the Notes Underwriters.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September 30, 2025, the aggregate outstanding balance of these notes was $4,200 million exclusive of the associated discount balance.</w:t>
      </w:r>
    </w:p>
    <w:p>
      <w:pPr>
        <w:spacing w:after="0" w:line="7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6"/>
          <w:szCs w:val="16"/>
          <w:color w:val="auto"/>
        </w:rPr>
        <w:t>The Company maintains notes from other issuances aggregating to a total outstanding debt balance of $2,850 million exclusive of the associated discount balance as of September 30, 2025 and December 31, 2024.</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 xml:space="preserve">Credit agreements: </w:t>
      </w:r>
      <w:r>
        <w:rPr>
          <w:rFonts w:ascii="Times New Roman" w:cs="Times New Roman" w:eastAsia="Times New Roman" w:hAnsi="Times New Roman"/>
          <w:sz w:val="16"/>
          <w:szCs w:val="16"/>
          <w:color w:val="auto"/>
        </w:rPr>
        <w:t>On March 31, 2025, the Company repaid the outstanding balance on the 3-year term loan facility of $150 million.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 w:name="page19"/>
    <w:bookmarkEnd w:id="18"/>
    <w:p>
      <w:pPr>
        <w:ind w:right="280" w:firstLine="456"/>
        <w:spacing w:after="0" w:line="247" w:lineRule="auto"/>
        <w:rPr>
          <w:sz w:val="20"/>
          <w:szCs w:val="20"/>
          <w:color w:val="auto"/>
        </w:rPr>
      </w:pPr>
      <w:r>
        <w:rPr>
          <w:rFonts w:ascii="Times New Roman" w:cs="Times New Roman" w:eastAsia="Times New Roman" w:hAnsi="Times New Roman"/>
          <w:sz w:val="16"/>
          <w:szCs w:val="16"/>
          <w:color w:val="auto"/>
        </w:rPr>
        <w:t>The Company has credit agreements that include term loans and a Revolving Credit Facility of $800 million, all having similar terms and covenants. The outstanding balance on the term loans was $550 million and $756 million as of September 30, 2025 and December 31, 2024, respectively. There was an outstanding balance of $200 million on the Revolving Credit Facility as of September 30, 2025, and $250 million outstanding as of December 31, 2024.</w:t>
      </w:r>
    </w:p>
    <w:p>
      <w:pPr>
        <w:spacing w:after="0" w:line="68"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6"/>
          <w:szCs w:val="16"/>
          <w:color w:val="auto"/>
        </w:rPr>
        <w:t>The Company is required to maintain certain financial ratios and comply with certain other covenants. The Company was in compliance with all such covenants as of September 30, 2025 and December 31, 2024.</w:t>
      </w:r>
    </w:p>
    <w:p>
      <w:pPr>
        <w:spacing w:after="0" w:line="59" w:lineRule="exact"/>
        <w:rPr>
          <w:sz w:val="20"/>
          <w:szCs w:val="20"/>
          <w:color w:val="auto"/>
        </w:rPr>
      </w:pPr>
    </w:p>
    <w:p>
      <w:pPr>
        <w:ind w:right="20" w:firstLine="456"/>
        <w:spacing w:after="0" w:line="247" w:lineRule="auto"/>
        <w:rPr>
          <w:sz w:val="20"/>
          <w:szCs w:val="20"/>
          <w:color w:val="auto"/>
        </w:rPr>
      </w:pPr>
      <w:r>
        <w:rPr>
          <w:rFonts w:ascii="Times New Roman" w:cs="Times New Roman" w:eastAsia="Times New Roman" w:hAnsi="Times New Roman"/>
          <w:sz w:val="16"/>
          <w:szCs w:val="16"/>
          <w:color w:val="auto"/>
        </w:rPr>
        <w:t>At September 30, 2025, the one month term SOFR Rate for the term loan due October 2026 and the term loan due March 2027 was 4.263%. The one month term SOFR Rate on the Revolving Credit Facility due October 2026 was 4.280% as of September 30, 2025. These SOFR rates are inclusive of a 0.100% credit-spread adjustment per the terms of the relevant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information about financial instruments not measured at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liabilities that are not measured at fair value on a recurring basis: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220" w:type="dxa"/>
            <w:vAlign w:val="bottom"/>
          </w:tcPr>
          <w:p>
            <w:pPr>
              <w:spacing w:after="0"/>
              <w:rPr>
                <w:sz w:val="13"/>
                <w:szCs w:val="13"/>
                <w:color w:val="auto"/>
              </w:rPr>
            </w:pPr>
          </w:p>
        </w:tc>
        <w:tc>
          <w:tcPr>
            <w:tcW w:w="1940" w:type="dxa"/>
            <w:vAlign w:val="bottom"/>
            <w:gridSpan w:val="3"/>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00" w:type="dxa"/>
            <w:vAlign w:val="bottom"/>
          </w:tcPr>
          <w:p>
            <w:pPr>
              <w:spacing w:after="0"/>
              <w:rPr>
                <w:sz w:val="13"/>
                <w:szCs w:val="13"/>
                <w:color w:val="auto"/>
              </w:rPr>
            </w:pPr>
          </w:p>
        </w:tc>
        <w:tc>
          <w:tcPr>
            <w:tcW w:w="1880" w:type="dxa"/>
            <w:vAlign w:val="bottom"/>
            <w:gridSpan w:val="3"/>
          </w:tcPr>
          <w:p>
            <w:pPr>
              <w:jc w:val="right"/>
              <w:ind w:right="52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0"/>
        </w:trPr>
        <w:tc>
          <w:tcPr>
            <w:tcW w:w="4120" w:type="dxa"/>
            <w:vAlign w:val="bottom"/>
            <w:vMerge w:val="continue"/>
          </w:tcPr>
          <w:p>
            <w:pPr>
              <w:spacing w:after="0"/>
              <w:rPr>
                <w:sz w:val="14"/>
                <w:szCs w:val="14"/>
                <w:color w:val="auto"/>
              </w:rPr>
            </w:pPr>
          </w:p>
        </w:tc>
        <w:tc>
          <w:tcPr>
            <w:tcW w:w="298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6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4"/>
                <w:szCs w:val="14"/>
                <w:color w:val="auto"/>
              </w:rPr>
            </w:pPr>
          </w:p>
        </w:tc>
        <w:tc>
          <w:tcPr>
            <w:tcW w:w="88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0"/>
        </w:trPr>
        <w:tc>
          <w:tcPr>
            <w:tcW w:w="4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2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2220" w:type="dxa"/>
            <w:vAlign w:val="bottom"/>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1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2220" w:type="dxa"/>
            <w:vAlign w:val="bottom"/>
            <w:shd w:val="clear" w:color="auto" w:fill="CFF0FC"/>
          </w:tcPr>
          <w:p>
            <w:pPr>
              <w:jc w:val="right"/>
              <w:ind w:right="14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7,031</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7,022</w:t>
            </w:r>
          </w:p>
        </w:tc>
        <w:tc>
          <w:tcPr>
            <w:tcW w:w="400" w:type="dxa"/>
            <w:vAlign w:val="bottom"/>
            <w:shd w:val="clear" w:color="auto" w:fill="CFF0FC"/>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2,839</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their values are measured by using observable inputs, other than quoted prices in active markets.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Leases</w:t>
      </w:r>
    </w:p>
    <w:p>
      <w:pPr>
        <w:spacing w:after="0" w:line="94"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Substantially all of the Company's operating lease right- 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w:t>
      </w:r>
    </w:p>
    <w:p>
      <w:pPr>
        <w:spacing w:after="0" w:line="71" w:lineRule="exact"/>
        <w:rPr>
          <w:sz w:val="20"/>
          <w:szCs w:val="20"/>
          <w:color w:val="auto"/>
        </w:rPr>
      </w:pPr>
    </w:p>
    <w:p>
      <w:pPr>
        <w:ind w:right="400" w:firstLine="456"/>
        <w:spacing w:after="0" w:line="259" w:lineRule="auto"/>
        <w:rPr>
          <w:sz w:val="20"/>
          <w:szCs w:val="20"/>
          <w:color w:val="auto"/>
        </w:rPr>
      </w:pPr>
      <w:r>
        <w:rPr>
          <w:rFonts w:ascii="Times New Roman" w:cs="Times New Roman" w:eastAsia="Times New Roman" w:hAnsi="Times New Roman"/>
          <w:sz w:val="16"/>
          <w:szCs w:val="16"/>
          <w:color w:val="auto"/>
        </w:rPr>
        <w:t>The balances and classification of operating lease right-of-use assets and operating lease liabilities within the Condensed Consolidated Balance Sheets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3900" w:type="dxa"/>
            <w:vAlign w:val="bottom"/>
            <w:shd w:val="clear" w:color="auto" w:fill="CFF0FC"/>
          </w:tcPr>
          <w:p>
            <w:pPr>
              <w:ind w:left="1360"/>
              <w:spacing w:after="0" w:line="180" w:lineRule="exact"/>
              <w:rPr>
                <w:sz w:val="20"/>
                <w:szCs w:val="20"/>
                <w:color w:val="auto"/>
              </w:rPr>
            </w:pPr>
            <w:r>
              <w:rPr>
                <w:rFonts w:ascii="Times New Roman" w:cs="Times New Roman" w:eastAsia="Times New Roman" w:hAnsi="Times New Roman"/>
                <w:sz w:val="16"/>
                <w:szCs w:val="16"/>
                <w:color w:val="auto"/>
              </w:rPr>
              <w:t>Operating lease assets</w:t>
            </w:r>
          </w:p>
        </w:tc>
        <w:tc>
          <w:tcPr>
            <w:tcW w:w="700" w:type="dxa"/>
            <w:vAlign w:val="bottom"/>
            <w:gridSpan w:val="2"/>
            <w:shd w:val="clear" w:color="auto" w:fill="CFF0FC"/>
          </w:tcPr>
          <w:p>
            <w:pPr>
              <w:jc w:val="right"/>
              <w:ind w:right="3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269</w:t>
            </w:r>
          </w:p>
        </w:tc>
        <w:tc>
          <w:tcPr>
            <w:tcW w:w="660" w:type="dxa"/>
            <w:vAlign w:val="bottom"/>
            <w:gridSpan w:val="2"/>
            <w:shd w:val="clear" w:color="auto" w:fill="CFF0FC"/>
          </w:tcPr>
          <w:p>
            <w:pPr>
              <w:jc w:val="right"/>
              <w:ind w:right="3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80"/>
        </w:trPr>
        <w:tc>
          <w:tcPr>
            <w:tcW w:w="37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269</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3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operating lease liabilities</w:t>
            </w:r>
          </w:p>
        </w:tc>
        <w:tc>
          <w:tcPr>
            <w:tcW w:w="3900" w:type="dxa"/>
            <w:vAlign w:val="bottom"/>
          </w:tcPr>
          <w:p>
            <w:pPr>
              <w:ind w:left="1360"/>
              <w:spacing w:after="0" w:line="180" w:lineRule="exact"/>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Non-current operating lease liabilities</w:t>
            </w:r>
          </w:p>
        </w:tc>
        <w:tc>
          <w:tcPr>
            <w:tcW w:w="3900" w:type="dxa"/>
            <w:vAlign w:val="bottom"/>
            <w:shd w:val="clear" w:color="auto" w:fill="CFF0FC"/>
          </w:tcPr>
          <w:p>
            <w:pPr>
              <w:ind w:left="136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243</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180"/>
        </w:trPr>
        <w:tc>
          <w:tcPr>
            <w:tcW w:w="37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3900" w:type="dxa"/>
            <w:vAlign w:val="bottom"/>
          </w:tcPr>
          <w:p>
            <w:pPr>
              <w:spacing w:after="0"/>
              <w:rPr>
                <w:sz w:val="15"/>
                <w:szCs w:val="15"/>
                <w:color w:val="auto"/>
              </w:rPr>
            </w:pPr>
          </w:p>
        </w:tc>
        <w:tc>
          <w:tcPr>
            <w:tcW w:w="700" w:type="dxa"/>
            <w:vAlign w:val="bottom"/>
            <w:gridSpan w:val="2"/>
          </w:tcPr>
          <w:p>
            <w:pPr>
              <w:jc w:val="right"/>
              <w:ind w:right="3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660" w:type="dxa"/>
            <w:vAlign w:val="bottom"/>
            <w:gridSpan w:val="2"/>
          </w:tcPr>
          <w:p>
            <w:pPr>
              <w:jc w:val="right"/>
              <w:ind w:right="374"/>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900" w:type="dxa"/>
            <w:vAlign w:val="bottom"/>
            <w:vMerge w:val="restart"/>
          </w:tcPr>
          <w:p>
            <w:pPr>
              <w:jc w:val="right"/>
              <w:ind w:right="2202"/>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740" w:type="dxa"/>
            <w:vAlign w:val="bottom"/>
            <w:tcBorders>
              <w:bottom w:val="single" w:sz="8" w:color="EEEEEE"/>
            </w:tcBorders>
          </w:tcPr>
          <w:p>
            <w:pPr>
              <w:spacing w:after="0"/>
              <w:rPr>
                <w:sz w:val="24"/>
                <w:szCs w:val="24"/>
                <w:color w:val="auto"/>
              </w:rPr>
            </w:pPr>
          </w:p>
        </w:tc>
        <w:tc>
          <w:tcPr>
            <w:tcW w:w="39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6"/>
          <w:szCs w:val="16"/>
          <w:color w:val="auto"/>
        </w:rPr>
        <w:t>The components of lease cost for operating leases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40" w:type="dxa"/>
            <w:vAlign w:val="bottom"/>
          </w:tcPr>
          <w:p>
            <w:pPr>
              <w:spacing w:after="0"/>
              <w:rPr>
                <w:sz w:val="13"/>
                <w:szCs w:val="13"/>
                <w:color w:val="auto"/>
              </w:rPr>
            </w:pPr>
          </w:p>
        </w:tc>
        <w:tc>
          <w:tcPr>
            <w:tcW w:w="2240" w:type="dxa"/>
            <w:vAlign w:val="bottom"/>
            <w:gridSpan w:val="4"/>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57"/>
        </w:trPr>
        <w:tc>
          <w:tcPr>
            <w:tcW w:w="5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Lease cost</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4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4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Variable lease cost</w:t>
            </w:r>
          </w:p>
        </w:tc>
        <w:tc>
          <w:tcPr>
            <w:tcW w:w="1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Short-term lease cost</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1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Sublease income</w:t>
            </w:r>
          </w:p>
        </w:tc>
        <w:tc>
          <w:tcPr>
            <w:tcW w:w="1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vMerge w:val="restart"/>
            <w:shd w:val="clear" w:color="auto" w:fill="CFF0FC"/>
          </w:tcPr>
          <w:p>
            <w:pPr>
              <w:jc w:val="right"/>
              <w:ind w:right="95"/>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5"/>
        </w:trPr>
        <w:tc>
          <w:tcPr>
            <w:tcW w:w="5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6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Total lease cost net</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4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4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weighted average remaining lease term and the weighted average discount rate for operating leases as of September 30, 2025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0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1"/>
              </w:rPr>
              <w:t>4.05%</w:t>
            </w:r>
          </w:p>
        </w:tc>
        <w:tc>
          <w:tcPr>
            <w:tcW w:w="0" w:type="dxa"/>
            <w:vAlign w:val="bottom"/>
          </w:tcPr>
          <w:p>
            <w:pPr>
              <w:spacing w:after="0"/>
              <w:rPr>
                <w:sz w:val="1"/>
                <w:szCs w:val="1"/>
                <w:color w:val="auto"/>
              </w:rPr>
            </w:pPr>
          </w:p>
        </w:tc>
      </w:tr>
      <w:tr>
        <w:trPr>
          <w:trHeight w:val="263"/>
        </w:trPr>
        <w:tc>
          <w:tcPr>
            <w:tcW w:w="900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Maturities of the operating lease liabilities by fiscal year at September 30, 2025 for the Company's operating leases are as follows:</w:t>
            </w: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51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2025 (Remainder)</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center"/>
              <w:ind w:left="36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undiscounted lease payments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2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Present value of lease payments</w:t>
            </w: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center"/>
              <w:ind w:left="36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62"/>
        </w:trPr>
        <w:tc>
          <w:tcPr>
            <w:tcW w:w="512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6"/>
                <w:szCs w:val="16"/>
                <w:color w:val="auto"/>
              </w:rPr>
              <w:t>Supplemental cash flow information for operating leases is as follows:</w:t>
            </w:r>
          </w:p>
        </w:tc>
        <w:tc>
          <w:tcPr>
            <w:tcW w:w="1020" w:type="dxa"/>
            <w:vAlign w:val="bottom"/>
            <w:tcBorders>
              <w:top w:val="single" w:sz="8" w:color="CFF0FC"/>
            </w:tcBorders>
          </w:tcPr>
          <w:p>
            <w:pPr>
              <w:spacing w:after="0"/>
              <w:rPr>
                <w:sz w:val="22"/>
                <w:szCs w:val="22"/>
                <w:color w:val="auto"/>
              </w:rPr>
            </w:pPr>
          </w:p>
        </w:tc>
        <w:tc>
          <w:tcPr>
            <w:tcW w:w="460" w:type="dxa"/>
            <w:vAlign w:val="bottom"/>
            <w:tcBorders>
              <w:top w:val="single" w:sz="8" w:color="CFF0FC"/>
            </w:tcBorders>
          </w:tcPr>
          <w:p>
            <w:pPr>
              <w:spacing w:after="0"/>
              <w:rPr>
                <w:sz w:val="22"/>
                <w:szCs w:val="22"/>
                <w:color w:val="auto"/>
              </w:rPr>
            </w:pPr>
          </w:p>
        </w:tc>
        <w:tc>
          <w:tcPr>
            <w:tcW w:w="1040" w:type="dxa"/>
            <w:vAlign w:val="bottom"/>
            <w:tcBorders>
              <w:top w:val="single" w:sz="8" w:color="CFF0FC"/>
            </w:tcBorders>
          </w:tcPr>
          <w:p>
            <w:pPr>
              <w:spacing w:after="0"/>
              <w:rPr>
                <w:sz w:val="22"/>
                <w:szCs w:val="22"/>
                <w:color w:val="auto"/>
              </w:rPr>
            </w:pPr>
          </w:p>
        </w:tc>
        <w:tc>
          <w:tcPr>
            <w:tcW w:w="400" w:type="dxa"/>
            <w:vAlign w:val="bottom"/>
            <w:tcBorders>
              <w:top w:val="single" w:sz="8" w:color="CFF0FC"/>
            </w:tcBorders>
          </w:tcPr>
          <w:p>
            <w:pPr>
              <w:spacing w:after="0"/>
              <w:rPr>
                <w:sz w:val="22"/>
                <w:szCs w:val="22"/>
                <w:color w:val="auto"/>
              </w:rPr>
            </w:pPr>
          </w:p>
        </w:tc>
        <w:tc>
          <w:tcPr>
            <w:tcW w:w="66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00" w:type="dxa"/>
            <w:vAlign w:val="bottom"/>
          </w:tcPr>
          <w:p>
            <w:pPr>
              <w:spacing w:after="0"/>
              <w:rPr>
                <w:sz w:val="24"/>
                <w:szCs w:val="24"/>
                <w:color w:val="auto"/>
              </w:rPr>
            </w:pPr>
          </w:p>
        </w:tc>
        <w:tc>
          <w:tcPr>
            <w:tcW w:w="2520" w:type="dxa"/>
            <w:vAlign w:val="bottom"/>
            <w:gridSpan w:val="5"/>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5120" w:type="dxa"/>
            <w:vAlign w:val="bottom"/>
            <w:vMerge w:val="continue"/>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960" w:type="dxa"/>
            <w:vAlign w:val="bottom"/>
            <w:gridSpan w:val="2"/>
          </w:tcPr>
          <w:p>
            <w:pPr>
              <w:jc w:val="center"/>
              <w:ind w:left="38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paid for amounts included in measurement of liabilities</w:t>
            </w:r>
          </w:p>
        </w:tc>
        <w:tc>
          <w:tcPr>
            <w:tcW w:w="10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20" w:type="dxa"/>
            <w:vAlign w:val="bottom"/>
          </w:tcPr>
          <w:p>
            <w:pPr>
              <w:jc w:val="right"/>
              <w:ind w:right="6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660" w:type="dxa"/>
            <w:vAlign w:val="bottom"/>
          </w:tcPr>
          <w:p>
            <w:pPr>
              <w:jc w:val="right"/>
              <w:ind w:right="3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3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760" w:type="dxa"/>
            <w:vAlign w:val="bottom"/>
          </w:tcPr>
          <w:p>
            <w:pPr>
              <w:jc w:val="right"/>
              <w:ind w:right="5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5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Right-of-use assets obtained in exchange for new operating liabilities</w:t>
            </w:r>
          </w:p>
        </w:tc>
        <w:tc>
          <w:tcPr>
            <w:tcW w:w="1020" w:type="dxa"/>
            <w:vAlign w:val="bottom"/>
            <w:shd w:val="clear" w:color="auto" w:fill="CFF0FC"/>
          </w:tcPr>
          <w:p>
            <w:pPr>
              <w:jc w:val="right"/>
              <w:ind w:right="628"/>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4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660" w:type="dxa"/>
            <w:vAlign w:val="bottom"/>
            <w:shd w:val="clear" w:color="auto" w:fill="CFF0FC"/>
          </w:tcPr>
          <w:p>
            <w:pPr>
              <w:jc w:val="right"/>
              <w:ind w:right="3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760" w:type="dxa"/>
            <w:vAlign w:val="bottom"/>
            <w:shd w:val="clear" w:color="auto" w:fill="CFF0FC"/>
          </w:tcPr>
          <w:p>
            <w:pPr>
              <w:jc w:val="right"/>
              <w:ind w:right="5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Supplemental Disclosures of Cash Flow Information and Non-Cash Financing and Investing Activities</w:t>
      </w:r>
    </w:p>
    <w:p>
      <w:pPr>
        <w:spacing w:after="0" w:line="94" w:lineRule="exact"/>
        <w:rPr>
          <w:sz w:val="20"/>
          <w:szCs w:val="20"/>
          <w:color w:val="auto"/>
        </w:rPr>
      </w:pPr>
    </w:p>
    <w:p>
      <w:pPr>
        <w:ind w:right="20" w:firstLine="696"/>
        <w:spacing w:after="0" w:line="331"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had an impact of $66 million from foreign exchange rate changes on cash, cash equivalents and restricted cash inclusive of fiduciary cash reported on its Condensed Consolidated Statements of Cash Flows due to the change in currency exchange rates.</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Cash paid during the period for interest and income taxes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4000" w:type="dxa"/>
            <w:vAlign w:val="bottom"/>
          </w:tcPr>
          <w:p>
            <w:pPr>
              <w:spacing w:after="0"/>
              <w:rPr>
                <w:sz w:val="13"/>
                <w:szCs w:val="13"/>
                <w:color w:val="auto"/>
              </w:rPr>
            </w:pPr>
          </w:p>
        </w:tc>
        <w:tc>
          <w:tcPr>
            <w:tcW w:w="2960" w:type="dxa"/>
            <w:vAlign w:val="bottom"/>
            <w:gridSpan w:val="3"/>
          </w:tcPr>
          <w:p>
            <w:pPr>
              <w:jc w:val="right"/>
              <w:ind w:right="64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3600" w:type="dxa"/>
            <w:vAlign w:val="bottom"/>
            <w:vMerge w:val="continue"/>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tcPr>
          <w:p>
            <w:pPr>
              <w:jc w:val="right"/>
              <w:ind w:right="66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1200" w:type="dxa"/>
            <w:vAlign w:val="bottom"/>
          </w:tcPr>
          <w:p>
            <w:pPr>
              <w:jc w:val="right"/>
              <w:ind w:right="6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paid during the period for:</w:t>
            </w:r>
          </w:p>
        </w:tc>
        <w:tc>
          <w:tcPr>
            <w:tcW w:w="40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400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4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0"/>
        </w:trPr>
        <w:tc>
          <w:tcPr>
            <w:tcW w:w="3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Income taxes, net of refunds</w:t>
            </w:r>
          </w:p>
        </w:tc>
        <w:tc>
          <w:tcPr>
            <w:tcW w:w="400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319</w:t>
            </w:r>
          </w:p>
        </w:tc>
        <w:tc>
          <w:tcPr>
            <w:tcW w:w="48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562"/>
        </w:trPr>
        <w:tc>
          <w:tcPr>
            <w:tcW w:w="3600" w:type="dxa"/>
            <w:vAlign w:val="bottom"/>
          </w:tcPr>
          <w:p>
            <w:pPr>
              <w:spacing w:after="0"/>
              <w:rPr>
                <w:sz w:val="24"/>
                <w:szCs w:val="24"/>
                <w:color w:val="auto"/>
              </w:rPr>
            </w:pPr>
          </w:p>
        </w:tc>
        <w:tc>
          <w:tcPr>
            <w:tcW w:w="4000" w:type="dxa"/>
            <w:vAlign w:val="bottom"/>
          </w:tcPr>
          <w:p>
            <w:pPr>
              <w:jc w:val="right"/>
              <w:ind w:right="2162"/>
              <w:spacing w:after="0"/>
              <w:rPr>
                <w:sz w:val="20"/>
                <w:szCs w:val="20"/>
                <w:color w:val="auto"/>
              </w:rPr>
            </w:pPr>
            <w:r>
              <w:rPr>
                <w:rFonts w:ascii="Times New Roman" w:cs="Times New Roman" w:eastAsia="Times New Roman" w:hAnsi="Times New Roman"/>
                <w:sz w:val="16"/>
                <w:szCs w:val="16"/>
                <w:color w:val="auto"/>
              </w:rPr>
              <w:t>20</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3600" w:type="dxa"/>
            <w:vAlign w:val="bottom"/>
            <w:tcBorders>
              <w:bottom w:val="single" w:sz="8" w:color="EEEEEE"/>
            </w:tcBorders>
          </w:tcPr>
          <w:p>
            <w:pPr>
              <w:spacing w:after="0"/>
              <w:rPr>
                <w:sz w:val="24"/>
                <w:szCs w:val="24"/>
                <w:color w:val="auto"/>
              </w:rPr>
            </w:pPr>
          </w:p>
        </w:tc>
        <w:tc>
          <w:tcPr>
            <w:tcW w:w="40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0" w:name="page21"/>
    <w:bookmarkEnd w:id="20"/>
    <w:p>
      <w:pPr>
        <w:ind w:right="320" w:firstLine="456"/>
        <w:spacing w:after="0" w:line="259" w:lineRule="auto"/>
        <w:rPr>
          <w:sz w:val="20"/>
          <w:szCs w:val="20"/>
          <w:color w:val="auto"/>
        </w:rPr>
      </w:pPr>
      <w:r>
        <w:rPr>
          <w:rFonts w:ascii="Times New Roman" w:cs="Times New Roman" w:eastAsia="Times New Roman" w:hAnsi="Times New Roman"/>
          <w:sz w:val="16"/>
          <w:szCs w:val="16"/>
          <w:color w:val="auto"/>
        </w:rPr>
        <w:t>During 2024, the Company accrued for and deferred approximately $90 million related to certain federal income tax payments due to Hurricanes Debby and Milton tax relief. These deferrals of income tax payments were paid by the deadline of May 1, 2025.</w:t>
      </w:r>
    </w:p>
    <w:p>
      <w:pPr>
        <w:spacing w:after="0" w:line="59" w:lineRule="exact"/>
        <w:rPr>
          <w:sz w:val="20"/>
          <w:szCs w:val="20"/>
          <w:color w:val="auto"/>
        </w:rPr>
      </w:pPr>
    </w:p>
    <w:p>
      <w:pPr>
        <w:jc w:val="both"/>
        <w:ind w:right="140" w:firstLine="456"/>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2024, the Company paid $91 million related to certain federal income tax payments that were deferred from 2023 due to Hurricane Idalia tax relief and paid approximately $ 30 million of tax payments associated with the gain on disposal of certain third-party claims administration and adjusting services businesses sold in the fourth quarter of 2023.</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Significant non-cash investing and financing activities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480" w:type="dxa"/>
            <w:vAlign w:val="bottom"/>
          </w:tcPr>
          <w:p>
            <w:pPr>
              <w:spacing w:after="0"/>
              <w:rPr>
                <w:sz w:val="13"/>
                <w:szCs w:val="13"/>
                <w:color w:val="auto"/>
              </w:rPr>
            </w:pPr>
          </w:p>
        </w:tc>
        <w:tc>
          <w:tcPr>
            <w:tcW w:w="2940" w:type="dxa"/>
            <w:vAlign w:val="bottom"/>
            <w:gridSpan w:val="3"/>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614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jc w:val="right"/>
              <w:ind w:right="6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payables issued for agency acquisitions and purchased customer accounts</w:t>
            </w:r>
          </w:p>
        </w:tc>
        <w:tc>
          <w:tcPr>
            <w:tcW w:w="148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699</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Estimated acquisition earn-out payables issued for agency acquisitions</w:t>
            </w:r>
          </w:p>
        </w:tc>
        <w:tc>
          <w:tcPr>
            <w:tcW w:w="148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46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6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Assumed acquisition earn-out payables</w:t>
            </w:r>
          </w:p>
        </w:tc>
        <w:tc>
          <w:tcPr>
            <w:tcW w:w="148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439</w:t>
            </w:r>
          </w:p>
        </w:tc>
        <w:tc>
          <w:tcPr>
            <w:tcW w:w="46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for agency acquisition</w:t>
            </w: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612</w:t>
            </w:r>
          </w:p>
        </w:tc>
        <w:tc>
          <w:tcPr>
            <w:tcW w:w="4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40" w:firstLine="456"/>
        <w:spacing w:after="0" w:line="247" w:lineRule="auto"/>
        <w:rPr>
          <w:sz w:val="20"/>
          <w:szCs w:val="20"/>
          <w:color w:val="auto"/>
        </w:rPr>
      </w:pPr>
      <w:r>
        <w:rPr>
          <w:rFonts w:ascii="Times New Roman" w:cs="Times New Roman" w:eastAsia="Times New Roman" w:hAnsi="Times New Roman"/>
          <w:sz w:val="16"/>
          <w:szCs w:val="16"/>
          <w:color w:val="auto"/>
        </w:rPr>
        <w:t>The Company's restricted cash balances relate to amounts held in escrow in accordance with the Merger Agreement. Once all claims related to certain indemnification matters described in the Merger Agreement are resolved, the remaining cash in the escrow account will be released to the equityholders. Restricted cash is presented within other assets in the Company's Condensed 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4"/>
          </w:tcPr>
          <w:p>
            <w:pPr>
              <w:jc w:val="right"/>
              <w:ind w:right="884"/>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0" w:type="dxa"/>
            <w:vAlign w:val="bottom"/>
          </w:tcPr>
          <w:p>
            <w:pPr>
              <w:spacing w:after="0"/>
              <w:rPr>
                <w:sz w:val="1"/>
                <w:szCs w:val="1"/>
                <w:color w:val="auto"/>
              </w:rPr>
            </w:pPr>
          </w:p>
        </w:tc>
      </w:tr>
      <w:tr>
        <w:trPr>
          <w:trHeight w:val="170"/>
        </w:trPr>
        <w:tc>
          <w:tcPr>
            <w:tcW w:w="6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64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6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0"/>
        </w:trPr>
        <w:tc>
          <w:tcPr>
            <w:tcW w:w="6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Table to reconcile cash, cash equivalents and restricted cash inclusive of fiduciary cash</w:t>
            </w:r>
          </w:p>
        </w:tc>
        <w:tc>
          <w:tcPr>
            <w:tcW w:w="4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gridSpan w:val="2"/>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1,190</w:t>
            </w:r>
          </w:p>
        </w:tc>
        <w:tc>
          <w:tcPr>
            <w:tcW w:w="5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180"/>
        </w:trPr>
        <w:tc>
          <w:tcPr>
            <w:tcW w:w="6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Fiduciary cash</w:t>
            </w:r>
          </w:p>
        </w:tc>
        <w:tc>
          <w:tcPr>
            <w:tcW w:w="4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2,271</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180"/>
        </w:trPr>
        <w:tc>
          <w:tcPr>
            <w:tcW w:w="6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263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67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cash, cash equivalents and restricted cash inclusive of fiduciary cash at the end of the period</w:t>
            </w: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3,724</w:t>
            </w:r>
          </w:p>
        </w:tc>
        <w:tc>
          <w:tcPr>
            <w:tcW w:w="5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Legal and Regulatory Proceedings</w:t>
      </w:r>
    </w:p>
    <w:p>
      <w:pPr>
        <w:spacing w:after="0" w:line="94"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4"/>
          <w:szCs w:val="14"/>
          <w:color w:val="auto"/>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spacing w:after="0" w:line="41" w:lineRule="exact"/>
        <w:rPr>
          <w:sz w:val="20"/>
          <w:szCs w:val="20"/>
          <w:color w:val="auto"/>
        </w:rPr>
      </w:pPr>
    </w:p>
    <w:p>
      <w:pPr>
        <w:ind w:firstLine="456"/>
        <w:spacing w:after="0" w:line="278" w:lineRule="auto"/>
        <w:rPr>
          <w:sz w:val="20"/>
          <w:szCs w:val="20"/>
          <w:color w:val="auto"/>
        </w:rPr>
      </w:pPr>
      <w:r>
        <w:rPr>
          <w:rFonts w:ascii="Times New Roman" w:cs="Times New Roman" w:eastAsia="Times New Roman" w:hAnsi="Times New Roman"/>
          <w:sz w:val="14"/>
          <w:szCs w:val="14"/>
          <w:color w:val="auto"/>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spacing w:after="0" w:line="231"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6"/>
          <w:szCs w:val="16"/>
          <w:color w:val="auto"/>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1" w:name="page22"/>
    <w:bookmarkEnd w:id="21"/>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Segment Information</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4"/>
          <w:szCs w:val="14"/>
          <w:color w:val="auto"/>
        </w:rPr>
        <w:t>In conjunction with the acquisition of Accession in the third quarter of 2025, the Company aligned its business from three to two segments. As a result of the segment reorganization, the Company consolidated its Programs and Wholesale Brokerage segments into a new Specialty Distribution segment. As a result, beginning in the third quarter of 2025, the Company reports its financial results in the following two reportable segments: (i) the Retail segment, which provides a broad range of insurance products and services to commercial, public and quasi-public entities, and to professional and individual customers, and non-insurance risk- mitigating products through our F&amp;I businesses; and (ii) the Specialty Distributions segment, which consists of our programs, wholesale brokerage and specialty businesses. Our programs businesses which act as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Our wholesale brokerage businesses underwrite and place excess and surplus commercial and personal lines insurance, typically for specialized or hard-to-place types of risks, primarily through a global network of independent agents and brokers, including Brown &amp; Brown retail agents. Our specialty business offers solutions across affinity and administrative services, captives, reinsurance, travel/accident, warranty, and life &amp; health.</w:t>
      </w: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balances presented for periods prior to September 30, 2025 have been recast to align with the two-segment structure.</w:t>
      </w:r>
    </w:p>
    <w:p>
      <w:pPr>
        <w:spacing w:after="0" w:line="92" w:lineRule="exact"/>
        <w:rPr>
          <w:sz w:val="20"/>
          <w:szCs w:val="20"/>
          <w:color w:val="auto"/>
        </w:rPr>
      </w:pPr>
    </w:p>
    <w:p>
      <w:pPr>
        <w:jc w:val="both"/>
        <w:ind w:right="80" w:firstLine="456"/>
        <w:spacing w:after="0" w:line="241" w:lineRule="auto"/>
        <w:rPr>
          <w:sz w:val="20"/>
          <w:szCs w:val="20"/>
          <w:color w:val="auto"/>
        </w:rPr>
      </w:pPr>
      <w:r>
        <w:rPr>
          <w:rFonts w:ascii="Times New Roman" w:cs="Times New Roman" w:eastAsia="Times New Roman" w:hAnsi="Times New Roman"/>
          <w:sz w:val="16"/>
          <w:szCs w:val="16"/>
          <w:color w:val="auto"/>
        </w:rPr>
        <w:t>Brown &amp; Brown conducts most of its operations within the U.S., International retail operations include businesses based in Bermuda, Canada, Cayman Islands, the Netherlands, Republic of Ireland and the United Kingdom; specialty distribution operations are in Belgium, Canada, France, Germany, Hong Kong, Italy, Malaysia, the Netherlands, Singapore, United Arab Emirates and the United Kingdom. These international operations earned $196 million and $155 million of total revenues for the three months ended September 30, 2025 and 2024, respectively. These international operations earned $638 million and $486 million of total revenues for the nine months ended September 30, 2025 and 2024, respectively.</w:t>
      </w:r>
    </w:p>
    <w:p>
      <w:pPr>
        <w:spacing w:after="0" w:line="73"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4"/>
          <w:szCs w:val="14"/>
          <w:color w:val="auto"/>
        </w:rPr>
        <w:t>The Company's chief operating decision maker ("CODM"), the president and chief executive officer, regularly receives segment information on total revenue, organic revenue growth, income before income taxes and earnings before interest, income taxes, depreciation, amortization and change in estimated acquisition earn-out payables ("EBITDAC") . The metrics are used to review operating trends, to perform analytical comparisons between periods and to monitor budget to actual variances. The Company's CODM does not use segment assets to make resource allocation decisions; and therefore, segment assets have not been presented.</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Summarized financial information concerning the Company’s reportable segments is shown in the following tables.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900" w:type="dxa"/>
            <w:vAlign w:val="bottom"/>
          </w:tcPr>
          <w:p>
            <w:pPr>
              <w:spacing w:after="0"/>
              <w:rPr>
                <w:sz w:val="13"/>
                <w:szCs w:val="13"/>
                <w:color w:val="auto"/>
              </w:rPr>
            </w:pPr>
          </w:p>
        </w:tc>
        <w:tc>
          <w:tcPr>
            <w:tcW w:w="3340" w:type="dxa"/>
            <w:vAlign w:val="bottom"/>
            <w:gridSpan w:val="4"/>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0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80" w:type="dxa"/>
            <w:vAlign w:val="bottom"/>
          </w:tcPr>
          <w:p>
            <w:pPr>
              <w:spacing w:after="0"/>
              <w:rPr>
                <w:sz w:val="14"/>
                <w:szCs w:val="14"/>
                <w:color w:val="auto"/>
              </w:rPr>
            </w:pPr>
          </w:p>
        </w:tc>
        <w:tc>
          <w:tcPr>
            <w:tcW w:w="154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w w:val="98"/>
              </w:rPr>
              <w:t>Specialty Distribution</w:t>
            </w:r>
          </w:p>
        </w:tc>
        <w:tc>
          <w:tcPr>
            <w:tcW w:w="3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segment revenues</w:t>
            </w:r>
          </w:p>
        </w:tc>
        <w:tc>
          <w:tcPr>
            <w:tcW w:w="19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681</w:t>
            </w:r>
          </w:p>
        </w:tc>
        <w:tc>
          <w:tcPr>
            <w:tcW w:w="3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revenues</w:t>
            </w:r>
          </w:p>
        </w:tc>
        <w:tc>
          <w:tcPr>
            <w:tcW w:w="1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9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consolidated revenues</w:t>
            </w:r>
          </w:p>
        </w:tc>
        <w:tc>
          <w:tcPr>
            <w:tcW w:w="1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1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 xml:space="preserve">Less: </w:t>
            </w:r>
            <w:r>
              <w:rPr>
                <w:rFonts w:ascii="Times New Roman" w:cs="Times New Roman" w:eastAsia="Times New Roman" w:hAnsi="Times New Roman"/>
                <w:sz w:val="18"/>
                <w:szCs w:val="18"/>
                <w:color w:val="auto"/>
                <w:vertAlign w:val="superscript"/>
              </w:rPr>
              <w:t>(2)</w:t>
            </w:r>
          </w:p>
        </w:tc>
        <w:tc>
          <w:tcPr>
            <w:tcW w:w="19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900" w:type="dxa"/>
            <w:vAlign w:val="bottom"/>
          </w:tcPr>
          <w:p>
            <w:pPr>
              <w:spacing w:after="0"/>
              <w:rPr>
                <w:sz w:val="15"/>
                <w:szCs w:val="15"/>
                <w:color w:val="auto"/>
              </w:rPr>
            </w:pPr>
          </w:p>
        </w:tc>
        <w:tc>
          <w:tcPr>
            <w:tcW w:w="12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493</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252</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9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900" w:type="dxa"/>
            <w:vAlign w:val="bottom"/>
          </w:tcPr>
          <w:p>
            <w:pPr>
              <w:spacing w:after="0"/>
              <w:rPr>
                <w:sz w:val="15"/>
                <w:szCs w:val="15"/>
                <w:color w:val="auto"/>
              </w:rPr>
            </w:pPr>
          </w:p>
        </w:tc>
        <w:tc>
          <w:tcPr>
            <w:tcW w:w="12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9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19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Segment Income before income taxes</w:t>
            </w:r>
          </w:p>
        </w:tc>
        <w:tc>
          <w:tcPr>
            <w:tcW w:w="19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255</w:t>
            </w: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income before income taxes</w:t>
            </w:r>
          </w:p>
        </w:tc>
        <w:tc>
          <w:tcPr>
            <w:tcW w:w="19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Consolidated Income before income taxes</w:t>
            </w:r>
          </w:p>
        </w:tc>
        <w:tc>
          <w:tcPr>
            <w:tcW w:w="19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0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18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600" w:type="dxa"/>
            <w:vAlign w:val="bottom"/>
          </w:tcPr>
          <w:p>
            <w:pPr>
              <w:spacing w:after="0"/>
              <w:rPr>
                <w:sz w:val="13"/>
                <w:szCs w:val="13"/>
                <w:color w:val="auto"/>
              </w:rPr>
            </w:pPr>
          </w:p>
        </w:tc>
        <w:tc>
          <w:tcPr>
            <w:tcW w:w="3340" w:type="dxa"/>
            <w:vAlign w:val="bottom"/>
            <w:gridSpan w:val="4"/>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80" w:type="dxa"/>
            <w:vAlign w:val="bottom"/>
          </w:tcPr>
          <w:p>
            <w:pPr>
              <w:spacing w:after="0"/>
              <w:rPr>
                <w:sz w:val="14"/>
                <w:szCs w:val="14"/>
                <w:color w:val="auto"/>
              </w:rPr>
            </w:pPr>
          </w:p>
        </w:tc>
        <w:tc>
          <w:tcPr>
            <w:tcW w:w="154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w w:val="98"/>
              </w:rPr>
              <w:t>Specialty Distribution</w:t>
            </w:r>
          </w:p>
        </w:tc>
        <w:tc>
          <w:tcPr>
            <w:tcW w:w="3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segment revenues</w:t>
            </w:r>
          </w:p>
        </w:tc>
        <w:tc>
          <w:tcPr>
            <w:tcW w:w="16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524</w:t>
            </w:r>
          </w:p>
        </w:tc>
        <w:tc>
          <w:tcPr>
            <w:tcW w:w="380" w:type="dxa"/>
            <w:vAlign w:val="bottom"/>
            <w:shd w:val="clear" w:color="auto" w:fill="CFF0FC"/>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revenues</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6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consolidated revenues</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 xml:space="preserve">Less: </w:t>
            </w:r>
            <w:r>
              <w:rPr>
                <w:rFonts w:ascii="Times New Roman" w:cs="Times New Roman" w:eastAsia="Times New Roman" w:hAnsi="Times New Roman"/>
                <w:sz w:val="18"/>
                <w:szCs w:val="18"/>
                <w:color w:val="auto"/>
                <w:vertAlign w:val="superscript"/>
              </w:rPr>
              <w:t>(2)</w:t>
            </w:r>
          </w:p>
        </w:tc>
        <w:tc>
          <w:tcPr>
            <w:tcW w:w="16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600" w:type="dxa"/>
            <w:vAlign w:val="bottom"/>
          </w:tcPr>
          <w:p>
            <w:pPr>
              <w:spacing w:after="0"/>
              <w:rPr>
                <w:sz w:val="15"/>
                <w:szCs w:val="15"/>
                <w:color w:val="auto"/>
              </w:rPr>
            </w:pPr>
          </w:p>
        </w:tc>
        <w:tc>
          <w:tcPr>
            <w:tcW w:w="12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364</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6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60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6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600" w:type="dxa"/>
            <w:vAlign w:val="bottom"/>
          </w:tcPr>
          <w:p>
            <w:pPr>
              <w:spacing w:after="0"/>
              <w:rPr>
                <w:sz w:val="15"/>
                <w:szCs w:val="15"/>
                <w:color w:val="auto"/>
              </w:rPr>
            </w:pPr>
          </w:p>
        </w:tc>
        <w:tc>
          <w:tcPr>
            <w:tcW w:w="12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16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Segment Income before income taxes</w:t>
            </w:r>
          </w:p>
        </w:tc>
        <w:tc>
          <w:tcPr>
            <w:tcW w:w="16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38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income before income taxes</w:t>
            </w:r>
          </w:p>
        </w:tc>
        <w:tc>
          <w:tcPr>
            <w:tcW w:w="16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16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80" w:hanging="118"/>
        <w:spacing w:after="0"/>
        <w:tabs>
          <w:tab w:leader="none" w:pos="58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6"/>
          <w:szCs w:val="16"/>
          <w:color w:val="auto"/>
        </w:rPr>
        <w:t>"Other" includes any income and expenses not allocated to reportable segments and corporate-related items.</w:t>
      </w:r>
    </w:p>
    <w:p>
      <w:pPr>
        <w:spacing w:after="0" w:line="92" w:lineRule="exact"/>
        <w:rPr>
          <w:rFonts w:ascii="Times New Roman" w:cs="Times New Roman" w:eastAsia="Times New Roman" w:hAnsi="Times New Roman"/>
          <w:sz w:val="7"/>
          <w:szCs w:val="7"/>
          <w:color w:val="auto"/>
        </w:rPr>
      </w:pPr>
    </w:p>
    <w:p>
      <w:pPr>
        <w:ind w:left="580" w:hanging="118"/>
        <w:spacing w:after="0"/>
        <w:tabs>
          <w:tab w:leader="none" w:pos="580" w:val="left"/>
        </w:tabs>
        <w:numPr>
          <w:ilvl w:val="0"/>
          <w:numId w:val="3"/>
        </w:numPr>
        <w:rPr>
          <w:rFonts w:ascii="Times New Roman" w:cs="Times New Roman" w:eastAsia="Times New Roman" w:hAnsi="Times New Roman"/>
          <w:sz w:val="7"/>
          <w:szCs w:val="7"/>
          <w:color w:val="auto"/>
        </w:rPr>
      </w:pPr>
      <w:r>
        <w:rPr>
          <w:rFonts w:ascii="Times New Roman" w:cs="Times New Roman" w:eastAsia="Times New Roman" w:hAnsi="Times New Roman"/>
          <w:sz w:val="16"/>
          <w:szCs w:val="16"/>
          <w:color w:val="auto"/>
        </w:rPr>
        <w:t>Significant expense categories and amounts align with the segment-level information that is regularly provided to the CODM.</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900" w:type="dxa"/>
            <w:vAlign w:val="bottom"/>
          </w:tcPr>
          <w:p>
            <w:pPr>
              <w:spacing w:after="0"/>
              <w:rPr>
                <w:sz w:val="13"/>
                <w:szCs w:val="13"/>
                <w:color w:val="auto"/>
              </w:rPr>
            </w:pPr>
          </w:p>
        </w:tc>
        <w:tc>
          <w:tcPr>
            <w:tcW w:w="3320" w:type="dxa"/>
            <w:vAlign w:val="bottom"/>
            <w:gridSpan w:val="4"/>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0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122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200" w:type="dxa"/>
            <w:vAlign w:val="bottom"/>
          </w:tcPr>
          <w:p>
            <w:pPr>
              <w:spacing w:after="0"/>
              <w:rPr>
                <w:sz w:val="14"/>
                <w:szCs w:val="14"/>
                <w:color w:val="auto"/>
              </w:rPr>
            </w:pPr>
          </w:p>
        </w:tc>
        <w:tc>
          <w:tcPr>
            <w:tcW w:w="154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w w:val="98"/>
              </w:rPr>
              <w:t>Specialty Distribution</w:t>
            </w:r>
          </w:p>
        </w:tc>
        <w:tc>
          <w:tcPr>
            <w:tcW w:w="36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segment revenues</w:t>
            </w:r>
          </w:p>
        </w:tc>
        <w:tc>
          <w:tcPr>
            <w:tcW w:w="19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2,487</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1,731</w:t>
            </w: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4,218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revenues</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9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consolidated revenues</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4,295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1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 xml:space="preserve">Less: </w:t>
            </w:r>
            <w:r>
              <w:rPr>
                <w:rFonts w:ascii="Times New Roman" w:cs="Times New Roman" w:eastAsia="Times New Roman" w:hAnsi="Times New Roman"/>
                <w:sz w:val="18"/>
                <w:szCs w:val="18"/>
                <w:color w:val="auto"/>
                <w:vertAlign w:val="superscript"/>
              </w:rPr>
              <w:t>(2)</w:t>
            </w:r>
          </w:p>
        </w:tc>
        <w:tc>
          <w:tcPr>
            <w:tcW w:w="19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900" w:type="dxa"/>
            <w:vAlign w:val="bottom"/>
          </w:tcPr>
          <w:p>
            <w:pPr>
              <w:spacing w:after="0"/>
              <w:rPr>
                <w:sz w:val="15"/>
                <w:szCs w:val="15"/>
                <w:color w:val="auto"/>
              </w:rPr>
            </w:pPr>
          </w:p>
        </w:tc>
        <w:tc>
          <w:tcPr>
            <w:tcW w:w="122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1,326</w:t>
            </w:r>
          </w:p>
        </w:tc>
        <w:tc>
          <w:tcPr>
            <w:tcW w:w="20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653</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9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2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900" w:type="dxa"/>
            <w:vAlign w:val="bottom"/>
          </w:tcPr>
          <w:p>
            <w:pPr>
              <w:spacing w:after="0"/>
              <w:rPr>
                <w:sz w:val="15"/>
                <w:szCs w:val="15"/>
                <w:color w:val="auto"/>
              </w:rPr>
            </w:pPr>
          </w:p>
        </w:tc>
        <w:tc>
          <w:tcPr>
            <w:tcW w:w="122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6"/>
                <w:szCs w:val="16"/>
                <w:color w:val="auto"/>
              </w:rPr>
              <w:t>71</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900" w:type="dxa"/>
            <w:vAlign w:val="bottom"/>
          </w:tcPr>
          <w:p>
            <w:pPr>
              <w:spacing w:after="0"/>
              <w:rPr>
                <w:sz w:val="15"/>
                <w:szCs w:val="15"/>
                <w:color w:val="auto"/>
              </w:rPr>
            </w:pPr>
          </w:p>
        </w:tc>
        <w:tc>
          <w:tcPr>
            <w:tcW w:w="122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19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Segment Income before income taxes</w:t>
            </w:r>
          </w:p>
        </w:tc>
        <w:tc>
          <w:tcPr>
            <w:tcW w:w="190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654</w:t>
            </w:r>
          </w:p>
        </w:tc>
        <w:tc>
          <w:tcPr>
            <w:tcW w:w="3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income before income taxes</w:t>
            </w:r>
          </w:p>
        </w:tc>
        <w:tc>
          <w:tcPr>
            <w:tcW w:w="19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Consolidated Income before income taxes</w:t>
            </w:r>
          </w:p>
        </w:tc>
        <w:tc>
          <w:tcPr>
            <w:tcW w:w="19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418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jc w:val="right"/>
              <w:ind w:right="662"/>
              <w:spacing w:after="0"/>
              <w:rPr>
                <w:sz w:val="20"/>
                <w:szCs w:val="20"/>
                <w:color w:val="auto"/>
              </w:rPr>
            </w:pPr>
            <w:r>
              <w:rPr>
                <w:rFonts w:ascii="Times New Roman" w:cs="Times New Roman" w:eastAsia="Times New Roman" w:hAnsi="Times New Roman"/>
                <w:sz w:val="16"/>
                <w:szCs w:val="16"/>
                <w:color w:val="auto"/>
              </w:rPr>
              <w:t>23</w:t>
            </w:r>
          </w:p>
        </w:tc>
        <w:tc>
          <w:tcPr>
            <w:tcW w:w="12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418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 w:name="page24"/>
    <w:bookmarkEnd w:id="23"/>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620" w:type="dxa"/>
            <w:vAlign w:val="bottom"/>
          </w:tcPr>
          <w:p>
            <w:pPr>
              <w:spacing w:after="0"/>
              <w:rPr>
                <w:sz w:val="13"/>
                <w:szCs w:val="13"/>
                <w:color w:val="auto"/>
              </w:rPr>
            </w:pPr>
          </w:p>
        </w:tc>
        <w:tc>
          <w:tcPr>
            <w:tcW w:w="3320" w:type="dxa"/>
            <w:vAlign w:val="bottom"/>
            <w:gridSpan w:val="4"/>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80" w:type="dxa"/>
            <w:vAlign w:val="bottom"/>
          </w:tcPr>
          <w:p>
            <w:pPr>
              <w:spacing w:after="0"/>
              <w:rPr>
                <w:sz w:val="14"/>
                <w:szCs w:val="14"/>
                <w:color w:val="auto"/>
              </w:rPr>
            </w:pPr>
          </w:p>
        </w:tc>
        <w:tc>
          <w:tcPr>
            <w:tcW w:w="154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w w:val="98"/>
              </w:rPr>
              <w:t>Specialty Distribution</w:t>
            </w:r>
          </w:p>
        </w:tc>
        <w:tc>
          <w:tcPr>
            <w:tcW w:w="36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segment revenues</w:t>
            </w:r>
          </w:p>
        </w:tc>
        <w:tc>
          <w:tcPr>
            <w:tcW w:w="16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2,093</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1,482</w:t>
            </w: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revenues</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6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consolidated revenues</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 xml:space="preserve">Less: </w:t>
            </w:r>
            <w:r>
              <w:rPr>
                <w:rFonts w:ascii="Times New Roman" w:cs="Times New Roman" w:eastAsia="Times New Roman" w:hAnsi="Times New Roman"/>
                <w:sz w:val="18"/>
                <w:szCs w:val="18"/>
                <w:color w:val="auto"/>
                <w:vertAlign w:val="superscript"/>
              </w:rPr>
              <w:t>(2)</w:t>
            </w:r>
          </w:p>
        </w:tc>
        <w:tc>
          <w:tcPr>
            <w:tcW w:w="16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620" w:type="dxa"/>
            <w:vAlign w:val="bottom"/>
          </w:tcPr>
          <w:p>
            <w:pPr>
              <w:spacing w:after="0"/>
              <w:rPr>
                <w:sz w:val="15"/>
                <w:szCs w:val="15"/>
                <w:color w:val="auto"/>
              </w:rPr>
            </w:pPr>
          </w:p>
        </w:tc>
        <w:tc>
          <w:tcPr>
            <w:tcW w:w="12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1,118</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570</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6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620" w:type="dxa"/>
            <w:vAlign w:val="bottom"/>
          </w:tcPr>
          <w:p>
            <w:pPr>
              <w:spacing w:after="0"/>
              <w:rPr>
                <w:sz w:val="15"/>
                <w:szCs w:val="15"/>
                <w:color w:val="auto"/>
              </w:rPr>
            </w:pPr>
          </w:p>
        </w:tc>
        <w:tc>
          <w:tcPr>
            <w:tcW w:w="124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5"/>
                <w:szCs w:val="15"/>
                <w:color w:val="auto"/>
              </w:rPr>
            </w:pPr>
          </w:p>
        </w:tc>
        <w:tc>
          <w:tcPr>
            <w:tcW w:w="154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6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620" w:type="dxa"/>
            <w:vAlign w:val="bottom"/>
          </w:tcPr>
          <w:p>
            <w:pPr>
              <w:spacing w:after="0"/>
              <w:rPr>
                <w:sz w:val="15"/>
                <w:szCs w:val="15"/>
                <w:color w:val="auto"/>
              </w:rPr>
            </w:pPr>
          </w:p>
        </w:tc>
        <w:tc>
          <w:tcPr>
            <w:tcW w:w="12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15"/>
                <w:szCs w:val="15"/>
                <w:color w:val="auto"/>
              </w:rPr>
            </w:pP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estimated acquisition earn-out payables</w:t>
            </w:r>
          </w:p>
        </w:tc>
        <w:tc>
          <w:tcPr>
            <w:tcW w:w="162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(7)</w:t>
            </w: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Segment Income before income taxes</w:t>
            </w:r>
          </w:p>
        </w:tc>
        <w:tc>
          <w:tcPr>
            <w:tcW w:w="162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488</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63"/>
              <w:spacing w:after="0" w:line="180" w:lineRule="exact"/>
              <w:rPr>
                <w:sz w:val="20"/>
                <w:szCs w:val="20"/>
                <w:color w:val="auto"/>
              </w:rPr>
            </w:pPr>
            <w:r>
              <w:rPr>
                <w:rFonts w:ascii="Times New Roman" w:cs="Times New Roman" w:eastAsia="Times New Roman" w:hAnsi="Times New Roman"/>
                <w:sz w:val="16"/>
                <w:szCs w:val="16"/>
                <w:color w:val="auto"/>
              </w:rPr>
              <w:t>584</w:t>
            </w:r>
          </w:p>
        </w:tc>
        <w:tc>
          <w:tcPr>
            <w:tcW w:w="360" w:type="dxa"/>
            <w:vAlign w:val="bottom"/>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of income before income taxes</w:t>
            </w:r>
          </w:p>
        </w:tc>
        <w:tc>
          <w:tcPr>
            <w:tcW w:w="16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0"/>
                <w:szCs w:val="20"/>
                <w:color w:val="auto"/>
                <w:vertAlign w:val="superscript"/>
              </w:rPr>
              <w:t>(1)</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Consolidated Income before income taxes</w:t>
            </w:r>
          </w:p>
        </w:tc>
        <w:tc>
          <w:tcPr>
            <w:tcW w:w="16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580" w:hanging="118"/>
        <w:spacing w:after="0"/>
        <w:tabs>
          <w:tab w:leader="none" w:pos="580"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16"/>
          <w:szCs w:val="16"/>
          <w:color w:val="auto"/>
        </w:rPr>
        <w:t>"Other" includes any income and expenses not allocated to reportable segments and corporate-related items.</w:t>
      </w:r>
    </w:p>
    <w:p>
      <w:pPr>
        <w:spacing w:after="0" w:line="92" w:lineRule="exact"/>
        <w:rPr>
          <w:rFonts w:ascii="Times New Roman" w:cs="Times New Roman" w:eastAsia="Times New Roman" w:hAnsi="Times New Roman"/>
          <w:sz w:val="7"/>
          <w:szCs w:val="7"/>
          <w:color w:val="auto"/>
        </w:rPr>
      </w:pPr>
    </w:p>
    <w:p>
      <w:pPr>
        <w:ind w:left="580" w:hanging="118"/>
        <w:spacing w:after="0"/>
        <w:tabs>
          <w:tab w:leader="none" w:pos="580"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16"/>
          <w:szCs w:val="16"/>
          <w:color w:val="auto"/>
        </w:rPr>
        <w:t>Significant expense categories and amounts align with the segment-level information that is regularly provided to the CODM.</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Insurance Company Subsidiary Operations</w:t>
      </w:r>
    </w:p>
    <w:p>
      <w:pPr>
        <w:spacing w:after="0" w:line="94"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The Company operates a write -your-own flood insurance carrier, Wright National Flood Insurance Company. WNFIC’s underwriting business consists of policies written pursuant to the NFIP, the program administered by FEMA to which premiums and underwriting exposure are ceded, and excess flood policies, which are fully reinsured in the private market. Congressional authorization for the NFIP is periodically evaluated and may be subject to potential government shutdowns. The Company sells excess flood policies, which are 100% ceded to a highly rated reinsurance carrier.</w:t>
      </w:r>
    </w:p>
    <w:p>
      <w:pPr>
        <w:spacing w:after="0" w:line="71"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4"/>
          <w:szCs w:val="14"/>
          <w:color w:val="auto"/>
        </w:rPr>
        <w:t>The Company operates and/or participates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These respective entities are utilized for the purpose of managing SCICs, facilitating additional underwriting capacity, generating incremental revenues and/or participating in underwriting results. The Company acquired the SCICs through our acquisition of Accession. We consolidated the SCICs after determining they qualify as Variable Interest Entities (VIEs), and the Company is the primary beneficiary. The SCICs are required to follow the regulatory requirements of their respective domiciliary governments; and, the Company has no other restrictions over the use of the assets or liabilities of the SCICs.</w:t>
      </w:r>
    </w:p>
    <w:p>
      <w:pPr>
        <w:spacing w:after="0" w:line="49"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4"/>
          <w:szCs w:val="14"/>
          <w:color w:val="auto"/>
        </w:rPr>
        <w:t>The Company purchases reinsurance from other insurance companies to limit total exposure. In addition, the Company cedes insurance risk to other insurance companies and the U.S. government as permitted by the NFIP. The Company’s SCICs are created for clients to insure their risks and manage the costs of their insurance programs. In these arrangements, the Company acts as a fronting insurer and enters into reinsurance treaties, under which the Company has ceded all of the liabilities to client-owned captive cells through cross collateralization between the cells. The premiums and underwriting exposure related to the Company’s SCIC insurance operations are fully ceded to the client-owned captive cells such that the Company’s SCIC operations have no underwriting risk on a net written basis.</w:t>
      </w:r>
    </w:p>
    <w:p>
      <w:pPr>
        <w:spacing w:after="0" w:line="44" w:lineRule="exact"/>
        <w:rPr>
          <w:sz w:val="20"/>
          <w:szCs w:val="20"/>
          <w:color w:val="auto"/>
        </w:rPr>
      </w:pPr>
    </w:p>
    <w:p>
      <w:pPr>
        <w:ind w:right="80" w:firstLine="456"/>
        <w:spacing w:after="0" w:line="247" w:lineRule="auto"/>
        <w:rPr>
          <w:sz w:val="20"/>
          <w:szCs w:val="20"/>
          <w:color w:val="auto"/>
        </w:rPr>
      </w:pPr>
      <w:r>
        <w:rPr>
          <w:rFonts w:ascii="Times New Roman" w:cs="Times New Roman" w:eastAsia="Times New Roman" w:hAnsi="Times New Roman"/>
          <w:sz w:val="16"/>
          <w:szCs w:val="16"/>
          <w:color w:val="auto"/>
        </w:rPr>
        <w:t>The quota share captive participates in risk sharing on policies placed by certain of our MGU businesses that currently underwrite property insurance for earthquake and wind exposed properties. A portion of written premiums are ceded to reinsurance companies, limiting, but not fully eliminating the Company's exposure to underwriting losses.</w:t>
      </w:r>
    </w:p>
    <w:p>
      <w:pPr>
        <w:spacing w:after="0" w:line="68" w:lineRule="exact"/>
        <w:rPr>
          <w:sz w:val="20"/>
          <w:szCs w:val="20"/>
          <w:color w:val="auto"/>
        </w:rPr>
      </w:pPr>
    </w:p>
    <w:p>
      <w:pPr>
        <w:ind w:right="360" w:firstLine="456"/>
        <w:spacing w:after="0" w:line="247" w:lineRule="auto"/>
        <w:rPr>
          <w:sz w:val="20"/>
          <w:szCs w:val="20"/>
          <w:color w:val="auto"/>
        </w:rPr>
      </w:pPr>
      <w:r>
        <w:rPr>
          <w:rFonts w:ascii="Times New Roman" w:cs="Times New Roman" w:eastAsia="Times New Roman" w:hAnsi="Times New Roman"/>
          <w:sz w:val="16"/>
          <w:szCs w:val="16"/>
          <w:color w:val="auto"/>
        </w:rPr>
        <w:t>The excess of loss layer captive participates in risk sharing on policies placed by one of our MGU businesses that underwrites risks associated with personal property, excluding flood, primarily in the southeastern United States with one layer of per risk excess reinsurance and three layers of catastrophe per occurrence reinsurance. All four layers have limited reinstatements; and therefore, the layers have capped, maximum aggregate limits.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effects of reinsurance on premiums written and earned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80" w:type="dxa"/>
            <w:vAlign w:val="bottom"/>
          </w:tcPr>
          <w:p>
            <w:pPr>
              <w:spacing w:after="0"/>
              <w:rPr>
                <w:sz w:val="13"/>
                <w:szCs w:val="13"/>
                <w:color w:val="auto"/>
              </w:rPr>
            </w:pPr>
          </w:p>
        </w:tc>
        <w:tc>
          <w:tcPr>
            <w:tcW w:w="2980" w:type="dxa"/>
            <w:vAlign w:val="bottom"/>
            <w:gridSpan w:val="4"/>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0" w:type="dxa"/>
            <w:vAlign w:val="bottom"/>
          </w:tcPr>
          <w:p>
            <w:pPr>
              <w:spacing w:after="0"/>
              <w:rPr>
                <w:sz w:val="1"/>
                <w:szCs w:val="1"/>
                <w:color w:val="auto"/>
              </w:rPr>
            </w:pPr>
          </w:p>
        </w:tc>
      </w:tr>
      <w:tr>
        <w:trPr>
          <w:trHeight w:val="170"/>
        </w:trPr>
        <w:tc>
          <w:tcPr>
            <w:tcW w:w="7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Written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0" w:type="dxa"/>
            <w:vAlign w:val="bottom"/>
          </w:tcPr>
          <w:p>
            <w:pPr>
              <w:spacing w:after="0"/>
              <w:rPr>
                <w:sz w:val="1"/>
                <w:szCs w:val="1"/>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WNFIC:</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Direct</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838</w:t>
            </w:r>
          </w:p>
        </w:tc>
        <w:tc>
          <w:tcPr>
            <w:tcW w:w="4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180"/>
        </w:trPr>
        <w:tc>
          <w:tcPr>
            <w:tcW w:w="73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Ceded</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180"/>
        </w:trPr>
        <w:tc>
          <w:tcPr>
            <w:tcW w:w="73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Net premiums - WNFIC</w:t>
            </w:r>
          </w:p>
        </w:tc>
        <w:tc>
          <w:tcPr>
            <w:tcW w:w="280" w:type="dxa"/>
            <w:vAlign w:val="bottom"/>
          </w:tcPr>
          <w:p>
            <w:pPr>
              <w:spacing w:after="0"/>
              <w:rPr>
                <w:sz w:val="15"/>
                <w:szCs w:val="15"/>
                <w:color w:val="auto"/>
              </w:rPr>
            </w:pPr>
          </w:p>
        </w:tc>
        <w:tc>
          <w:tcPr>
            <w:tcW w:w="12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Captives: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Direct</w:t>
            </w:r>
          </w:p>
        </w:tc>
        <w:tc>
          <w:tcPr>
            <w:tcW w:w="280" w:type="dxa"/>
            <w:vAlign w:val="bottom"/>
          </w:tcPr>
          <w:p>
            <w:pPr>
              <w:spacing w:after="0"/>
              <w:rPr>
                <w:sz w:val="15"/>
                <w:szCs w:val="15"/>
                <w:color w:val="auto"/>
              </w:rPr>
            </w:pPr>
          </w:p>
        </w:tc>
        <w:tc>
          <w:tcPr>
            <w:tcW w:w="128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180"/>
        </w:trPr>
        <w:tc>
          <w:tcPr>
            <w:tcW w:w="73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Assumed</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80"/>
        </w:trPr>
        <w:tc>
          <w:tcPr>
            <w:tcW w:w="73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Ceded</w:t>
            </w:r>
          </w:p>
        </w:tc>
        <w:tc>
          <w:tcPr>
            <w:tcW w:w="2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80"/>
        </w:trPr>
        <w:tc>
          <w:tcPr>
            <w:tcW w:w="73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Net premiums - Captives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7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premiums - Total</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4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WNFIC</w:t>
      </w:r>
    </w:p>
    <w:p>
      <w:pPr>
        <w:spacing w:after="0" w:line="92" w:lineRule="exact"/>
        <w:rPr>
          <w:sz w:val="20"/>
          <w:szCs w:val="20"/>
          <w:color w:val="auto"/>
        </w:rPr>
      </w:pPr>
    </w:p>
    <w:p>
      <w:pPr>
        <w:jc w:val="both"/>
        <w:ind w:right="300" w:firstLine="456"/>
        <w:spacing w:after="0" w:line="247" w:lineRule="auto"/>
        <w:rPr>
          <w:sz w:val="20"/>
          <w:szCs w:val="20"/>
          <w:color w:val="auto"/>
        </w:rPr>
      </w:pPr>
      <w:r>
        <w:rPr>
          <w:rFonts w:ascii="Times New Roman" w:cs="Times New Roman" w:eastAsia="Times New Roman" w:hAnsi="Times New Roman"/>
          <w:sz w:val="16"/>
          <w:szCs w:val="16"/>
          <w:color w:val="auto"/>
        </w:rPr>
        <w:t>All premiums written by the Company under NFIP are 100% ceded to FEMA, for which WNFIC received a 29.1% gross expense allowance from January 1, 2025 through September 30, 2025. For the same period, the Company ceded $835 million of written premiums to FEMA for NFIP policies and $3 million to highly rated carriers for excess flood policies.</w:t>
      </w:r>
    </w:p>
    <w:p>
      <w:pPr>
        <w:spacing w:after="0" w:line="68" w:lineRule="exact"/>
        <w:rPr>
          <w:sz w:val="20"/>
          <w:szCs w:val="20"/>
          <w:color w:val="auto"/>
        </w:rPr>
      </w:pPr>
    </w:p>
    <w:p>
      <w:pPr>
        <w:ind w:right="80" w:firstLine="456"/>
        <w:spacing w:after="0" w:line="241" w:lineRule="auto"/>
        <w:rPr>
          <w:sz w:val="20"/>
          <w:szCs w:val="20"/>
          <w:color w:val="auto"/>
        </w:rPr>
      </w:pPr>
      <w:r>
        <w:rPr>
          <w:rFonts w:ascii="Times New Roman" w:cs="Times New Roman" w:eastAsia="Times New Roman" w:hAnsi="Times New Roman"/>
          <w:sz w:val="16"/>
          <w:szCs w:val="16"/>
          <w:color w:val="auto"/>
        </w:rPr>
        <w:t>As of September 30, 2025, the Condensed Consolidated Balance Sheets contained reinsurance recoverable of $247 million and prepaid reinsurance premiums of $584 million, which are related to the WNFIC business. For flood policies, there was no change in the balance in the reserve for losses and loss adjustment expense net of reinsurance recoverable during the period January 1, 2025 through September 30, 2025, as the Company's direct premiums written were 100% ceded to two reinsurers. The gross balance of the reserve for losses and loss adjustment expense for the WNFIC, excluding related reinsurance recoverable, as of September 30, 2025 was $247 million. These balances primarily relate to hurricane claims activity in 2024.</w:t>
      </w:r>
    </w:p>
    <w:p>
      <w:pPr>
        <w:spacing w:after="0" w:line="73" w:lineRule="exact"/>
        <w:rPr>
          <w:sz w:val="20"/>
          <w:szCs w:val="20"/>
          <w:color w:val="auto"/>
        </w:rPr>
      </w:pPr>
    </w:p>
    <w:p>
      <w:pPr>
        <w:ind w:right="200" w:firstLine="456"/>
        <w:spacing w:after="0" w:line="247" w:lineRule="auto"/>
        <w:rPr>
          <w:sz w:val="20"/>
          <w:szCs w:val="20"/>
          <w:color w:val="auto"/>
        </w:rPr>
      </w:pPr>
      <w:r>
        <w:rPr>
          <w:rFonts w:ascii="Times New Roman" w:cs="Times New Roman" w:eastAsia="Times New Roman" w:hAnsi="Times New Roman"/>
          <w:sz w:val="16"/>
          <w:szCs w:val="16"/>
          <w:color w:val="auto"/>
        </w:rPr>
        <w:t>WNFIC maintains capital in excess of the minimum statutory amount of $ 8 million as required by regulatory authorities. The statutory capital and surplus of WNFIC was $37 million at September 30, 2025 and $44 million as of December 31, 2024. For the period from January 1, 2025 through September 30, 2025, WNFIC generated minimal statutory net loss. For the period from January 1, 2024 through December 31,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 w:name="page26"/>
    <w:bookmarkEnd w:id="25"/>
    <w:p>
      <w:pPr>
        <w:ind w:right="160"/>
        <w:spacing w:after="0" w:line="243" w:lineRule="auto"/>
        <w:rPr>
          <w:sz w:val="20"/>
          <w:szCs w:val="20"/>
          <w:color w:val="auto"/>
        </w:rPr>
      </w:pPr>
      <w:r>
        <w:rPr>
          <w:rFonts w:ascii="Times New Roman" w:cs="Times New Roman" w:eastAsia="Times New Roman" w:hAnsi="Times New Roman"/>
          <w:sz w:val="16"/>
          <w:szCs w:val="16"/>
          <w:color w:val="auto"/>
        </w:rPr>
        <w:t>2024, WNFIC generated statutory net income of $ 9 million. The maximum amount of ordinary dividends that WNFIC can pay during a rolling twelve-month period is limited to the greater of 10% of statutory adjusted capital and surplus or 100% of adjusted net income. On June 27, 2025, WNFIC paid an ordinary dividend of $9 million. The dividend was declared and approved by the WNFIC Board of Directors on May 30, 2025. The maximum dividend payout that may be made in 2025 without prior approval is $9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Captives</w:t>
      </w:r>
    </w:p>
    <w:p>
      <w:pPr>
        <w:spacing w:after="0" w:line="92" w:lineRule="exact"/>
        <w:rPr>
          <w:sz w:val="20"/>
          <w:szCs w:val="20"/>
          <w:color w:val="auto"/>
        </w:rPr>
      </w:pPr>
    </w:p>
    <w:p>
      <w:pPr>
        <w:ind w:right="160" w:firstLine="420"/>
        <w:spacing w:after="0" w:line="259" w:lineRule="auto"/>
        <w:rPr>
          <w:sz w:val="20"/>
          <w:szCs w:val="20"/>
          <w:color w:val="auto"/>
        </w:rPr>
      </w:pPr>
      <w:r>
        <w:rPr>
          <w:rFonts w:ascii="Times New Roman" w:cs="Times New Roman" w:eastAsia="Times New Roman" w:hAnsi="Times New Roman"/>
          <w:sz w:val="16"/>
          <w:szCs w:val="16"/>
          <w:color w:val="auto"/>
        </w:rPr>
        <w:t>In December 2021, the initial funding to capitalize the quota share captive was $6 million. This capital in addition to earnings of $26 million through September 30, 2025 is considered at risk for loss.</w:t>
      </w:r>
    </w:p>
    <w:p>
      <w:pPr>
        <w:spacing w:after="0" w:line="59"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6"/>
          <w:szCs w:val="16"/>
          <w:color w:val="auto"/>
        </w:rPr>
        <w:t>The excess of loss layer captive was renewed in June 2025 with underlying reinsurance treaties effective from June 1, 2025 through May 31, 2026. This captive’s maximum aggregate annual underwriting exposure is $2 million per occurrence, up to $4 million.</w:t>
      </w:r>
    </w:p>
    <w:p>
      <w:pPr>
        <w:spacing w:after="0" w:line="59" w:lineRule="exact"/>
        <w:rPr>
          <w:sz w:val="20"/>
          <w:szCs w:val="20"/>
          <w:color w:val="auto"/>
        </w:rPr>
      </w:pPr>
    </w:p>
    <w:p>
      <w:pPr>
        <w:ind w:right="100" w:firstLine="420"/>
        <w:spacing w:after="0" w:line="247" w:lineRule="auto"/>
        <w:rPr>
          <w:sz w:val="20"/>
          <w:szCs w:val="20"/>
          <w:color w:val="auto"/>
        </w:rPr>
      </w:pPr>
      <w:r>
        <w:rPr>
          <w:rFonts w:ascii="Times New Roman" w:cs="Times New Roman" w:eastAsia="Times New Roman" w:hAnsi="Times New Roman"/>
          <w:sz w:val="16"/>
          <w:szCs w:val="16"/>
          <w:color w:val="auto"/>
        </w:rPr>
        <w:t>As of September 30, 2025, the Condensed Consolidated Balance Sheet contained the following balances related to the Captives: deferred acquisition costs of $17 million, prepaid reinsurance premiums of $206 million, reinsurance recoverable of $356 million, reinsurance payable of $215 million, the reserve for losses and loss adjustment expense, excluding related reinsurance recoverable, of $373 million and unearned premiums of $303.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Shareholders’ Equity</w:t>
      </w:r>
    </w:p>
    <w:p>
      <w:pPr>
        <w:spacing w:after="0" w:line="94" w:lineRule="exact"/>
        <w:rPr>
          <w:sz w:val="20"/>
          <w:szCs w:val="20"/>
          <w:color w:val="auto"/>
        </w:rPr>
      </w:pPr>
    </w:p>
    <w:p>
      <w:pPr>
        <w:ind w:right="380" w:firstLine="456"/>
        <w:spacing w:after="0" w:line="241" w:lineRule="auto"/>
        <w:rPr>
          <w:sz w:val="20"/>
          <w:szCs w:val="20"/>
          <w:color w:val="auto"/>
        </w:rPr>
      </w:pPr>
      <w:r>
        <w:rPr>
          <w:rFonts w:ascii="Times New Roman" w:cs="Times New Roman" w:eastAsia="Times New Roman" w:hAnsi="Times New Roman"/>
          <w:sz w:val="16"/>
          <w:szCs w:val="16"/>
          <w:color w:val="auto"/>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w:t>
      </w:r>
    </w:p>
    <w:p>
      <w:pPr>
        <w:spacing w:after="0" w:line="73" w:lineRule="exact"/>
        <w:rPr>
          <w:sz w:val="20"/>
          <w:szCs w:val="20"/>
          <w:color w:val="auto"/>
        </w:rPr>
      </w:pPr>
    </w:p>
    <w:p>
      <w:pPr>
        <w:ind w:left="460" w:right="540"/>
        <w:spacing w:after="0" w:line="353" w:lineRule="auto"/>
        <w:rPr>
          <w:sz w:val="20"/>
          <w:szCs w:val="20"/>
          <w:color w:val="auto"/>
        </w:rPr>
      </w:pPr>
      <w:r>
        <w:rPr>
          <w:rFonts w:ascii="Times New Roman" w:cs="Times New Roman" w:eastAsia="Times New Roman" w:hAnsi="Times New Roman"/>
          <w:sz w:val="14"/>
          <w:szCs w:val="14"/>
          <w:color w:val="auto"/>
        </w:rPr>
        <w:t>The Company has outstanding approval to purchase up to approximately $249 million, in the aggregate, of the Company's outstanding common stock. During the first quarter, the Company paid a dividend of $0.15 per share, which was approved by the Board of Directors on January 22, 2025 and paid on</w:t>
      </w:r>
    </w:p>
    <w:p>
      <w:pPr>
        <w:spacing w:after="0" w:line="1"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6"/>
          <w:szCs w:val="16"/>
          <w:color w:val="auto"/>
        </w:rPr>
        <w:t>February 12, 2025 for a total of $43 million. During the second quarter, the Company paid a dividend of $0.15 per share, which was approved by the Board of Directors on April 28, 2025 and paid on May 21, 2025 for a total of $43 million. During the third quarter, the Company paid a dividend of $0.15 per share, which was approved by the Board of Directors on July 23, 2025 and paid on August 20, 2025 for a total of $50 million.</w:t>
      </w:r>
    </w:p>
    <w:p>
      <w:pPr>
        <w:spacing w:after="0" w:line="73"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16"/>
          <w:szCs w:val="16"/>
          <w:color w:val="auto"/>
        </w:rPr>
        <w:t>On June 10, 2025, the Company entered into an Underwriting Agreement (the “Common Stock Underwriting Agreement”) with J.P. Morgan Securities LLC and BofA Securities, Inc., as representatives of the several underwriters named therein (collectively, the “Common Stock Underwriters”), with respect to the offer and sale by the Company of 43,137,254 shares of the Company’s common stock, par value $0.10 (the “Common Stock”) at a per share offering price of $102.00 for an aggregate purchase price for net proceeds of $4,315 million after underwriting discounts and fees and expenses. The Company closed the offering of the shares of Common Stock on June 12, 2025. The Company used the net proceeds of the offerings of the shares of Common Stock and the Notes, together with cash on hand, to fund the cash consideration payable under the Merger Agreement and to pay fees and expenses associated with the foregoing.</w:t>
      </w:r>
    </w:p>
    <w:p>
      <w:pPr>
        <w:spacing w:after="0" w:line="77" w:lineRule="exact"/>
        <w:rPr>
          <w:sz w:val="20"/>
          <w:szCs w:val="20"/>
          <w:color w:val="auto"/>
        </w:rPr>
      </w:pPr>
    </w:p>
    <w:p>
      <w:pPr>
        <w:jc w:val="both"/>
        <w:ind w:right="120" w:firstLine="456"/>
        <w:spacing w:after="0" w:line="247" w:lineRule="auto"/>
        <w:rPr>
          <w:sz w:val="20"/>
          <w:szCs w:val="20"/>
          <w:color w:val="auto"/>
        </w:rPr>
      </w:pPr>
      <w:r>
        <w:rPr>
          <w:rFonts w:ascii="Times New Roman" w:cs="Times New Roman" w:eastAsia="Times New Roman" w:hAnsi="Times New Roman"/>
          <w:sz w:val="16"/>
          <w:szCs w:val="16"/>
          <w:color w:val="auto"/>
        </w:rPr>
        <w:t>As part of the consideration for the Accession acquisition, the Company issued approximately $ 1,045 million of its common stock (par value $0.10 per share) to the selling shareholders (the “Common Stock Consideration”), based on the market value of the shares at closing. The number of shares issued was calculated using the Company’s closing stock price of $110.57 per share on June 6, 2025.</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October 22, 2025, the Board of Directors approved a quarterly cash dividend of $0.165 per share to be paid on November 12, 2025.</w:t>
      </w:r>
    </w:p>
    <w:p>
      <w:pPr>
        <w:spacing w:after="0" w:line="92" w:lineRule="exact"/>
        <w:rPr>
          <w:sz w:val="20"/>
          <w:szCs w:val="20"/>
          <w:color w:val="auto"/>
        </w:rPr>
      </w:pPr>
    </w:p>
    <w:p>
      <w:pPr>
        <w:ind w:right="400" w:firstLine="456"/>
        <w:spacing w:after="0" w:line="331" w:lineRule="auto"/>
        <w:rPr>
          <w:sz w:val="20"/>
          <w:szCs w:val="20"/>
          <w:color w:val="auto"/>
        </w:rPr>
      </w:pPr>
      <w:r>
        <w:rPr>
          <w:rFonts w:ascii="Times New Roman" w:cs="Times New Roman" w:eastAsia="Times New Roman" w:hAnsi="Times New Roman"/>
          <w:sz w:val="14"/>
          <w:szCs w:val="14"/>
          <w:color w:val="auto"/>
        </w:rPr>
        <w:t>On October 22, 2025, subsequent to the end of the quarter, our Board of Directors approved an additional $1,251 million increase to our existing share repurchase authorization. This action brings our total remaining repurchase capacity to approximately $1,500 million of the Company's outstanding common stock.</w:t>
      </w: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26" w:name="page27"/>
    <w:bookmarkEnd w:id="26"/>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 Management’s Discussion and Analysis of Financial Condition and Results of Operations</w:t>
      </w:r>
    </w:p>
    <w:p>
      <w:pPr>
        <w:spacing w:after="0" w:line="94" w:lineRule="exact"/>
        <w:rPr>
          <w:sz w:val="20"/>
          <w:szCs w:val="20"/>
          <w:color w:val="auto"/>
        </w:rPr>
      </w:pPr>
    </w:p>
    <w:p>
      <w:pPr>
        <w:ind w:right="340" w:firstLine="468"/>
        <w:spacing w:after="0" w:line="259" w:lineRule="auto"/>
        <w:rPr>
          <w:sz w:val="20"/>
          <w:szCs w:val="20"/>
          <w:color w:val="auto"/>
        </w:rPr>
      </w:pPr>
      <w:r>
        <w:rPr>
          <w:rFonts w:ascii="Times New Roman" w:cs="Times New Roman" w:eastAsia="Times New Roman" w:hAnsi="Times New Roman"/>
          <w:sz w:val="16"/>
          <w:szCs w:val="16"/>
          <w:color w:val="auto"/>
        </w:rPr>
        <w:t>The following discussion updates the Management’s Discussion and Analysis of Financial Condition and Results of Operations contained in the Company’s Annual Report on Form 10-K for the fiscal year ended December 31, 2024, and the two discussions should be read together.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 — Third Quarter of 2025</w:t>
      </w:r>
    </w:p>
    <w:p>
      <w:pPr>
        <w:spacing w:after="0" w:line="94" w:lineRule="exact"/>
        <w:rPr>
          <w:sz w:val="20"/>
          <w:szCs w:val="20"/>
          <w:color w:val="auto"/>
        </w:rPr>
      </w:pPr>
    </w:p>
    <w:p>
      <w:pPr>
        <w:ind w:right="280" w:firstLine="456"/>
        <w:spacing w:after="0" w:line="243" w:lineRule="auto"/>
        <w:rPr>
          <w:sz w:val="20"/>
          <w:szCs w:val="20"/>
          <w:color w:val="auto"/>
        </w:rPr>
      </w:pPr>
      <w:r>
        <w:rPr>
          <w:rFonts w:ascii="Times New Roman" w:cs="Times New Roman" w:eastAsia="Times New Roman" w:hAnsi="Times New Roman"/>
          <w:sz w:val="16"/>
          <w:szCs w:val="16"/>
          <w:color w:val="auto"/>
        </w:rPr>
        <w:t>The following discussion should be read in conjunction with our Condensed Consolidated Financial Statements and the related Notes to those Financial Statements included elsewhere in this Quarterly Report on Form 10-Q, which are prepared in accordance with accounting principles generally accepted in the United States (“GAAP”). In addition, please see “Information Regarding Non-GAAP Financial Measures” below concerning important information on non-GAAP financial measures contained in our discussion and analysis.</w:t>
      </w:r>
    </w:p>
    <w:p>
      <w:pPr>
        <w:spacing w:after="0" w:line="71" w:lineRule="exact"/>
        <w:rPr>
          <w:sz w:val="20"/>
          <w:szCs w:val="20"/>
          <w:color w:val="auto"/>
        </w:rPr>
      </w:pPr>
    </w:p>
    <w:p>
      <w:pPr>
        <w:ind w:right="20" w:firstLine="468"/>
        <w:spacing w:after="0" w:line="237" w:lineRule="auto"/>
        <w:rPr>
          <w:sz w:val="20"/>
          <w:szCs w:val="20"/>
          <w:color w:val="auto"/>
        </w:rPr>
      </w:pPr>
      <w:r>
        <w:rPr>
          <w:rFonts w:ascii="Times New Roman" w:cs="Times New Roman" w:eastAsia="Times New Roman" w:hAnsi="Times New Roman"/>
          <w:sz w:val="16"/>
          <w:szCs w:val="16"/>
          <w:color w:val="auto"/>
        </w:rPr>
        <w:t>We are a diversified insurance agency, wholesale brokerage, insurance programs, specialty insurance business and service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capitalized captive insurance facilities for the purpose of having additional capacity to place coverage, drive additional revenues and to participate in underwriting results. The limit the Company's exposure to claims expenses through reinsurance or by only participating in certain tranches of the underwriting. We also operate registered insurance companies to support our national flood insurance program and to support our cross-collateralized segregated captive cell businesses. We do not participate in earnings of the collateralized segregated captive cells.</w:t>
      </w:r>
    </w:p>
    <w:p>
      <w:pPr>
        <w:spacing w:after="0" w:line="80" w:lineRule="exact"/>
        <w:rPr>
          <w:sz w:val="20"/>
          <w:szCs w:val="20"/>
          <w:color w:val="auto"/>
        </w:rPr>
      </w:pPr>
    </w:p>
    <w:p>
      <w:pPr>
        <w:ind w:right="80" w:firstLine="468"/>
        <w:spacing w:after="0" w:line="239" w:lineRule="auto"/>
        <w:rPr>
          <w:sz w:val="20"/>
          <w:szCs w:val="20"/>
          <w:color w:val="auto"/>
        </w:rPr>
      </w:pPr>
      <w:r>
        <w:rPr>
          <w:rFonts w:ascii="Times New Roman" w:cs="Times New Roman" w:eastAsia="Times New Roman" w:hAnsi="Times New Roman"/>
          <w:sz w:val="16"/>
          <w:szCs w:val="16"/>
          <w:color w:val="auto"/>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Conversely,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spacing w:after="0" w:line="77" w:lineRule="exact"/>
        <w:rPr>
          <w:sz w:val="20"/>
          <w:szCs w:val="20"/>
          <w:color w:val="auto"/>
        </w:rPr>
      </w:pPr>
    </w:p>
    <w:p>
      <w:pPr>
        <w:ind w:right="80" w:firstLine="468"/>
        <w:spacing w:after="0" w:line="243" w:lineRule="auto"/>
        <w:rPr>
          <w:sz w:val="20"/>
          <w:szCs w:val="20"/>
          <w:color w:val="auto"/>
        </w:rPr>
      </w:pPr>
      <w:r>
        <w:rPr>
          <w:rFonts w:ascii="Times New Roman" w:cs="Times New Roman" w:eastAsia="Times New Roman" w:hAnsi="Times New Roman"/>
          <w:sz w:val="16"/>
          <w:szCs w:val="16"/>
          <w:color w:val="auto"/>
        </w:rPr>
        <w:t>The term “core commissions and fees” excludes profit-sharing contingent commissions, and therefore, it represents the revenues earned directly from specific insurance policies sold, and specific fee- 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spacing w:after="0" w:line="71"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3.6% of commissions and fee revenues.</w:t>
      </w:r>
    </w:p>
    <w:p>
      <w:pPr>
        <w:spacing w:after="0" w:line="77" w:lineRule="exact"/>
        <w:rPr>
          <w:sz w:val="20"/>
          <w:szCs w:val="20"/>
          <w:color w:val="auto"/>
        </w:rPr>
      </w:pPr>
    </w:p>
    <w:p>
      <w:pPr>
        <w:ind w:right="220" w:firstLine="468"/>
        <w:spacing w:after="0" w:line="284" w:lineRule="auto"/>
        <w:rPr>
          <w:sz w:val="20"/>
          <w:szCs w:val="20"/>
          <w:color w:val="auto"/>
        </w:rPr>
      </w:pPr>
      <w:r>
        <w:rPr>
          <w:rFonts w:ascii="Times New Roman" w:cs="Times New Roman" w:eastAsia="Times New Roman" w:hAnsi="Times New Roman"/>
          <w:sz w:val="14"/>
          <w:szCs w:val="14"/>
          <w:color w:val="auto"/>
        </w:rPr>
        <w:t>Fee revenues primarily relate to services other than securing coverage for our customers, and for fees negotiated in lieu of commissions. Fee revenues are generated by: (i) our Specialty Distribution segment, which earn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represented 21.1% in 2024 and 23.9% in 2023.</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September 30, 2025, our total commissions and fees growth rate was 34.2%, and our consolidated Organic Revenue growth rate was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w:t>
      </w:r>
    </w:p>
    <w:p>
      <w:pPr>
        <w:spacing w:after="0" w:line="74"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 w:name="page28"/>
    <w:bookmarkEnd w:id="27"/>
    <w:p>
      <w:pPr>
        <w:ind w:right="380" w:firstLine="456"/>
        <w:spacing w:after="0" w:line="247" w:lineRule="auto"/>
        <w:rPr>
          <w:sz w:val="20"/>
          <w:szCs w:val="20"/>
          <w:color w:val="auto"/>
        </w:rPr>
      </w:pPr>
      <w:r>
        <w:rPr>
          <w:rFonts w:ascii="Times New Roman" w:cs="Times New Roman" w:eastAsia="Times New Roman" w:hAnsi="Times New Roman"/>
          <w:sz w:val="16"/>
          <w:szCs w:val="16"/>
          <w:color w:val="auto"/>
        </w:rPr>
        <w:t>Income before income taxes for the three months ended September 30, 2025 decreased from the third quarter of 2024 by $6 million or 1.9%, due to Acquisition/Integration Costs associated with the acquisition of Accession and increases in the change in estimated acquisition earnout payables, partially offset by Organic Revenue growth, leveraging our expense base, net new business and income from acquisitions completed in the past twelve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Regarding Non-GAAP Financial Measures</w:t>
      </w:r>
    </w:p>
    <w:p>
      <w:pPr>
        <w:spacing w:after="0" w:line="94"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16"/>
          <w:szCs w:val="16"/>
          <w:color w:val="auto"/>
        </w:rPr>
        <w:t>In the discussion and analysis of our results of operations, in addition to reporting financial results in accordance with generally accepted accounting principles (“GAAP”), we provide references to the following non- GAAP financial measures as defined in Regulation G of the SEC rules: Organic Revenue,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 -GAAP financial information to our most comparable GAAP information are contained in this Quarterly Report on Form 10-Q under “Results of Operations - Segment Information.”</w:t>
      </w:r>
    </w:p>
    <w:p>
      <w:pPr>
        <w:spacing w:after="0" w:line="74" w:lineRule="exact"/>
        <w:rPr>
          <w:sz w:val="20"/>
          <w:szCs w:val="20"/>
          <w:color w:val="auto"/>
        </w:rPr>
      </w:pPr>
    </w:p>
    <w:p>
      <w:pPr>
        <w:ind w:right="20" w:firstLine="456"/>
        <w:spacing w:after="0" w:line="239" w:lineRule="auto"/>
        <w:rPr>
          <w:sz w:val="20"/>
          <w:szCs w:val="20"/>
          <w:color w:val="auto"/>
        </w:rPr>
      </w:pPr>
      <w:r>
        <w:rPr>
          <w:rFonts w:ascii="Times New Roman" w:cs="Times New Roman" w:eastAsia="Times New Roman" w:hAnsi="Times New Roman"/>
          <w:sz w:val="16"/>
          <w:szCs w:val="16"/>
          <w:color w:val="auto"/>
        </w:rPr>
        <w:t>We view Organic Revenue and Organic Revenue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Revenue Measures</w:t>
      </w:r>
    </w:p>
    <w:p>
      <w:pPr>
        <w:spacing w:after="0" w:line="92" w:lineRule="exact"/>
        <w:rPr>
          <w:sz w:val="20"/>
          <w:szCs w:val="20"/>
          <w:color w:val="auto"/>
        </w:rPr>
      </w:pPr>
    </w:p>
    <w:p>
      <w:pPr>
        <w:ind w:left="480" w:right="2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Organic Revenue</w:t>
      </w:r>
      <w:r>
        <w:rPr>
          <w:rFonts w:ascii="Times New Roman" w:cs="Times New Roman" w:eastAsia="Times New Roman" w:hAnsi="Times New Roman"/>
          <w:sz w:val="16"/>
          <w:szCs w:val="16"/>
          <w:color w:val="auto"/>
        </w:rPr>
        <w:t xml:space="preserve"> is our core commissions and fees less: (i) the core commissions and fees earned for the first twelve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Earnings Measures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EBITDAC</w:t>
      </w:r>
      <w:r>
        <w:rPr>
          <w:rFonts w:ascii="Times New Roman" w:cs="Times New Roman" w:eastAsia="Times New Roman" w:hAnsi="Times New Roman"/>
          <w:sz w:val="16"/>
          <w:szCs w:val="16"/>
          <w:color w:val="auto"/>
        </w:rPr>
        <w:t xml:space="preserve"> is defined as income before interest, income taxes, depreciation, amortization and the change in estimated acquisition earn-out payables.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EBITDAC Margin</w:t>
      </w:r>
      <w:r>
        <w:rPr>
          <w:rFonts w:ascii="Times New Roman" w:cs="Times New Roman" w:eastAsia="Times New Roman" w:hAnsi="Times New Roman"/>
          <w:sz w:val="16"/>
          <w:szCs w:val="16"/>
          <w:color w:val="auto"/>
        </w:rPr>
        <w:t xml:space="preserve"> is defined as EBITDAC divided by total revenues.</w:t>
      </w:r>
    </w:p>
    <w:p>
      <w:pPr>
        <w:spacing w:after="0" w:line="92" w:lineRule="exact"/>
        <w:rPr>
          <w:sz w:val="20"/>
          <w:szCs w:val="20"/>
          <w:color w:val="auto"/>
        </w:rPr>
      </w:pPr>
    </w:p>
    <w:p>
      <w:pPr>
        <w:ind w:left="480" w:right="1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EBITDAC - Adjusted</w:t>
      </w:r>
      <w:r>
        <w:rPr>
          <w:rFonts w:ascii="Times New Roman" w:cs="Times New Roman" w:eastAsia="Times New Roman" w:hAnsi="Times New Roman"/>
          <w:sz w:val="16"/>
          <w:szCs w:val="16"/>
          <w:color w:val="auto"/>
        </w:rPr>
        <w:t xml:space="preserve"> is defined as EBITDAC, excluding (i) (gain)/loss on disposal (as defined below), (ii) Acquisition/Integration Costs (as defined below) and (iii) mark-to-market of escrow liability (as defined below).</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EBITDAC Margin - Adjusted</w:t>
      </w:r>
      <w:r>
        <w:rPr>
          <w:rFonts w:ascii="Times New Roman" w:cs="Times New Roman" w:eastAsia="Times New Roman" w:hAnsi="Times New Roman"/>
          <w:sz w:val="16"/>
          <w:szCs w:val="16"/>
          <w:color w:val="auto"/>
        </w:rPr>
        <w:t xml:space="preserve"> is defined as EBITDAC - Adjusted divided by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Definitions Related to Certain Components of Non-GAAP Measures</w:t>
      </w:r>
    </w:p>
    <w:p>
      <w:pPr>
        <w:spacing w:after="0" w:line="272"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“Acquisition/Integration Costs”</w:t>
      </w:r>
      <w:r>
        <w:rPr>
          <w:rFonts w:ascii="Times New Roman" w:cs="Times New Roman" w:eastAsia="Times New Roman" w:hAnsi="Times New Roman"/>
          <w:sz w:val="16"/>
          <w:szCs w:val="16"/>
          <w:color w:val="auto"/>
        </w:rPr>
        <w:t xml:space="preserve"> 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28" w:name="page29"/>
    <w:bookmarkEnd w:id="28"/>
    <w:p>
      <w:pPr>
        <w:ind w:left="480" w:right="2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Currency Translation”</w:t>
      </w:r>
      <w:r>
        <w:rPr>
          <w:rFonts w:ascii="Times New Roman" w:cs="Times New Roman" w:eastAsia="Times New Roman" w:hAnsi="Times New Roman"/>
          <w:sz w:val="16"/>
          <w:szCs w:val="16"/>
          <w:color w:val="auto"/>
        </w:rPr>
        <w:t xml:space="preserve"> means the period -over period impact of foreign currency translation, which is calculated by applying current-year foreign exchange rates to the various functional currencies in our business to our reporting currency of U.S. dollars for the same period in the prior year.</w:t>
      </w:r>
    </w:p>
    <w:p>
      <w:pPr>
        <w:spacing w:after="0" w:line="54" w:lineRule="exact"/>
        <w:rPr>
          <w:sz w:val="20"/>
          <w:szCs w:val="20"/>
          <w:color w:val="auto"/>
        </w:rPr>
      </w:pPr>
    </w:p>
    <w:p>
      <w:pPr>
        <w:ind w:left="480" w:right="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“(Gain)/loss on disposal”</w:t>
      </w:r>
      <w:r>
        <w:rPr>
          <w:rFonts w:ascii="Times New Roman" w:cs="Times New Roman" w:eastAsia="Times New Roman" w:hAnsi="Times New Roman"/>
          <w:sz w:val="16"/>
          <w:szCs w:val="16"/>
          <w:color w:val="auto"/>
        </w:rPr>
        <w:t xml:space="preserve"> is a caption on our consolidated statements of income which reflects net proceeds received as compared to the net book value related to sales of books of business and other divestiture transactions.</w:t>
      </w:r>
    </w:p>
    <w:p>
      <w:pPr>
        <w:spacing w:after="0" w:line="54" w:lineRule="exact"/>
        <w:rPr>
          <w:sz w:val="20"/>
          <w:szCs w:val="20"/>
          <w:color w:val="auto"/>
        </w:rPr>
      </w:pPr>
    </w:p>
    <w:p>
      <w:pPr>
        <w:ind w:left="480" w:right="60"/>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Mark-to- market of escrow liability</w:t>
      </w:r>
      <w:r>
        <w:rPr>
          <w:rFonts w:ascii="Times New Roman" w:cs="Times New Roman" w:eastAsia="Times New Roman" w:hAnsi="Times New Roman"/>
          <w:sz w:val="14"/>
          <w:szCs w:val="14"/>
          <w:color w:val="auto"/>
        </w:rPr>
        <w:t>” is a caption on our consolidated statements of income which reflects the non- cash change in the fair value associated with certain shares of the Company’s common stock held in escrow. The change is driven by fluctuations in our stock price between the beginning of the quarter and the end of the quarter.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spacing w:after="0" w:line="124" w:lineRule="exact"/>
        <w:rPr>
          <w:sz w:val="20"/>
          <w:szCs w:val="20"/>
          <w:color w:val="auto"/>
        </w:rPr>
      </w:pPr>
    </w:p>
    <w:p>
      <w:pPr>
        <w:jc w:val="both"/>
        <w:ind w:right="320"/>
        <w:spacing w:after="0" w:line="249" w:lineRule="auto"/>
        <w:rPr>
          <w:sz w:val="20"/>
          <w:szCs w:val="20"/>
          <w:color w:val="auto"/>
        </w:rPr>
      </w:pPr>
      <w:r>
        <w:rPr>
          <w:rFonts w:ascii="Times New Roman" w:cs="Times New Roman" w:eastAsia="Times New Roman" w:hAnsi="Times New Roman"/>
          <w:sz w:val="16"/>
          <w:szCs w:val="16"/>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Arial" w:cs="Arial" w:eastAsia="Arial" w:hAnsi="Arial"/>
          <w:sz w:val="16"/>
          <w:szCs w:val="16"/>
          <w:color w:val="auto"/>
        </w:rPr>
        <w:t>'</w:t>
      </w:r>
      <w:r>
        <w:rPr>
          <w:rFonts w:ascii="Times New Roman" w:cs="Times New Roman" w:eastAsia="Times New Roman" w:hAnsi="Times New Roman"/>
          <w:sz w:val="16"/>
          <w:szCs w:val="16"/>
          <w:color w:val="auto"/>
        </w:rPr>
        <w:t>s Condensed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94" w:lineRule="exact"/>
        <w:rPr>
          <w:sz w:val="20"/>
          <w:szCs w:val="20"/>
          <w:color w:val="auto"/>
        </w:rPr>
      </w:pPr>
    </w:p>
    <w:p>
      <w:pPr>
        <w:ind w:right="380" w:firstLine="456"/>
        <w:spacing w:after="0" w:line="259" w:lineRule="auto"/>
        <w:rPr>
          <w:sz w:val="20"/>
          <w:szCs w:val="20"/>
          <w:color w:val="auto"/>
        </w:rPr>
      </w:pPr>
      <w:r>
        <w:rPr>
          <w:rFonts w:ascii="Times New Roman" w:cs="Times New Roman" w:eastAsia="Times New Roman" w:hAnsi="Times New Roman"/>
          <w:sz w:val="16"/>
          <w:szCs w:val="16"/>
          <w:color w:val="auto"/>
        </w:rPr>
        <w:t>Part of our business strategy is to attract high-quality insurance intermediaries and service organizations to join our operations. From 1993 through the third quarter of 2025, we acquired 713 insurance intermediary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94"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16"/>
          <w:szCs w:val="16"/>
          <w:color w:val="auto"/>
        </w:rPr>
        <w:t>We have had no changes to our Critical Accounting Policies as described in our most recent Form 10-K for the year ended December 31, 2024. We believe that of our significant accounting and reporting policies, the more critical policies include our accounting for revenue recognition, business combinations and purchase price allocations, intangible asset impairments, non- 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2024 for details regarding our critical and significant accounting policies.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RESULTS OF OPERATIONS FOR THE THREE AND NINE MONTHS ENDED SEPTEMBER 30, 2025 AND 2024</w:t>
      </w:r>
    </w:p>
    <w:p>
      <w:pPr>
        <w:spacing w:after="0" w:line="94" w:lineRule="exact"/>
        <w:rPr>
          <w:sz w:val="20"/>
          <w:szCs w:val="20"/>
          <w:color w:val="auto"/>
        </w:rPr>
      </w:pPr>
    </w:p>
    <w:p>
      <w:pPr>
        <w:ind w:right="800" w:firstLine="456"/>
        <w:spacing w:after="0" w:line="259" w:lineRule="auto"/>
        <w:rPr>
          <w:sz w:val="20"/>
          <w:szCs w:val="20"/>
          <w:color w:val="auto"/>
        </w:rPr>
      </w:pPr>
      <w:r>
        <w:rPr>
          <w:rFonts w:ascii="Times New Roman" w:cs="Times New Roman" w:eastAsia="Times New Roman" w:hAnsi="Times New Roman"/>
          <w:sz w:val="16"/>
          <w:szCs w:val="16"/>
          <w:color w:val="auto"/>
        </w:rPr>
        <w:t>The following discussion and analysis regarding results of operations and liquidity and capital resources should be considered in conjunction with the accompanying Condensed Consolidated Financial Statements and related Notes.</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Financial information relating to our condensed consolidated financial results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percentages)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gridSpan w:val="7"/>
          </w:tcPr>
          <w:p>
            <w:pPr>
              <w:jc w:val="right"/>
              <w:ind w:right="98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3"/>
                <w:szCs w:val="13"/>
                <w:color w:val="auto"/>
              </w:rPr>
            </w:pPr>
          </w:p>
        </w:tc>
        <w:tc>
          <w:tcPr>
            <w:tcW w:w="3480" w:type="dxa"/>
            <w:vAlign w:val="bottom"/>
            <w:gridSpan w:val="7"/>
          </w:tcPr>
          <w:p>
            <w:pPr>
              <w:jc w:val="right"/>
              <w:ind w:right="90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2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28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40" w:type="dxa"/>
            <w:vAlign w:val="bottom"/>
          </w:tcPr>
          <w:p>
            <w:pPr>
              <w:spacing w:after="0"/>
              <w:rPr>
                <w:sz w:val="14"/>
                <w:szCs w:val="14"/>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16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Core commissions and fees</w:t>
            </w:r>
          </w:p>
        </w:tc>
        <w:tc>
          <w:tcPr>
            <w:tcW w:w="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1,477</w:t>
            </w: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1,128</w:t>
            </w: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30.9%</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4,022</w:t>
            </w:r>
          </w:p>
        </w:tc>
        <w:tc>
          <w:tcPr>
            <w:tcW w:w="3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3,435</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Profit-sharing contingent commissions</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170.4%</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80.6%</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shd w:val="clear" w:color="auto" w:fill="CFF0FC"/>
          </w:tcPr>
          <w:p>
            <w:pPr>
              <w:ind w:left="40"/>
              <w:spacing w:after="0" w:line="155" w:lineRule="exact"/>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223"/>
              <w:spacing w:after="0" w:line="155" w:lineRule="exact"/>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103"/>
              <w:spacing w:after="0" w:line="155" w:lineRule="exact"/>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1,606</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1,186</w:t>
            </w:r>
          </w:p>
        </w:tc>
        <w:tc>
          <w:tcPr>
            <w:tcW w:w="128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4,295</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3,622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607</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2,116</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1,823</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67.3%</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8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106.7%</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earn-out payables</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shd w:val="clear" w:color="auto" w:fill="CFF0FC"/>
          </w:tcPr>
          <w:p>
            <w:pPr>
              <w:jc w:val="right"/>
              <w:ind w:right="223"/>
              <w:spacing w:after="0"/>
              <w:rPr>
                <w:sz w:val="20"/>
                <w:szCs w:val="20"/>
                <w:color w:val="auto"/>
              </w:rPr>
            </w:pPr>
            <w:r>
              <w:rPr>
                <w:rFonts w:ascii="Times New Roman" w:cs="Times New Roman" w:eastAsia="Times New Roman" w:hAnsi="Times New Roman"/>
                <w:sz w:val="16"/>
                <w:szCs w:val="16"/>
                <w:color w:val="auto"/>
              </w:rPr>
              <w:t>NMF</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11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NMF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23"/>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1,295</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869</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3,245</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2,594</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317</w:t>
            </w:r>
          </w:p>
        </w:tc>
        <w:tc>
          <w:tcPr>
            <w:tcW w:w="300" w:type="dxa"/>
            <w:vAlign w:val="bottom"/>
          </w:tcPr>
          <w:p>
            <w:pPr>
              <w:spacing w:after="0"/>
              <w:rPr>
                <w:sz w:val="15"/>
                <w:szCs w:val="15"/>
                <w:color w:val="auto"/>
              </w:rPr>
            </w:pPr>
          </w:p>
        </w:tc>
        <w:tc>
          <w:tcPr>
            <w:tcW w:w="12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5"/>
                <w:szCs w:val="15"/>
                <w:color w:val="auto"/>
              </w:rPr>
            </w:pP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1,028</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w:t>
            </w:r>
          </w:p>
        </w:tc>
        <w:tc>
          <w:tcPr>
            <w:tcW w:w="300" w:type="dxa"/>
            <w:vAlign w:val="bottom"/>
          </w:tcPr>
          <w:p>
            <w:pPr>
              <w:spacing w:after="0"/>
              <w:rPr>
                <w:sz w:val="15"/>
                <w:szCs w:val="15"/>
                <w:color w:val="auto"/>
              </w:rPr>
            </w:pPr>
          </w:p>
        </w:tc>
        <w:tc>
          <w:tcPr>
            <w:tcW w:w="12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791</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Less: Net income attributable to non-</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controlling interests</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income attributable to the Company</w:t>
            </w:r>
          </w:p>
        </w:tc>
        <w:tc>
          <w:tcPr>
            <w:tcW w:w="36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227</w:t>
            </w:r>
          </w:p>
        </w:tc>
        <w:tc>
          <w:tcPr>
            <w:tcW w:w="200" w:type="dxa"/>
            <w:vAlign w:val="bottom"/>
          </w:tcPr>
          <w:p>
            <w:pPr>
              <w:spacing w:after="0"/>
              <w:rPr>
                <w:sz w:val="15"/>
                <w:szCs w:val="15"/>
                <w:color w:val="auto"/>
              </w:rPr>
            </w:pPr>
          </w:p>
        </w:tc>
        <w:tc>
          <w:tcPr>
            <w:tcW w:w="28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234</w:t>
            </w:r>
          </w:p>
        </w:tc>
        <w:tc>
          <w:tcPr>
            <w:tcW w:w="300" w:type="dxa"/>
            <w:vAlign w:val="bottom"/>
          </w:tcPr>
          <w:p>
            <w:pPr>
              <w:spacing w:after="0"/>
              <w:rPr>
                <w:sz w:val="15"/>
                <w:szCs w:val="15"/>
                <w:color w:val="auto"/>
              </w:rPr>
            </w:pPr>
          </w:p>
        </w:tc>
        <w:tc>
          <w:tcPr>
            <w:tcW w:w="1280" w:type="dxa"/>
            <w:vAlign w:val="bottom"/>
          </w:tcPr>
          <w:p>
            <w:pPr>
              <w:jc w:val="right"/>
              <w:ind w:right="43"/>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790</w:t>
            </w:r>
          </w:p>
        </w:tc>
        <w:tc>
          <w:tcPr>
            <w:tcW w:w="180" w:type="dxa"/>
            <w:vAlign w:val="bottom"/>
          </w:tcPr>
          <w:p>
            <w:pPr>
              <w:spacing w:after="0"/>
              <w:rPr>
                <w:sz w:val="15"/>
                <w:szCs w:val="15"/>
                <w:color w:val="auto"/>
              </w:rPr>
            </w:pPr>
          </w:p>
        </w:tc>
        <w:tc>
          <w:tcPr>
            <w:tcW w:w="30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783</w:t>
            </w:r>
          </w:p>
        </w:tc>
        <w:tc>
          <w:tcPr>
            <w:tcW w:w="300" w:type="dxa"/>
            <w:vAlign w:val="bottom"/>
          </w:tcPr>
          <w:p>
            <w:pPr>
              <w:spacing w:after="0"/>
              <w:rPr>
                <w:sz w:val="15"/>
                <w:szCs w:val="15"/>
                <w:color w:val="auto"/>
              </w:rPr>
            </w:pPr>
          </w:p>
        </w:tc>
        <w:tc>
          <w:tcPr>
            <w:tcW w:w="1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286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3"/>
                <w:szCs w:val="13"/>
                <w:color w:val="auto"/>
              </w:rPr>
              <w:t>Income Before Income Taxes</w:t>
            </w: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Margin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26.7%</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28.4%</w:t>
            </w: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EBITDAC - Adjusted </w:t>
            </w:r>
            <w:r>
              <w:rPr>
                <w:rFonts w:ascii="Times New Roman" w:cs="Times New Roman" w:eastAsia="Times New Roman" w:hAnsi="Times New Roman"/>
                <w:sz w:val="20"/>
                <w:szCs w:val="20"/>
                <w:color w:val="auto"/>
                <w:vertAlign w:val="superscript"/>
              </w:rPr>
              <w:t>(2)</w:t>
            </w:r>
          </w:p>
        </w:tc>
        <w:tc>
          <w:tcPr>
            <w:tcW w:w="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587</w:t>
            </w:r>
          </w:p>
        </w:tc>
        <w:tc>
          <w:tcPr>
            <w:tcW w:w="200" w:type="dxa"/>
            <w:vAlign w:val="bottom"/>
          </w:tcPr>
          <w:p>
            <w:pPr>
              <w:spacing w:after="0"/>
              <w:rPr>
                <w:sz w:val="15"/>
                <w:szCs w:val="15"/>
                <w:color w:val="auto"/>
              </w:rPr>
            </w:pP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1,594</w:t>
            </w:r>
          </w:p>
        </w:tc>
        <w:tc>
          <w:tcPr>
            <w:tcW w:w="3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1,300</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EBITDAC Margin - Adjusted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34.9%</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Organic Revenue growth rate </w:t>
            </w:r>
            <w:r>
              <w:rPr>
                <w:rFonts w:ascii="Times New Roman" w:cs="Times New Roman" w:eastAsia="Times New Roman" w:hAnsi="Times New Roman"/>
                <w:sz w:val="20"/>
                <w:szCs w:val="20"/>
                <w:color w:val="auto"/>
                <w:vertAlign w:val="superscript"/>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relative to total revenues</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49.4%</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51.2%</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49.3%</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50.3%</w:t>
            </w: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 relative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total revenues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20" w:hanging="214"/>
        <w:spacing w:after="0"/>
        <w:tabs>
          <w:tab w:leader="none" w:pos="2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spacing w:after="0" w:line="14" w:lineRule="exact"/>
        <w:rPr>
          <w:rFonts w:ascii="Times New Roman" w:cs="Times New Roman" w:eastAsia="Times New Roman" w:hAnsi="Times New Roman"/>
          <w:sz w:val="16"/>
          <w:szCs w:val="16"/>
          <w:color w:val="auto"/>
        </w:rPr>
      </w:pPr>
    </w:p>
    <w:p>
      <w:pPr>
        <w:ind w:left="220" w:hanging="214"/>
        <w:spacing w:after="0" w:line="234" w:lineRule="auto"/>
        <w:tabs>
          <w:tab w:leader="none" w:pos="2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NMF = Not a meaningful figure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Commissions and Fees</w:t>
      </w:r>
    </w:p>
    <w:p>
      <w:pPr>
        <w:spacing w:after="0" w:line="94"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16"/>
          <w:szCs w:val="16"/>
          <w:color w:val="auto"/>
        </w:rPr>
        <w:t>Commissions and fees, including profit-sharing contingent commissions and earned premiums, for the three months ended September 30, 2025 increased $395 million to $1,550 million, or 34.2%, over the same period in 2024. Core commissions and fees revenue for the third quarter of 2025 increased $349 million or 30.9%, composed of: (i) approximately $40 million of net new and renewal business, which reflects an Organic Revenue growth rate of 3.5%; (ii) $307 million from acquisitions that had no comparable revenues in the same period of 2024; (iii) an increase from the impact of Foreign Currency Translation of $5 million and an offsetting decrease from (iv) $3 million related to commissions and fees revenue from businesses or books of business divested in the preceding twelve months. Profit-sharing contingent commissions for the third quarter of 2025 increased by $46 million, or 170%, compared to the same period in 2024. This increase was driven primarily by (i) improved underwriting results, growth in premium volume and qualifying for certain profit-sharing contingent commissions that we did not qualify for in the prior year and (ii) recent acquisitions.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7" w:right="640" w:bottom="1440" w:gutter="0" w:footer="0" w:header="0"/>
        </w:sectPr>
      </w:pPr>
    </w:p>
    <w:bookmarkStart w:id="30" w:name="page31"/>
    <w:bookmarkEnd w:id="30"/>
    <w:p>
      <w:pPr>
        <w:spacing w:after="0" w:line="149" w:lineRule="exact"/>
        <w:rPr>
          <w:sz w:val="20"/>
          <w:szCs w:val="20"/>
          <w:color w:val="auto"/>
        </w:rPr>
      </w:pPr>
    </w:p>
    <w:p>
      <w:pPr>
        <w:ind w:right="60" w:firstLine="456"/>
        <w:spacing w:after="0" w:line="238" w:lineRule="auto"/>
        <w:rPr>
          <w:sz w:val="20"/>
          <w:szCs w:val="20"/>
          <w:color w:val="auto"/>
        </w:rPr>
      </w:pPr>
      <w:r>
        <w:rPr>
          <w:rFonts w:ascii="Times New Roman" w:cs="Times New Roman" w:eastAsia="Times New Roman" w:hAnsi="Times New Roman"/>
          <w:sz w:val="16"/>
          <w:szCs w:val="16"/>
          <w:color w:val="auto"/>
        </w:rPr>
        <w:t>Commissions and fees, including profit-sharing contingent commissions and earned premiums, for the nine months ended September 30, 2025, increased $638 million to $4,183 million, or 18.0%, over the same period in 2024. Core commissions and fees revenue for the nine months ended September 30, 2025 increased $587 million or 17.1%, composed of: (i) approximately $157 million of net new and renewal business, which reflects an Organic Revenue growth rate of 4.6%; (ii) $429 million from acquisitions that had no comparable revenues in the same period of 2024; (iii) an increase from the impact of Foreign Currency Translation of $ 11 million and (iv) an offsetting decrease of $10 million related to commissions and fees revenue from businesses or books of business divested in the preceding twelve months. Profit-sharing contingent commissions for the nine months ended September 30, 2025 increased by $51 million, or 46.4%, compared to the same period in 2024. This increase was driven primarily by (i) improved underwriting results, increased premium volume and qualifying for certain profit-sharing contingent commissions that we did not qualify for in the prior year and (ii) recent acquisitions.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and Other Income</w:t>
      </w:r>
    </w:p>
    <w:p>
      <w:pPr>
        <w:spacing w:after="0" w:line="94" w:lineRule="exact"/>
        <w:rPr>
          <w:sz w:val="20"/>
          <w:szCs w:val="20"/>
          <w:color w:val="auto"/>
        </w:rPr>
      </w:pPr>
    </w:p>
    <w:p>
      <w:pPr>
        <w:ind w:right="120" w:firstLine="456"/>
        <w:spacing w:after="0" w:line="243" w:lineRule="auto"/>
        <w:rPr>
          <w:sz w:val="20"/>
          <w:szCs w:val="20"/>
          <w:color w:val="auto"/>
        </w:rPr>
      </w:pPr>
      <w:r>
        <w:rPr>
          <w:rFonts w:ascii="Times New Roman" w:cs="Times New Roman" w:eastAsia="Times New Roman" w:hAnsi="Times New Roman"/>
          <w:sz w:val="16"/>
          <w:szCs w:val="16"/>
          <w:color w:val="auto"/>
        </w:rPr>
        <w:t>Investment and other income for the three months ended September 30, 2025 increased $25 million from the same period in 2024. Investment income for the nine months ended September 30, 2025 increased $35 million, from the same period in 2024. The increase was driven by approximately $42 million of interest income earned from the proceeds of the Company’s follow-on common stock offering and senior notes issuance in June 2025, which was held in preparation for the closing of the acquisition of Accession. The increase year over year was partially offset by lower average interest rates as compared to the prior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Compensation and Benefits</w:t>
      </w:r>
    </w:p>
    <w:p>
      <w:pPr>
        <w:spacing w:after="0" w:line="94"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4"/>
          <w:szCs w:val="14"/>
          <w:color w:val="auto"/>
        </w:rPr>
        <w:t>Employee compensation and benefits expense as a percentage of total revenues was 49.4% for the three months ended September 30, 2025 as compared to 51.2% for the three months ended September 30, 2024, an increase of 30.6%, or $186 million. This increase included $164 million of compensation costs related to acquisitions that had no comparable costs in the same period of 2024. Therefore, employee compensation and benefits expense attributable to those offices that existed in the same time periods of 2025 and 2024 increased by $ 22 million. This underlying employee compensation and benefits expense increase was primarily related to: (i) an increase in staff costs attributable to new hires; (ii) the increased cost of health insurance; and (iii) an increase in producer compensation associated with revenue growth.</w:t>
      </w:r>
    </w:p>
    <w:p>
      <w:pPr>
        <w:spacing w:after="0" w:line="44"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4"/>
          <w:szCs w:val="14"/>
          <w:color w:val="auto"/>
        </w:rPr>
        <w:t>Employee compensation and benefits expense as a percentage of total revenues was 49.3% for the nine months ended September 30, 2025 as compared to 50.3% for the nine months ended September 30, 2024, and increased 16.1%, or $293 million. This increase included $219 million of compensation costs related to acquisitions that had no comparable costs in the same period of 2024. Therefore, employee compensation and benefits expense attributable to those offices that existed in the same time periods of 2025 and 2024 increased by $ 74 million. This underlying employee compensation and benefits expense increase was primarily related to: (i) an increase in staff costs attributable to new hires; (ii) the increased cost of health insurance; and (iii) an increase in producer compensation associated with revenue growth.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Operating Expenses</w:t>
      </w:r>
    </w:p>
    <w:p>
      <w:pPr>
        <w:spacing w:after="0" w:line="94" w:lineRule="exact"/>
        <w:rPr>
          <w:sz w:val="20"/>
          <w:szCs w:val="20"/>
          <w:color w:val="auto"/>
        </w:rPr>
      </w:pPr>
    </w:p>
    <w:p>
      <w:pPr>
        <w:ind w:right="20" w:firstLine="456"/>
        <w:spacing w:after="0" w:line="241" w:lineRule="auto"/>
        <w:rPr>
          <w:sz w:val="20"/>
          <w:szCs w:val="20"/>
          <w:color w:val="auto"/>
        </w:rPr>
      </w:pPr>
      <w:r>
        <w:rPr>
          <w:rFonts w:ascii="Times New Roman" w:cs="Times New Roman" w:eastAsia="Times New Roman" w:hAnsi="Times New Roman"/>
          <w:sz w:val="16"/>
          <w:szCs w:val="16"/>
          <w:color w:val="auto"/>
        </w:rPr>
        <w:t>Other operating expenses represented 17.2% of total revenues for the third quarter of 2025, as compared to 13.9% for the third quarter of 2024. Other operating expenses for the third quarter of 2025 increased $111 million, or 67.3%, from the same period of 2024. This change includes: (i) $68 million of other operating expenses related to acquisitions that had no comparable costs in the same period of 2024; (ii) $50 million of Acquisition/Integration Costs associated with the acquisition of Accession, $9 million of which is included in the $60 million related to acquisitions that had no comparable costs in the same period of 2024; and (iii) increased information technology-related costs.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operating expenses represented 15.6% of total revenues for the nine months ended September 30, 2025, as compared to 13.8% for the nine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 Other operating expenses for the first nine months of 2025 increased $173 million, or 34.7%, from the same period of 2024. This change includes:</w:t>
      </w:r>
    </w:p>
    <w:p>
      <w:pPr>
        <w:spacing w:after="0" w:line="19" w:lineRule="exact"/>
        <w:rPr>
          <w:sz w:val="20"/>
          <w:szCs w:val="20"/>
          <w:color w:val="auto"/>
        </w:rPr>
      </w:pPr>
    </w:p>
    <w:p>
      <w:pPr>
        <w:jc w:val="both"/>
        <w:ind w:right="220" w:firstLine="6"/>
        <w:spacing w:after="0" w:line="237" w:lineRule="auto"/>
        <w:tabs>
          <w:tab w:leader="none" w:pos="18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 million of other operating expenses related to acquisitions that had no comparable costs in the same period of 2024; (ii) $87 million of Acquisition/Integration Costs associated with the acquisition of Accession, $9 million of which is included in the $60 million related to acquisitions that had no comparable costs in the same period of 2024; and (iii) increased information technology-related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(Gain)/Loss on Disposal</w:t>
      </w:r>
    </w:p>
    <w:p>
      <w:pPr>
        <w:spacing w:after="0" w:line="94" w:lineRule="exact"/>
        <w:rPr>
          <w:sz w:val="20"/>
          <w:szCs w:val="20"/>
          <w:color w:val="auto"/>
        </w:rPr>
      </w:pPr>
    </w:p>
    <w:p>
      <w:pPr>
        <w:ind w:right="280" w:firstLine="456"/>
        <w:spacing w:after="0" w:line="241" w:lineRule="auto"/>
        <w:rPr>
          <w:sz w:val="20"/>
          <w:szCs w:val="20"/>
          <w:color w:val="auto"/>
        </w:rPr>
      </w:pPr>
      <w:r>
        <w:rPr>
          <w:rFonts w:ascii="Times New Roman" w:cs="Times New Roman" w:eastAsia="Times New Roman" w:hAnsi="Times New Roman"/>
          <w:sz w:val="16"/>
          <w:szCs w:val="16"/>
          <w:color w:val="auto"/>
        </w:rPr>
        <w:t>Gain on disposal for the third quarter of 2025 decreased $1 million from the third quarter of 2024. Gain on disposal for the nine months ended September 30, 2025 decreased $31 million from the nine months ended September 30, 2024. These decreases were primarily attributable to the prior year finalization of the gain associated with selling certain third-party claims administration and adjusting services businesses in the fourth quarter of 2023.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Amortization</w:t>
      </w:r>
    </w:p>
    <w:p>
      <w:pPr>
        <w:spacing w:after="0" w:line="94" w:lineRule="exact"/>
        <w:rPr>
          <w:sz w:val="20"/>
          <w:szCs w:val="20"/>
          <w:color w:val="auto"/>
        </w:rPr>
      </w:pPr>
    </w:p>
    <w:p>
      <w:pPr>
        <w:jc w:val="both"/>
        <w:ind w:right="180" w:firstLine="456"/>
        <w:spacing w:after="0" w:line="243" w:lineRule="auto"/>
        <w:rPr>
          <w:sz w:val="20"/>
          <w:szCs w:val="20"/>
          <w:color w:val="auto"/>
        </w:rPr>
      </w:pPr>
      <w:r>
        <w:rPr>
          <w:rFonts w:ascii="Times New Roman" w:cs="Times New Roman" w:eastAsia="Times New Roman" w:hAnsi="Times New Roman"/>
          <w:sz w:val="16"/>
          <w:szCs w:val="16"/>
          <w:color w:val="auto"/>
        </w:rPr>
        <w:t>Amortization expense for the third quarter of 2025 increased $48 million, or 106.7%, compared to the third quarter of 2024. Amortization expense for the nine months ended September 30, 2025 increased $65 million, or 49.6%, compared to the nine months ended September 30, 2024. This change reflects the amortization of new intangibles from businesses acquired within the past twelve months, net of certain intangible assets becoming fully amortized or written off in the (Gain)/Loss on disposal.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Depreciation</w:t>
      </w:r>
    </w:p>
    <w:p>
      <w:pPr>
        <w:spacing w:after="0" w:line="94"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Depreciation expense for the third quarter of 2025 increased $3 million, or 27.3%, compared to the third quarter of 2024. Depreciation expense for the nine months ended September 30, 2025 increased $4 million, or 12.1%, compared to the nine months ended September 30, 2024.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94" w:lineRule="exact"/>
        <w:rPr>
          <w:sz w:val="20"/>
          <w:szCs w:val="20"/>
          <w:color w:val="auto"/>
        </w:rPr>
      </w:pPr>
    </w:p>
    <w:p>
      <w:pPr>
        <w:ind w:right="20" w:firstLine="456"/>
        <w:spacing w:after="0" w:line="243" w:lineRule="auto"/>
        <w:rPr>
          <w:sz w:val="20"/>
          <w:szCs w:val="20"/>
          <w:color w:val="auto"/>
        </w:rPr>
      </w:pPr>
      <w:r>
        <w:rPr>
          <w:rFonts w:ascii="Times New Roman" w:cs="Times New Roman" w:eastAsia="Times New Roman" w:hAnsi="Times New Roman"/>
          <w:sz w:val="16"/>
          <w:szCs w:val="16"/>
          <w:color w:val="auto"/>
        </w:rPr>
        <w:t>Interest expense for the third quarter of 2025 increased $ 50 million, or 100.0%, compared to the third quarter of 2024. Interest expense for the nine months ended September 30, 2025 increased $50 million, or 34.0%, compared to the first nine months of 2024. The increase is due to higher debt balances resulting from debt issuance second quarter of 2025 to fund the acquisition of Accession, which was partially offset by decreases in the floating rate benchmark used on our adjustable-rate debt.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Estimated Acquisition Earn-Out Payables</w:t>
      </w:r>
    </w:p>
    <w:p>
      <w:pPr>
        <w:spacing w:after="0" w:line="94" w:lineRule="exact"/>
        <w:rPr>
          <w:sz w:val="20"/>
          <w:szCs w:val="20"/>
          <w:color w:val="auto"/>
        </w:rPr>
      </w:pPr>
    </w:p>
    <w:p>
      <w:pPr>
        <w:ind w:right="20" w:firstLine="456"/>
        <w:spacing w:after="0" w:line="239" w:lineRule="auto"/>
        <w:rPr>
          <w:sz w:val="20"/>
          <w:szCs w:val="20"/>
          <w:color w:val="auto"/>
        </w:rPr>
      </w:pPr>
      <w:r>
        <w:rPr>
          <w:rFonts w:ascii="Times New Roman" w:cs="Times New Roman" w:eastAsia="Times New Roman" w:hAnsi="Times New Roman"/>
          <w:sz w:val="16"/>
          <w:szCs w:val="16"/>
          <w:color w:val="auto"/>
        </w:rPr>
        <w:t>Accounting Standards Codification (“ASC”) Topic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spacing w:after="0" w:line="74" w:lineRule="exact"/>
        <w:rPr>
          <w:sz w:val="20"/>
          <w:szCs w:val="20"/>
          <w:color w:val="auto"/>
        </w:rPr>
      </w:pPr>
    </w:p>
    <w:p>
      <w:pPr>
        <w:ind w:right="460" w:firstLine="456"/>
        <w:spacing w:after="0" w:line="259" w:lineRule="auto"/>
        <w:rPr>
          <w:sz w:val="20"/>
          <w:szCs w:val="20"/>
          <w:color w:val="auto"/>
        </w:rPr>
      </w:pPr>
      <w:r>
        <w:rPr>
          <w:rFonts w:ascii="Times New Roman" w:cs="Times New Roman" w:eastAsia="Times New Roman" w:hAnsi="Times New Roman"/>
          <w:sz w:val="16"/>
          <w:szCs w:val="16"/>
          <w:color w:val="auto"/>
        </w:rPr>
        <w:t>The net charge or credit to the Consolidated Statements of Income for the period is the combination of the net change in the estimated acquisition earn-out payables liability, and the accretion of the present value discount on those liabilities.</w:t>
      </w:r>
    </w:p>
    <w:p>
      <w:pPr>
        <w:spacing w:after="0" w:line="59" w:lineRule="exact"/>
        <w:rPr>
          <w:sz w:val="20"/>
          <w:szCs w:val="20"/>
          <w:color w:val="auto"/>
        </w:rPr>
      </w:pPr>
    </w:p>
    <w:p>
      <w:pPr>
        <w:jc w:val="both"/>
        <w:ind w:right="140" w:firstLine="456"/>
        <w:spacing w:after="0" w:line="247" w:lineRule="auto"/>
        <w:rPr>
          <w:sz w:val="20"/>
          <w:szCs w:val="20"/>
          <w:color w:val="auto"/>
        </w:rPr>
      </w:pPr>
      <w:r>
        <w:rPr>
          <w:rFonts w:ascii="Times New Roman" w:cs="Times New Roman" w:eastAsia="Times New Roman" w:hAnsi="Times New Roman"/>
          <w:sz w:val="16"/>
          <w:szCs w:val="16"/>
          <w:color w:val="auto"/>
        </w:rPr>
        <w:t>As of September 30, 2025 and 2024, the fair values of the estimated acquisition earn- out payables were re- evaluated based upon projected operating results and measured at fair value on a recurring basis using unobservable inputs (Level 3) as defined in ASC 820-</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resulting net changes, as well as the interest expense accretion on the estimated acquisition earn-out payables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22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12"/>
        </w:trPr>
        <w:tc>
          <w:tcPr>
            <w:tcW w:w="5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8"/>
                <w:szCs w:val="18"/>
                <w:color w:val="auto"/>
              </w:rPr>
            </w:pPr>
          </w:p>
        </w:tc>
      </w:tr>
      <w:tr>
        <w:trPr>
          <w:trHeight w:val="180"/>
        </w:trPr>
        <w:tc>
          <w:tcPr>
            <w:tcW w:w="5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fair value of estimated acquisition earn-out payables</w:t>
            </w:r>
          </w:p>
        </w:tc>
        <w:tc>
          <w:tcPr>
            <w:tcW w:w="800" w:type="dxa"/>
            <w:vAlign w:val="bottom"/>
            <w:shd w:val="clear" w:color="auto" w:fill="CFF0FC"/>
          </w:tcPr>
          <w:p>
            <w:pPr>
              <w:jc w:val="right"/>
              <w:ind w:right="64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140" w:type="dxa"/>
            <w:vAlign w:val="bottom"/>
            <w:gridSpan w:val="2"/>
            <w:shd w:val="clear" w:color="auto" w:fill="CFF0FC"/>
          </w:tcPr>
          <w:p>
            <w:pPr>
              <w:jc w:val="right"/>
              <w:ind w:right="8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6"/>
              </w:rPr>
              <w:t>(9)</w:t>
            </w:r>
          </w:p>
        </w:tc>
        <w:tc>
          <w:tcPr>
            <w:tcW w:w="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4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5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expense accretion</w:t>
            </w:r>
          </w:p>
        </w:tc>
        <w:tc>
          <w:tcPr>
            <w:tcW w:w="80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r>
      <w:tr>
        <w:trPr>
          <w:trHeight w:val="200"/>
        </w:trPr>
        <w:tc>
          <w:tcPr>
            <w:tcW w:w="5540" w:type="dxa"/>
            <w:vAlign w:val="bottom"/>
            <w:shd w:val="clear" w:color="auto" w:fill="CFF0FC"/>
          </w:tcPr>
          <w:p>
            <w:pPr>
              <w:ind w:left="100"/>
              <w:spacing w:after="0" w:line="160" w:lineRule="exact"/>
              <w:rPr>
                <w:sz w:val="20"/>
                <w:szCs w:val="20"/>
                <w:color w:val="auto"/>
              </w:rPr>
            </w:pPr>
            <w:r>
              <w:rPr>
                <w:rFonts w:ascii="Times New Roman" w:cs="Times New Roman" w:eastAsia="Times New Roman" w:hAnsi="Times New Roman"/>
                <w:sz w:val="16"/>
                <w:szCs w:val="16"/>
                <w:color w:val="auto"/>
              </w:rPr>
              <w:t>Net change in earnings from estimated acquisition earn-out payables</w:t>
            </w:r>
          </w:p>
        </w:tc>
        <w:tc>
          <w:tcPr>
            <w:tcW w:w="800" w:type="dxa"/>
            <w:vAlign w:val="bottom"/>
            <w:shd w:val="clear" w:color="auto" w:fill="CFF0FC"/>
          </w:tcPr>
          <w:p>
            <w:pPr>
              <w:jc w:val="right"/>
              <w:ind w:right="648"/>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shd w:val="clear" w:color="auto" w:fill="CFF0FC"/>
          </w:tcPr>
          <w:p>
            <w:pPr>
              <w:jc w:val="right"/>
              <w:ind w:right="8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(8</w:t>
            </w:r>
            <w:r>
              <w:rPr>
                <w:rFonts w:ascii="Times New Roman" w:cs="Times New Roman" w:eastAsia="Times New Roman" w:hAnsi="Times New Roman"/>
                <w:sz w:val="18"/>
                <w:szCs w:val="18"/>
                <w:color w:val="auto"/>
                <w:vertAlign w:val="subscript"/>
              </w:rPr>
              <w:t>)</w:t>
            </w:r>
          </w:p>
        </w:tc>
        <w:tc>
          <w:tcPr>
            <w:tcW w:w="22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w:t>
            </w:r>
          </w:p>
        </w:tc>
        <w:tc>
          <w:tcPr>
            <w:tcW w:w="46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(9</w:t>
            </w:r>
            <w:r>
              <w:rPr>
                <w:rFonts w:ascii="Times New Roman" w:cs="Times New Roman" w:eastAsia="Times New Roman" w:hAnsi="Times New Roman"/>
                <w:sz w:val="18"/>
                <w:szCs w:val="18"/>
                <w:color w:val="auto"/>
                <w:vertAlign w:val="subscript"/>
              </w:rPr>
              <w:t>)</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83"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6"/>
          <w:szCs w:val="16"/>
          <w:color w:val="auto"/>
        </w:rPr>
        <w:t>For the three months and nine months ended September 30, 2025, the fair value of estimated earn-out payables was re-evaluated and resulted in increases of $10 million and $14 million, respectively, which resulted in charges to the Condensed Consolidated Statements of Income.</w:t>
      </w:r>
    </w:p>
    <w:p>
      <w:pPr>
        <w:spacing w:after="0" w:line="59" w:lineRule="exact"/>
        <w:rPr>
          <w:sz w:val="20"/>
          <w:szCs w:val="20"/>
          <w:color w:val="auto"/>
        </w:rPr>
      </w:pPr>
    </w:p>
    <w:p>
      <w:pPr>
        <w:ind w:right="400" w:firstLine="456"/>
        <w:spacing w:after="0" w:line="259" w:lineRule="auto"/>
        <w:rPr>
          <w:sz w:val="20"/>
          <w:szCs w:val="20"/>
          <w:color w:val="auto"/>
        </w:rPr>
      </w:pPr>
      <w:r>
        <w:rPr>
          <w:rFonts w:ascii="Times New Roman" w:cs="Times New Roman" w:eastAsia="Times New Roman" w:hAnsi="Times New Roman"/>
          <w:sz w:val="16"/>
          <w:szCs w:val="16"/>
          <w:color w:val="auto"/>
        </w:rPr>
        <w:t>As of September 30, 2025, estimated acquisition earn-out payables totaled $575 million, of which $262 million was recorded as accounts payable and $313 million was recorded as other non-current liabilities.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right="40" w:firstLine="456"/>
        <w:spacing w:after="0" w:line="241" w:lineRule="auto"/>
        <w:rPr>
          <w:sz w:val="20"/>
          <w:szCs w:val="20"/>
          <w:color w:val="auto"/>
        </w:rPr>
      </w:pPr>
      <w:r>
        <w:rPr>
          <w:rFonts w:ascii="Times New Roman" w:cs="Times New Roman" w:eastAsia="Times New Roman" w:hAnsi="Times New Roman"/>
          <w:sz w:val="16"/>
          <w:szCs w:val="16"/>
          <w:color w:val="auto"/>
        </w:rPr>
        <w:t>The effective tax rate on income from operations for the three months ended September 30, 2025 and 2024 was 26.4% and 24.6%, respectively. The effective tax rate on income from operations for the nine months ended September 30, 2025 and 2024 was 23.9% and 23.1%, respectively. The increase for the three months ended September 30, 2025 was primarily driven by non-deductibility of certain costs associated with the acquisition of Accession. The increase for the nine months ended September 30, 2025 was driven primarily by the lower tax benefit associated with vesting of restricted stock awards and restricted stock units in 2025 as compared to 2024 as well as the non-deductibility of certain costs associated with the acquisition of Accession.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RESULTS OF OPERATIONS — SEGMENT INFORMATION</w:t>
      </w:r>
    </w:p>
    <w:p>
      <w:pPr>
        <w:spacing w:after="0" w:line="94"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As discussed in Note 12 to the Condensed Consolidated Financial Statements, we operate two reportable segments: Retail and Specialty Distribution. On a segmented basis, changes in amortization, depreciation and interest expenses generally result from activity associated with acquisitions. Likewise, other income consists primarily of miscellaneous income and therefore can fluctuate between comparable periods. As such, management primarily focuses on Organic Revenue growth, the growth in profit-sharing contingent commissions and EBITDAC Margin when evaluating the operational efficiency of a segment.</w:t>
      </w:r>
    </w:p>
    <w:p>
      <w:pPr>
        <w:spacing w:after="0" w:line="71" w:lineRule="exact"/>
        <w:rPr>
          <w:sz w:val="20"/>
          <w:szCs w:val="20"/>
          <w:color w:val="auto"/>
        </w:rPr>
      </w:pPr>
    </w:p>
    <w:p>
      <w:pPr>
        <w:ind w:right="60" w:firstLine="456"/>
        <w:spacing w:after="0" w:line="247" w:lineRule="auto"/>
        <w:rPr>
          <w:sz w:val="20"/>
          <w:szCs w:val="20"/>
          <w:color w:val="auto"/>
        </w:rPr>
      </w:pPr>
      <w:r>
        <w:rPr>
          <w:rFonts w:ascii="Times New Roman" w:cs="Times New Roman" w:eastAsia="Times New Roman" w:hAnsi="Times New Roman"/>
          <w:sz w:val="16"/>
          <w:szCs w:val="16"/>
          <w:color w:val="auto"/>
        </w:rPr>
        <w:t>The reconciliation of commissions and fees included in the Condensed Consolidated Statements of Income to Organic Revenue, a non-GAAP financial measure, for the three months ended September 30, 2025 and 2024, and the growth rates for Organic Revenue for the three months ended September 30, 2025, including by segment,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xml:space="preserve">Retail </w:t>
            </w:r>
            <w:r>
              <w:rPr>
                <w:rFonts w:ascii="Times New Roman" w:cs="Times New Roman" w:eastAsia="Times New Roman" w:hAnsi="Times New Roman"/>
                <w:sz w:val="19"/>
                <w:szCs w:val="19"/>
                <w:b w:val="1"/>
                <w:bCs w:val="1"/>
                <w:color w:val="auto"/>
                <w:vertAlign w:val="superscript"/>
              </w:rPr>
              <w:t>(1)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8"/>
                <w:szCs w:val="18"/>
                <w:color w:val="auto"/>
              </w:rPr>
            </w:pPr>
          </w:p>
        </w:tc>
      </w:tr>
      <w:tr>
        <w:trPr>
          <w:trHeight w:val="182"/>
        </w:trPr>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880" w:type="dxa"/>
            <w:vAlign w:val="bottom"/>
          </w:tcPr>
          <w:p>
            <w:pPr>
              <w:spacing w:after="0"/>
              <w:rPr>
                <w:sz w:val="15"/>
                <w:szCs w:val="15"/>
                <w:color w:val="auto"/>
              </w:rPr>
            </w:pPr>
          </w:p>
        </w:tc>
        <w:tc>
          <w:tcPr>
            <w:tcW w:w="1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0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Commissions and fees</w:t>
            </w:r>
          </w:p>
        </w:tc>
        <w:tc>
          <w:tcPr>
            <w:tcW w:w="8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877</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639</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673</w:t>
            </w:r>
          </w:p>
        </w:tc>
        <w:tc>
          <w:tcPr>
            <w:tcW w:w="7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1,550</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1,155</w:t>
            </w: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Total change</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238</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157</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growth %</w:t>
            </w: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2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Profit-sharing contingent</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w:t>
            </w:r>
          </w:p>
        </w:tc>
        <w:tc>
          <w:tcPr>
            <w:tcW w:w="8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2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Core commissions and fees</w:t>
            </w:r>
          </w:p>
        </w:tc>
        <w:tc>
          <w:tcPr>
            <w:tcW w:w="8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859</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631</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618</w:t>
            </w:r>
          </w:p>
        </w:tc>
        <w:tc>
          <w:tcPr>
            <w:tcW w:w="7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1,477</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1,128</w:t>
            </w: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8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248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w:t>
            </w:r>
            <w:r>
              <w:rPr>
                <w:rFonts w:ascii="Times New Roman" w:cs="Times New Roman" w:eastAsia="Times New Roman" w:hAnsi="Times New Roman"/>
                <w:sz w:val="19"/>
                <w:szCs w:val="19"/>
                <w:color w:val="auto"/>
                <w:vertAlign w:val="superscript"/>
              </w:rPr>
              <w:t>(2)</w:t>
            </w:r>
          </w:p>
        </w:tc>
        <w:tc>
          <w:tcPr>
            <w:tcW w:w="8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649</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632</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521</w:t>
            </w:r>
          </w:p>
        </w:tc>
        <w:tc>
          <w:tcPr>
            <w:tcW w:w="7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1,170</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r>
      <w:tr>
        <w:trPr>
          <w:trHeight w:val="168"/>
        </w:trPr>
        <w:tc>
          <w:tcPr>
            <w:tcW w:w="248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w:t>
            </w:r>
            <w:r>
              <w:rPr>
                <w:rFonts w:ascii="Times New Roman" w:cs="Times New Roman" w:eastAsia="Times New Roman" w:hAnsi="Times New Roman"/>
                <w:sz w:val="19"/>
                <w:szCs w:val="19"/>
                <w:color w:val="auto"/>
                <w:vertAlign w:val="superscript"/>
              </w:rPr>
              <w:t>(2)</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8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rate </w:t>
            </w:r>
            <w:r>
              <w:rPr>
                <w:rFonts w:ascii="Times New Roman" w:cs="Times New Roman" w:eastAsia="Times New Roman" w:hAnsi="Times New Roman"/>
                <w:sz w:val="19"/>
                <w:szCs w:val="19"/>
                <w:color w:val="auto"/>
                <w:vertAlign w:val="superscript"/>
              </w:rPr>
              <w:t>(2)</w:t>
            </w: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bl>
    <w:p>
      <w:pPr>
        <w:spacing w:after="0" w:line="83" w:lineRule="exact"/>
        <w:rPr>
          <w:sz w:val="20"/>
          <w:szCs w:val="20"/>
          <w:color w:val="auto"/>
        </w:rPr>
      </w:pPr>
    </w:p>
    <w:p>
      <w:pPr>
        <w:ind w:right="240" w:firstLine="6"/>
        <w:spacing w:after="0" w:line="246" w:lineRule="auto"/>
        <w:tabs>
          <w:tab w:leader="none" w:pos="22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20" w:hanging="214"/>
        <w:spacing w:after="0"/>
        <w:tabs>
          <w:tab w:leader="none" w:pos="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58" w:lineRule="exact"/>
        <w:rPr>
          <w:sz w:val="20"/>
          <w:szCs w:val="20"/>
          <w:color w:val="auto"/>
        </w:rPr>
      </w:pPr>
    </w:p>
    <w:p>
      <w:pPr>
        <w:jc w:val="both"/>
        <w:ind w:right="520" w:firstLine="588"/>
        <w:spacing w:after="0" w:line="247" w:lineRule="auto"/>
        <w:rPr>
          <w:sz w:val="20"/>
          <w:szCs w:val="20"/>
          <w:color w:val="auto"/>
        </w:rPr>
      </w:pPr>
      <w:r>
        <w:rPr>
          <w:rFonts w:ascii="Times New Roman" w:cs="Times New Roman" w:eastAsia="Times New Roman" w:hAnsi="Times New Roman"/>
          <w:sz w:val="16"/>
          <w:szCs w:val="16"/>
          <w:color w:val="auto"/>
        </w:rPr>
        <w:t>The reconciliation of commissions and fees included in the Condensed Consolidated Statements of Income to Organic Revenue, a non-GAAP financial measure, for the three months ended September 30, 2024 and 2023, including by segment, and the growth rates for Organic Revenue for the three months ended September 30, 2024, including by segment,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xml:space="preserve">Retail </w:t>
            </w:r>
            <w:r>
              <w:rPr>
                <w:rFonts w:ascii="Times New Roman" w:cs="Times New Roman" w:eastAsia="Times New Roman" w:hAnsi="Times New Roman"/>
                <w:sz w:val="19"/>
                <w:szCs w:val="19"/>
                <w:b w:val="1"/>
                <w:bCs w:val="1"/>
                <w:color w:val="auto"/>
                <w:vertAlign w:val="superscript"/>
              </w:rPr>
              <w:t>(1)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8"/>
                <w:szCs w:val="18"/>
                <w:color w:val="auto"/>
              </w:rPr>
            </w:pPr>
          </w:p>
        </w:tc>
      </w:tr>
      <w:tr>
        <w:trPr>
          <w:trHeight w:val="182"/>
        </w:trPr>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880" w:type="dxa"/>
            <w:vAlign w:val="bottom"/>
          </w:tcPr>
          <w:p>
            <w:pPr>
              <w:spacing w:after="0"/>
              <w:rPr>
                <w:sz w:val="15"/>
                <w:szCs w:val="15"/>
                <w:color w:val="auto"/>
              </w:rPr>
            </w:pPr>
          </w:p>
        </w:tc>
        <w:tc>
          <w:tcPr>
            <w:tcW w:w="1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10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Commissions and fees</w:t>
            </w:r>
          </w:p>
        </w:tc>
        <w:tc>
          <w:tcPr>
            <w:tcW w:w="8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639</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599</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516</w:t>
            </w:r>
          </w:p>
        </w:tc>
        <w:tc>
          <w:tcPr>
            <w:tcW w:w="7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1,155</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1,049</w:t>
            </w: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Total change</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growth %</w:t>
            </w: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2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Profit-sharing contingent</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w:t>
            </w:r>
          </w:p>
        </w:tc>
        <w:tc>
          <w:tcPr>
            <w:tcW w:w="8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2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Core commissions and fees</w:t>
            </w:r>
          </w:p>
        </w:tc>
        <w:tc>
          <w:tcPr>
            <w:tcW w:w="8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631</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497</w:t>
            </w:r>
          </w:p>
        </w:tc>
        <w:tc>
          <w:tcPr>
            <w:tcW w:w="7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1,128</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1,022</w:t>
            </w: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88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248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w:t>
            </w:r>
            <w:r>
              <w:rPr>
                <w:rFonts w:ascii="Times New Roman" w:cs="Times New Roman" w:eastAsia="Times New Roman" w:hAnsi="Times New Roman"/>
                <w:sz w:val="19"/>
                <w:szCs w:val="19"/>
                <w:color w:val="auto"/>
                <w:vertAlign w:val="superscript"/>
              </w:rPr>
              <w:t>(2)</w:t>
            </w:r>
          </w:p>
        </w:tc>
        <w:tc>
          <w:tcPr>
            <w:tcW w:w="8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615</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592</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478</w:t>
            </w:r>
          </w:p>
        </w:tc>
        <w:tc>
          <w:tcPr>
            <w:tcW w:w="7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406</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1,093</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998</w:t>
            </w:r>
          </w:p>
        </w:tc>
      </w:tr>
      <w:tr>
        <w:trPr>
          <w:trHeight w:val="168"/>
        </w:trPr>
        <w:tc>
          <w:tcPr>
            <w:tcW w:w="248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w:t>
            </w:r>
            <w:r>
              <w:rPr>
                <w:rFonts w:ascii="Times New Roman" w:cs="Times New Roman" w:eastAsia="Times New Roman" w:hAnsi="Times New Roman"/>
                <w:sz w:val="19"/>
                <w:szCs w:val="19"/>
                <w:color w:val="auto"/>
                <w:vertAlign w:val="superscript"/>
              </w:rPr>
              <w:t>(2)</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8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rate </w:t>
            </w:r>
            <w:r>
              <w:rPr>
                <w:rFonts w:ascii="Times New Roman" w:cs="Times New Roman" w:eastAsia="Times New Roman" w:hAnsi="Times New Roman"/>
                <w:sz w:val="19"/>
                <w:szCs w:val="19"/>
                <w:color w:val="auto"/>
                <w:vertAlign w:val="superscript"/>
              </w:rPr>
              <w:t>(2)</w:t>
            </w: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bl>
    <w:p>
      <w:pPr>
        <w:spacing w:after="0" w:line="83" w:lineRule="exact"/>
        <w:rPr>
          <w:sz w:val="20"/>
          <w:szCs w:val="20"/>
          <w:color w:val="auto"/>
        </w:rPr>
      </w:pPr>
    </w:p>
    <w:p>
      <w:pPr>
        <w:ind w:right="240" w:firstLine="6"/>
        <w:spacing w:after="0" w:line="246" w:lineRule="auto"/>
        <w:tabs>
          <w:tab w:leader="none" w:pos="22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20" w:hanging="214"/>
        <w:spacing w:after="0"/>
        <w:tabs>
          <w:tab w:leader="none" w:pos="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 -GAAP financial measure.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7" w:right="680" w:bottom="1440" w:gutter="0" w:footer="0" w:header="0"/>
        </w:sectPr>
      </w:pPr>
    </w:p>
    <w:bookmarkStart w:id="33" w:name="page34"/>
    <w:bookmarkEnd w:id="33"/>
    <w:p>
      <w:pPr>
        <w:ind w:right="520" w:firstLine="588"/>
        <w:spacing w:after="0" w:line="247" w:lineRule="auto"/>
        <w:rPr>
          <w:sz w:val="20"/>
          <w:szCs w:val="20"/>
          <w:color w:val="auto"/>
        </w:rPr>
      </w:pPr>
      <w:r>
        <w:rPr>
          <w:rFonts w:ascii="Times New Roman" w:cs="Times New Roman" w:eastAsia="Times New Roman" w:hAnsi="Times New Roman"/>
          <w:sz w:val="16"/>
          <w:szCs w:val="16"/>
          <w:color w:val="auto"/>
        </w:rPr>
        <w:t>The reconciliation of commissions and fees included in the Condensed Consolidated Statements of Income to Organic Revenue, a non- GAAP financial measure, for the nine months ended September 30, 2025 and 2024, including by segment, and the growth rates for Organic Revenue for the nine months ended September 30, 2025, including by segment,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xml:space="preserve">Retail </w:t>
            </w:r>
            <w:r>
              <w:rPr>
                <w:rFonts w:ascii="Times New Roman" w:cs="Times New Roman" w:eastAsia="Times New Roman" w:hAnsi="Times New Roman"/>
                <w:sz w:val="19"/>
                <w:szCs w:val="19"/>
                <w:b w:val="1"/>
                <w:bCs w:val="1"/>
                <w:color w:val="auto"/>
                <w:vertAlign w:val="superscript"/>
              </w:rPr>
              <w:t>(1)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8"/>
                <w:szCs w:val="18"/>
                <w:color w:val="auto"/>
              </w:rPr>
            </w:pPr>
          </w:p>
        </w:tc>
      </w:tr>
      <w:tr>
        <w:trPr>
          <w:trHeight w:val="182"/>
        </w:trPr>
        <w:tc>
          <w:tcPr>
            <w:tcW w:w="24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920" w:type="dxa"/>
            <w:vAlign w:val="bottom"/>
          </w:tcPr>
          <w:p>
            <w:pPr>
              <w:spacing w:after="0"/>
              <w:rPr>
                <w:sz w:val="15"/>
                <w:szCs w:val="15"/>
                <w:color w:val="auto"/>
              </w:rPr>
            </w:pPr>
          </w:p>
        </w:tc>
        <w:tc>
          <w:tcPr>
            <w:tcW w:w="1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0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Commissions and fees</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2,474</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2,086</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1,709</w:t>
            </w:r>
          </w:p>
        </w:tc>
        <w:tc>
          <w:tcPr>
            <w:tcW w:w="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5"/>
              </w:rPr>
              <w:t>1,459</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4,183</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3,545</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Total change</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388</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250</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growth %</w:t>
            </w: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24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Profit-sharing contingent</w:t>
            </w: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w:t>
            </w:r>
          </w:p>
        </w:tc>
        <w:tc>
          <w:tcPr>
            <w:tcW w:w="9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Core commissions and fees</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2,434</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2,056</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1,588</w:t>
            </w:r>
          </w:p>
        </w:tc>
        <w:tc>
          <w:tcPr>
            <w:tcW w:w="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5"/>
              </w:rPr>
              <w:t>1,379</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4,022</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3,435</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9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(429)</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244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w:t>
            </w:r>
            <w:r>
              <w:rPr>
                <w:rFonts w:ascii="Times New Roman" w:cs="Times New Roman" w:eastAsia="Times New Roman" w:hAnsi="Times New Roman"/>
                <w:sz w:val="19"/>
                <w:szCs w:val="19"/>
                <w:color w:val="auto"/>
                <w:vertAlign w:val="superscript"/>
              </w:rPr>
              <w:t>(2)</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2,122</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2,055</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1,471</w:t>
            </w:r>
          </w:p>
        </w:tc>
        <w:tc>
          <w:tcPr>
            <w:tcW w:w="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5"/>
              </w:rPr>
              <w:t>1,381</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3,593</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3,436</w:t>
            </w:r>
          </w:p>
        </w:tc>
      </w:tr>
      <w:tr>
        <w:trPr>
          <w:trHeight w:val="168"/>
        </w:trPr>
        <w:tc>
          <w:tcPr>
            <w:tcW w:w="244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w:t>
            </w:r>
            <w:r>
              <w:rPr>
                <w:rFonts w:ascii="Times New Roman" w:cs="Times New Roman" w:eastAsia="Times New Roman" w:hAnsi="Times New Roman"/>
                <w:sz w:val="19"/>
                <w:szCs w:val="19"/>
                <w:color w:val="auto"/>
                <w:vertAlign w:val="superscript"/>
              </w:rPr>
              <w:t>(2)</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90</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157</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4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 </w:t>
            </w:r>
            <w:r>
              <w:rPr>
                <w:rFonts w:ascii="Times New Roman" w:cs="Times New Roman" w:eastAsia="Times New Roman" w:hAnsi="Times New Roman"/>
                <w:sz w:val="19"/>
                <w:szCs w:val="19"/>
                <w:color w:val="auto"/>
                <w:vertAlign w:val="superscript"/>
              </w:rPr>
              <w:t>(2)</w:t>
            </w: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bl>
    <w:p>
      <w:pPr>
        <w:spacing w:after="0" w:line="83" w:lineRule="exact"/>
        <w:rPr>
          <w:sz w:val="20"/>
          <w:szCs w:val="20"/>
          <w:color w:val="auto"/>
        </w:rPr>
      </w:pPr>
    </w:p>
    <w:p>
      <w:pPr>
        <w:ind w:right="240" w:firstLine="6"/>
        <w:spacing w:after="0" w:line="246" w:lineRule="auto"/>
        <w:tabs>
          <w:tab w:leader="none" w:pos="2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20" w:hanging="214"/>
        <w:spacing w:after="0"/>
        <w:tabs>
          <w:tab w:leader="none" w:pos="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 -GAAP financial measure.</w:t>
      </w:r>
    </w:p>
    <w:p>
      <w:pPr>
        <w:spacing w:after="0" w:line="158" w:lineRule="exact"/>
        <w:rPr>
          <w:sz w:val="20"/>
          <w:szCs w:val="20"/>
          <w:color w:val="auto"/>
        </w:rPr>
      </w:pPr>
    </w:p>
    <w:p>
      <w:pPr>
        <w:ind w:right="520" w:firstLine="588"/>
        <w:spacing w:after="0" w:line="247" w:lineRule="auto"/>
        <w:rPr>
          <w:sz w:val="20"/>
          <w:szCs w:val="20"/>
          <w:color w:val="auto"/>
        </w:rPr>
      </w:pPr>
      <w:r>
        <w:rPr>
          <w:rFonts w:ascii="Times New Roman" w:cs="Times New Roman" w:eastAsia="Times New Roman" w:hAnsi="Times New Roman"/>
          <w:sz w:val="16"/>
          <w:szCs w:val="16"/>
          <w:color w:val="auto"/>
        </w:rPr>
        <w:t>The reconciliation of commissions and fees included in the Condensed Consolidated Statements of Income to Organic Revenue, a non- GAAP financial measure, for the nine months ended September 30, 2024 and 2023, including by segment, and the growth rates for Organic Revenue for the nine months ended September 30, 2024, including by segment,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spacing w:after="0"/>
              <w:rPr>
                <w:sz w:val="18"/>
                <w:szCs w:val="18"/>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xml:space="preserve">Retail </w:t>
            </w:r>
            <w:r>
              <w:rPr>
                <w:rFonts w:ascii="Times New Roman" w:cs="Times New Roman" w:eastAsia="Times New Roman" w:hAnsi="Times New Roman"/>
                <w:sz w:val="19"/>
                <w:szCs w:val="19"/>
                <w:b w:val="1"/>
                <w:bCs w:val="1"/>
                <w:color w:val="auto"/>
                <w:vertAlign w:val="superscript"/>
              </w:rPr>
              <w:t>(1)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8"/>
                <w:szCs w:val="18"/>
                <w:color w:val="auto"/>
              </w:rPr>
            </w:pPr>
          </w:p>
        </w:tc>
      </w:tr>
      <w:tr>
        <w:trPr>
          <w:trHeight w:val="184"/>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20" w:type="dxa"/>
            <w:vAlign w:val="bottom"/>
          </w:tcPr>
          <w:p>
            <w:pPr>
              <w:spacing w:after="0"/>
              <w:rPr>
                <w:sz w:val="16"/>
                <w:szCs w:val="16"/>
                <w:color w:val="auto"/>
              </w:rPr>
            </w:pPr>
          </w:p>
        </w:tc>
        <w:tc>
          <w:tcPr>
            <w:tcW w:w="1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0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Commissions and fees</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2,086</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1,919</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1,459</w:t>
            </w:r>
          </w:p>
        </w:tc>
        <w:tc>
          <w:tcPr>
            <w:tcW w:w="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5"/>
              </w:rPr>
              <w:t>1,274</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3,545</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3,193</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Total change</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185</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352</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growth %</w:t>
            </w: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24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Profit-sharing contingent</w:t>
            </w: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w:t>
            </w:r>
          </w:p>
        </w:tc>
        <w:tc>
          <w:tcPr>
            <w:tcW w:w="9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2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Core commissions and fees</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2,056</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1,879</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1,379</w:t>
            </w:r>
          </w:p>
        </w:tc>
        <w:tc>
          <w:tcPr>
            <w:tcW w:w="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5"/>
              </w:rPr>
              <w:t>1,226</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3,435</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3,105</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9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244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w:t>
            </w:r>
            <w:r>
              <w:rPr>
                <w:rFonts w:ascii="Times New Roman" w:cs="Times New Roman" w:eastAsia="Times New Roman" w:hAnsi="Times New Roman"/>
                <w:sz w:val="19"/>
                <w:szCs w:val="19"/>
                <w:color w:val="auto"/>
                <w:vertAlign w:val="superscript"/>
              </w:rPr>
              <w:t>(2)</w:t>
            </w: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2,001</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1,882</w:t>
            </w:r>
          </w:p>
        </w:tc>
        <w:tc>
          <w:tcPr>
            <w:tcW w:w="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1,314</w:t>
            </w:r>
          </w:p>
        </w:tc>
        <w:tc>
          <w:tcPr>
            <w:tcW w:w="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95"/>
              </w:rPr>
              <w:t>1,149</w:t>
            </w:r>
          </w:p>
        </w:tc>
        <w:tc>
          <w:tcPr>
            <w:tcW w:w="82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3,315</w:t>
            </w:r>
          </w:p>
        </w:tc>
        <w:tc>
          <w:tcPr>
            <w:tcW w:w="2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3,031</w:t>
            </w:r>
          </w:p>
        </w:tc>
      </w:tr>
      <w:tr>
        <w:trPr>
          <w:trHeight w:val="168"/>
        </w:trPr>
        <w:tc>
          <w:tcPr>
            <w:tcW w:w="244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w:t>
            </w:r>
            <w:r>
              <w:rPr>
                <w:rFonts w:ascii="Times New Roman" w:cs="Times New Roman" w:eastAsia="Times New Roman" w:hAnsi="Times New Roman"/>
                <w:sz w:val="19"/>
                <w:szCs w:val="19"/>
                <w:color w:val="auto"/>
                <w:vertAlign w:val="superscript"/>
              </w:rPr>
              <w:t>(2)</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165</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284</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44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4"/>
                <w:szCs w:val="14"/>
                <w:color w:val="auto"/>
              </w:rPr>
              <w:t xml:space="preserve">Organic Revenue growth % </w:t>
            </w:r>
            <w:r>
              <w:rPr>
                <w:rFonts w:ascii="Times New Roman" w:cs="Times New Roman" w:eastAsia="Times New Roman" w:hAnsi="Times New Roman"/>
                <w:sz w:val="19"/>
                <w:szCs w:val="19"/>
                <w:color w:val="auto"/>
                <w:vertAlign w:val="superscript"/>
              </w:rPr>
              <w:t>(2)</w:t>
            </w: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6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bl>
    <w:p>
      <w:pPr>
        <w:spacing w:after="0" w:line="83" w:lineRule="exact"/>
        <w:rPr>
          <w:sz w:val="20"/>
          <w:szCs w:val="20"/>
          <w:color w:val="auto"/>
        </w:rPr>
      </w:pPr>
    </w:p>
    <w:p>
      <w:pPr>
        <w:ind w:right="240" w:firstLine="6"/>
        <w:spacing w:after="0" w:line="246" w:lineRule="auto"/>
        <w:tabs>
          <w:tab w:leader="none" w:pos="22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segment includes commissions and fees reported as “Other” in the Segment Information table in Note 12 of this Quarterly Report on Form 10-Q of the Notes to the Condensed Consolidated Financial Statements, which includes corporate and consolidation items.</w:t>
      </w:r>
    </w:p>
    <w:p>
      <w:pPr>
        <w:ind w:left="220" w:hanging="214"/>
        <w:spacing w:after="0"/>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34" w:name="page35"/>
    <w:bookmarkEnd w:id="34"/>
    <w:p>
      <w:pPr>
        <w:ind w:right="340" w:firstLine="456"/>
        <w:spacing w:after="0" w:line="247" w:lineRule="auto"/>
        <w:rPr>
          <w:sz w:val="20"/>
          <w:szCs w:val="20"/>
          <w:color w:val="auto"/>
        </w:rPr>
      </w:pPr>
      <w:r>
        <w:rPr>
          <w:rFonts w:ascii="Times New Roman" w:cs="Times New Roman" w:eastAsia="Times New Roman" w:hAnsi="Times New Roman"/>
          <w:sz w:val="16"/>
          <w:szCs w:val="16"/>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September 30, 2025, including by segment,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Specialty</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240" w:type="dxa"/>
            <w:vAlign w:val="bottom"/>
          </w:tcPr>
          <w:p>
            <w:pPr>
              <w:spacing w:after="0"/>
              <w:rPr>
                <w:sz w:val="14"/>
                <w:szCs w:val="14"/>
                <w:color w:val="auto"/>
              </w:rPr>
            </w:pP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340" w:type="dxa"/>
            <w:vAlign w:val="bottom"/>
          </w:tcPr>
          <w:p>
            <w:pPr>
              <w:spacing w:after="0"/>
              <w:rPr>
                <w:sz w:val="14"/>
                <w:szCs w:val="14"/>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681</w:t>
            </w:r>
          </w:p>
        </w:tc>
        <w:tc>
          <w:tcPr>
            <w:tcW w:w="3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3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280" w:type="dxa"/>
            <w:vAlign w:val="bottom"/>
          </w:tcPr>
          <w:p>
            <w:pPr>
              <w:spacing w:after="0"/>
              <w:rPr>
                <w:sz w:val="15"/>
                <w:szCs w:val="15"/>
                <w:color w:val="auto"/>
              </w:rPr>
            </w:pPr>
          </w:p>
        </w:tc>
        <w:tc>
          <w:tcPr>
            <w:tcW w:w="118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240" w:type="dxa"/>
            <w:vAlign w:val="bottom"/>
          </w:tcPr>
          <w:p>
            <w:pPr>
              <w:spacing w:after="0"/>
              <w:rPr>
                <w:sz w:val="15"/>
                <w:szCs w:val="15"/>
                <w:color w:val="auto"/>
              </w:rPr>
            </w:pP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255</w:t>
            </w:r>
          </w:p>
        </w:tc>
        <w:tc>
          <w:tcPr>
            <w:tcW w:w="340" w:type="dxa"/>
            <w:vAlign w:val="bottom"/>
          </w:tcPr>
          <w:p>
            <w:pPr>
              <w:spacing w:after="0"/>
              <w:rPr>
                <w:sz w:val="15"/>
                <w:szCs w:val="15"/>
                <w:color w:val="auto"/>
              </w:rPr>
            </w:pPr>
          </w:p>
        </w:tc>
        <w:tc>
          <w:tcPr>
            <w:tcW w:w="11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Income Before Income Taxes Margin</w:t>
            </w:r>
            <w:r>
              <w:rPr>
                <w:rFonts w:ascii="Times New Roman" w:cs="Times New Roman" w:eastAsia="Times New Roman" w:hAnsi="Times New Roman"/>
                <w:sz w:val="20"/>
                <w:szCs w:val="20"/>
                <w:color w:val="auto"/>
                <w:vertAlign w:val="superscript"/>
              </w:rPr>
              <w:t>(1)</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37.4%</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80" w:type="dxa"/>
            <w:vAlign w:val="bottom"/>
          </w:tcPr>
          <w:p>
            <w:pPr>
              <w:spacing w:after="0"/>
              <w:rPr>
                <w:sz w:val="15"/>
                <w:szCs w:val="15"/>
                <w:color w:val="auto"/>
              </w:rPr>
            </w:pPr>
          </w:p>
        </w:tc>
        <w:tc>
          <w:tcPr>
            <w:tcW w:w="11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40" w:type="dxa"/>
            <w:vAlign w:val="bottom"/>
          </w:tcPr>
          <w:p>
            <w:pPr>
              <w:spacing w:after="0"/>
              <w:rPr>
                <w:sz w:val="15"/>
                <w:szCs w:val="15"/>
                <w:color w:val="auto"/>
              </w:rPr>
            </w:pPr>
          </w:p>
        </w:tc>
        <w:tc>
          <w:tcPr>
            <w:tcW w:w="11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280" w:type="dxa"/>
            <w:vAlign w:val="bottom"/>
          </w:tcPr>
          <w:p>
            <w:pPr>
              <w:spacing w:after="0"/>
              <w:rPr>
                <w:sz w:val="15"/>
                <w:szCs w:val="15"/>
                <w:color w:val="auto"/>
              </w:rPr>
            </w:pPr>
          </w:p>
        </w:tc>
        <w:tc>
          <w:tcPr>
            <w:tcW w:w="11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5"/>
                <w:szCs w:val="15"/>
                <w:color w:val="auto"/>
              </w:rPr>
            </w:pP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9</w:t>
            </w:r>
          </w:p>
        </w:tc>
        <w:tc>
          <w:tcPr>
            <w:tcW w:w="340" w:type="dxa"/>
            <w:vAlign w:val="bottom"/>
          </w:tcPr>
          <w:p>
            <w:pPr>
              <w:spacing w:after="0"/>
              <w:rPr>
                <w:sz w:val="15"/>
                <w:szCs w:val="15"/>
                <w:color w:val="auto"/>
              </w:rPr>
            </w:pPr>
          </w:p>
        </w:tc>
        <w:tc>
          <w:tcPr>
            <w:tcW w:w="110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12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payables</w:t>
            </w:r>
          </w:p>
        </w:tc>
        <w:tc>
          <w:tcPr>
            <w:tcW w:w="1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63"/>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EBITDAC</w:t>
            </w:r>
            <w:r>
              <w:rPr>
                <w:rFonts w:ascii="Times New Roman" w:cs="Times New Roman" w:eastAsia="Times New Roman" w:hAnsi="Times New Roman"/>
                <w:sz w:val="20"/>
                <w:szCs w:val="20"/>
                <w:color w:val="auto"/>
                <w:vertAlign w:val="superscript"/>
              </w:rPr>
              <w:t>(2)</w:t>
            </w:r>
          </w:p>
        </w:tc>
        <w:tc>
          <w:tcPr>
            <w:tcW w:w="1280" w:type="dxa"/>
            <w:vAlign w:val="bottom"/>
          </w:tcPr>
          <w:p>
            <w:pPr>
              <w:spacing w:after="0"/>
              <w:rPr>
                <w:sz w:val="15"/>
                <w:szCs w:val="15"/>
                <w:color w:val="auto"/>
              </w:rPr>
            </w:pPr>
          </w:p>
        </w:tc>
        <w:tc>
          <w:tcPr>
            <w:tcW w:w="118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237</w:t>
            </w:r>
          </w:p>
        </w:tc>
        <w:tc>
          <w:tcPr>
            <w:tcW w:w="240" w:type="dxa"/>
            <w:vAlign w:val="bottom"/>
          </w:tcPr>
          <w:p>
            <w:pPr>
              <w:spacing w:after="0"/>
              <w:rPr>
                <w:sz w:val="15"/>
                <w:szCs w:val="15"/>
                <w:color w:val="auto"/>
              </w:rPr>
            </w:pP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340" w:type="dxa"/>
            <w:vAlign w:val="bottom"/>
          </w:tcPr>
          <w:p>
            <w:pPr>
              <w:spacing w:after="0"/>
              <w:rPr>
                <w:sz w:val="15"/>
                <w:szCs w:val="15"/>
                <w:color w:val="auto"/>
              </w:rPr>
            </w:pPr>
          </w:p>
        </w:tc>
        <w:tc>
          <w:tcPr>
            <w:tcW w:w="11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529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EBITDAC Margin</w:t>
            </w:r>
            <w:r>
              <w:rPr>
                <w:rFonts w:ascii="Times New Roman" w:cs="Times New Roman" w:eastAsia="Times New Roman" w:hAnsi="Times New Roman"/>
                <w:sz w:val="20"/>
                <w:szCs w:val="20"/>
                <w:color w:val="auto"/>
                <w:vertAlign w:val="superscript"/>
              </w:rPr>
              <w:t>(2)</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26.8%</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43.6%</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280" w:type="dxa"/>
            <w:vAlign w:val="bottom"/>
          </w:tcPr>
          <w:p>
            <w:pPr>
              <w:spacing w:after="0"/>
              <w:rPr>
                <w:sz w:val="15"/>
                <w:szCs w:val="15"/>
                <w:color w:val="auto"/>
              </w:rPr>
            </w:pPr>
          </w:p>
        </w:tc>
        <w:tc>
          <w:tcPr>
            <w:tcW w:w="11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Acquisition/Integration Costs</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280" w:type="dxa"/>
            <w:vAlign w:val="bottom"/>
          </w:tcPr>
          <w:p>
            <w:pPr>
              <w:spacing w:after="0"/>
              <w:rPr>
                <w:sz w:val="15"/>
                <w:szCs w:val="15"/>
                <w:color w:val="auto"/>
              </w:rPr>
            </w:pPr>
          </w:p>
        </w:tc>
        <w:tc>
          <w:tcPr>
            <w:tcW w:w="11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0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EBITDAC - Adjusted</w:t>
            </w:r>
            <w:r>
              <w:rPr>
                <w:rFonts w:ascii="Times New Roman" w:cs="Times New Roman" w:eastAsia="Times New Roman" w:hAnsi="Times New Roman"/>
                <w:sz w:val="20"/>
                <w:szCs w:val="20"/>
                <w:color w:val="auto"/>
                <w:vertAlign w:val="superscript"/>
              </w:rPr>
              <w:t>(2)</w:t>
            </w:r>
          </w:p>
        </w:tc>
        <w:tc>
          <w:tcPr>
            <w:tcW w:w="1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247</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299</w:t>
            </w:r>
          </w:p>
        </w:tc>
        <w:tc>
          <w:tcPr>
            <w:tcW w:w="3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EBITDAC Margin - Adjusted</w:t>
            </w:r>
            <w:r>
              <w:rPr>
                <w:rFonts w:ascii="Times New Roman" w:cs="Times New Roman" w:eastAsia="Times New Roman" w:hAnsi="Times New Roman"/>
                <w:sz w:val="21"/>
                <w:szCs w:val="21"/>
                <w:color w:val="auto"/>
                <w:vertAlign w:val="superscript"/>
              </w:rPr>
              <w:t>(2)</w:t>
            </w:r>
          </w:p>
        </w:tc>
        <w:tc>
          <w:tcPr>
            <w:tcW w:w="1280" w:type="dxa"/>
            <w:vAlign w:val="bottom"/>
          </w:tcPr>
          <w:p>
            <w:pPr>
              <w:spacing w:after="0"/>
              <w:rPr>
                <w:sz w:val="24"/>
                <w:szCs w:val="24"/>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43.9%</w:t>
            </w:r>
          </w:p>
        </w:tc>
        <w:tc>
          <w:tcPr>
            <w:tcW w:w="34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NMF</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36.6% </w:t>
            </w:r>
            <w:r>
              <w:rPr>
                <w:rFonts w:ascii="Times New Roman" w:cs="Times New Roman" w:eastAsia="Times New Roman" w:hAnsi="Times New Roman"/>
                <w:sz w:val="21"/>
                <w:szCs w:val="21"/>
                <w:color w:val="auto"/>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4"/>
        <w:spacing w:after="0" w:line="234" w:lineRule="auto"/>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ind w:left="220" w:hanging="214"/>
        <w:spacing w:after="0" w:line="234" w:lineRule="auto"/>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ind w:right="160" w:firstLine="6"/>
        <w:spacing w:after="0" w:line="234" w:lineRule="auto"/>
        <w:tabs>
          <w:tab w:leader="none" w:pos="2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positive impact of approximately $29 million of interest income earned from the proceeds of the Company’s follow-on common stock offering and senior notes issuance in June 2025, held in preparation for the closing of the Company’s acquisition of Accession.</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NMF = Not a meaningful figure</w:t>
      </w:r>
    </w:p>
    <w:p>
      <w:pPr>
        <w:spacing w:after="0" w:line="74" w:lineRule="exact"/>
        <w:rPr>
          <w:sz w:val="20"/>
          <w:szCs w:val="20"/>
          <w:color w:val="auto"/>
        </w:rPr>
      </w:pPr>
    </w:p>
    <w:p>
      <w:pPr>
        <w:ind w:right="340" w:firstLine="456"/>
        <w:spacing w:after="0" w:line="247" w:lineRule="auto"/>
        <w:rPr>
          <w:sz w:val="20"/>
          <w:szCs w:val="20"/>
          <w:color w:val="auto"/>
        </w:rPr>
      </w:pPr>
      <w:r>
        <w:rPr>
          <w:rFonts w:ascii="Times New Roman" w:cs="Times New Roman" w:eastAsia="Times New Roman" w:hAnsi="Times New Roman"/>
          <w:sz w:val="16"/>
          <w:szCs w:val="16"/>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September 30, 2024, including by segment,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340" w:type="dxa"/>
            <w:vAlign w:val="bottom"/>
          </w:tcPr>
          <w:p>
            <w:pPr>
              <w:spacing w:after="0"/>
              <w:rPr>
                <w:sz w:val="14"/>
                <w:szCs w:val="14"/>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6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524</w:t>
            </w:r>
          </w:p>
        </w:tc>
        <w:tc>
          <w:tcPr>
            <w:tcW w:w="920" w:type="dxa"/>
            <w:vAlign w:val="bottom"/>
            <w:shd w:val="clear" w:color="auto" w:fill="CFF0FC"/>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1,186</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600" w:type="dxa"/>
            <w:vAlign w:val="bottom"/>
          </w:tcPr>
          <w:p>
            <w:pPr>
              <w:spacing w:after="0"/>
              <w:rPr>
                <w:sz w:val="15"/>
                <w:szCs w:val="15"/>
                <w:color w:val="auto"/>
              </w:rPr>
            </w:pPr>
          </w:p>
        </w:tc>
        <w:tc>
          <w:tcPr>
            <w:tcW w:w="9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920" w:type="dxa"/>
            <w:vAlign w:val="bottom"/>
          </w:tcPr>
          <w:p>
            <w:pPr>
              <w:spacing w:after="0"/>
              <w:rPr>
                <w:sz w:val="15"/>
                <w:szCs w:val="15"/>
                <w:color w:val="auto"/>
              </w:rPr>
            </w:pP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317</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Income Before Income Taxes Margin</w:t>
            </w:r>
            <w:r>
              <w:rPr>
                <w:rFonts w:ascii="Times New Roman" w:cs="Times New Roman" w:eastAsia="Times New Roman" w:hAnsi="Times New Roman"/>
                <w:sz w:val="20"/>
                <w:szCs w:val="20"/>
                <w:color w:val="auto"/>
                <w:vertAlign w:val="superscript"/>
              </w:rPr>
              <w:t>(1)</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40.1%</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26.7%</w:t>
            </w:r>
          </w:p>
        </w:tc>
      </w:tr>
      <w:tr>
        <w:trPr>
          <w:trHeight w:val="180"/>
        </w:trPr>
        <w:tc>
          <w:tcPr>
            <w:tcW w:w="35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600" w:type="dxa"/>
            <w:vAlign w:val="bottom"/>
          </w:tcPr>
          <w:p>
            <w:pPr>
              <w:spacing w:after="0"/>
              <w:rPr>
                <w:sz w:val="15"/>
                <w:szCs w:val="15"/>
                <w:color w:val="auto"/>
              </w:rPr>
            </w:pPr>
          </w:p>
        </w:tc>
        <w:tc>
          <w:tcPr>
            <w:tcW w:w="9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80"/>
        </w:trPr>
        <w:tc>
          <w:tcPr>
            <w:tcW w:w="35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35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spacing w:after="0"/>
              <w:rPr>
                <w:sz w:val="15"/>
                <w:szCs w:val="15"/>
                <w:color w:val="auto"/>
              </w:rPr>
            </w:pPr>
          </w:p>
        </w:tc>
        <w:tc>
          <w:tcPr>
            <w:tcW w:w="9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67"/>
        </w:trPr>
        <w:tc>
          <w:tcPr>
            <w:tcW w:w="35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1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93"/>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payables</w:t>
            </w:r>
          </w:p>
        </w:tc>
        <w:tc>
          <w:tcPr>
            <w:tcW w:w="1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w:t>
            </w: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EBITDAC</w:t>
            </w:r>
            <w:r>
              <w:rPr>
                <w:rFonts w:ascii="Times New Roman" w:cs="Times New Roman" w:eastAsia="Times New Roman" w:hAnsi="Times New Roman"/>
                <w:sz w:val="20"/>
                <w:szCs w:val="20"/>
                <w:color w:val="auto"/>
                <w:vertAlign w:val="superscript"/>
              </w:rPr>
              <w:t>(2)</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600" w:type="dxa"/>
            <w:vAlign w:val="bottom"/>
          </w:tcPr>
          <w:p>
            <w:pPr>
              <w:spacing w:after="0"/>
              <w:rPr>
                <w:sz w:val="15"/>
                <w:szCs w:val="15"/>
                <w:color w:val="auto"/>
              </w:rPr>
            </w:pPr>
          </w:p>
        </w:tc>
        <w:tc>
          <w:tcPr>
            <w:tcW w:w="9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415</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EBITDAC Margin</w:t>
            </w:r>
            <w:r>
              <w:rPr>
                <w:rFonts w:ascii="Times New Roman" w:cs="Times New Roman" w:eastAsia="Times New Roman" w:hAnsi="Times New Roman"/>
                <w:sz w:val="20"/>
                <w:szCs w:val="20"/>
                <w:color w:val="auto"/>
                <w:vertAlign w:val="superscript"/>
              </w:rPr>
              <w:t>(2)</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26.7%</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35.0%</w:t>
            </w:r>
          </w:p>
        </w:tc>
      </w:tr>
      <w:tr>
        <w:trPr>
          <w:trHeight w:val="180"/>
        </w:trPr>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340" w:type="dxa"/>
            <w:vAlign w:val="bottom"/>
          </w:tcPr>
          <w:p>
            <w:pPr>
              <w:spacing w:after="0"/>
              <w:rPr>
                <w:sz w:val="15"/>
                <w:szCs w:val="15"/>
                <w:color w:val="auto"/>
              </w:rPr>
            </w:pPr>
          </w:p>
        </w:tc>
        <w:tc>
          <w:tcPr>
            <w:tcW w:w="12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00" w:type="dxa"/>
            <w:vAlign w:val="bottom"/>
          </w:tcPr>
          <w:p>
            <w:pPr>
              <w:spacing w:after="0"/>
              <w:rPr>
                <w:sz w:val="15"/>
                <w:szCs w:val="15"/>
                <w:color w:val="auto"/>
              </w:rPr>
            </w:pPr>
          </w:p>
        </w:tc>
        <w:tc>
          <w:tcPr>
            <w:tcW w:w="9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Acquisition/Integration Costs</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9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EBITDAC - Adjusted</w:t>
            </w:r>
            <w:r>
              <w:rPr>
                <w:rFonts w:ascii="Times New Roman" w:cs="Times New Roman" w:eastAsia="Times New Roman" w:hAnsi="Times New Roman"/>
                <w:sz w:val="20"/>
                <w:szCs w:val="20"/>
                <w:color w:val="auto"/>
                <w:vertAlign w:val="superscript"/>
              </w:rPr>
              <w:t>(2)</w:t>
            </w: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6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920" w:type="dxa"/>
            <w:vAlign w:val="bottom"/>
            <w:shd w:val="clear" w:color="auto" w:fill="CFF0FC"/>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414</w:t>
            </w:r>
          </w:p>
        </w:tc>
      </w:tr>
      <w:tr>
        <w:trPr>
          <w:trHeight w:val="281"/>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EBITDAC Margin - Adjusted</w:t>
            </w:r>
            <w:r>
              <w:rPr>
                <w:rFonts w:ascii="Times New Roman" w:cs="Times New Roman" w:eastAsia="Times New Roman" w:hAnsi="Times New Roman"/>
                <w:sz w:val="21"/>
                <w:szCs w:val="21"/>
                <w:color w:val="auto"/>
                <w:vertAlign w:val="superscript"/>
              </w:rPr>
              <w:t>(2)</w:t>
            </w:r>
          </w:p>
        </w:tc>
        <w:tc>
          <w:tcPr>
            <w:tcW w:w="134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26.5%</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920" w:type="dxa"/>
            <w:vAlign w:val="bottom"/>
          </w:tcPr>
          <w:p>
            <w:pPr>
              <w:spacing w:after="0"/>
              <w:rPr>
                <w:sz w:val="24"/>
                <w:szCs w:val="24"/>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NMF</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bl>
    <w:p>
      <w:pPr>
        <w:ind w:left="220" w:hanging="214"/>
        <w:spacing w:after="0" w:line="234" w:lineRule="auto"/>
        <w:tabs>
          <w:tab w:leader="none" w:pos="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ind w:left="220" w:hanging="214"/>
        <w:spacing w:after="0" w:line="234" w:lineRule="auto"/>
        <w:tabs>
          <w:tab w:leader="none" w:pos="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NMF = Not a meaningful figure</w:t>
      </w:r>
    </w:p>
    <w:p>
      <w:pPr>
        <w:spacing w:after="0" w:line="74" w:lineRule="exact"/>
        <w:rPr>
          <w:sz w:val="20"/>
          <w:szCs w:val="20"/>
          <w:color w:val="auto"/>
        </w:rPr>
      </w:pPr>
    </w:p>
    <w:p>
      <w:pPr>
        <w:ind w:right="340" w:firstLine="456"/>
        <w:spacing w:after="0" w:line="259" w:lineRule="auto"/>
        <w:rPr>
          <w:sz w:val="20"/>
          <w:szCs w:val="20"/>
          <w:color w:val="auto"/>
        </w:rPr>
      </w:pPr>
      <w:r>
        <w:rPr>
          <w:rFonts w:ascii="Times New Roman" w:cs="Times New Roman" w:eastAsia="Times New Roman" w:hAnsi="Times New Roman"/>
          <w:sz w:val="16"/>
          <w:szCs w:val="16"/>
          <w:color w:val="auto"/>
        </w:rPr>
        <w:t>The reconciliation of income before income taxes, included in the Condensed Consolidated Statements of Income, to EBITDAC, a non-GAAP measure, and EBITDAC - Adjusted, a non-GAAP measure, and Income Before Income Taxes Margin to EBITDAC Margin, 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non-GAAP measure, and EBITDAC Margin - Adjusted, a non-GAAP measure, for the nine months ended September 30, 2025, including by segment,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Specialty</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240" w:type="dxa"/>
            <w:vAlign w:val="bottom"/>
          </w:tcPr>
          <w:p>
            <w:pPr>
              <w:spacing w:after="0"/>
              <w:rPr>
                <w:sz w:val="14"/>
                <w:szCs w:val="14"/>
                <w:color w:val="auto"/>
              </w:rPr>
            </w:pP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340" w:type="dxa"/>
            <w:vAlign w:val="bottom"/>
          </w:tcPr>
          <w:p>
            <w:pPr>
              <w:spacing w:after="0"/>
              <w:rPr>
                <w:sz w:val="14"/>
                <w:szCs w:val="14"/>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2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2,487</w:t>
            </w:r>
          </w:p>
        </w:tc>
        <w:tc>
          <w:tcPr>
            <w:tcW w:w="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1,731</w:t>
            </w:r>
          </w:p>
        </w:tc>
        <w:tc>
          <w:tcPr>
            <w:tcW w:w="34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3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4,295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280" w:type="dxa"/>
            <w:vAlign w:val="bottom"/>
          </w:tcPr>
          <w:p>
            <w:pPr>
              <w:spacing w:after="0"/>
              <w:rPr>
                <w:sz w:val="15"/>
                <w:szCs w:val="15"/>
                <w:color w:val="auto"/>
              </w:rPr>
            </w:pPr>
          </w:p>
        </w:tc>
        <w:tc>
          <w:tcPr>
            <w:tcW w:w="118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240" w:type="dxa"/>
            <w:vAlign w:val="bottom"/>
          </w:tcPr>
          <w:p>
            <w:pPr>
              <w:spacing w:after="0"/>
              <w:rPr>
                <w:sz w:val="15"/>
                <w:szCs w:val="15"/>
                <w:color w:val="auto"/>
              </w:rPr>
            </w:pP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654</w:t>
            </w:r>
          </w:p>
        </w:tc>
        <w:tc>
          <w:tcPr>
            <w:tcW w:w="340" w:type="dxa"/>
            <w:vAlign w:val="bottom"/>
          </w:tcPr>
          <w:p>
            <w:pPr>
              <w:spacing w:after="0"/>
              <w:rPr>
                <w:sz w:val="15"/>
                <w:szCs w:val="15"/>
                <w:color w:val="auto"/>
              </w:rPr>
            </w:pPr>
          </w:p>
        </w:tc>
        <w:tc>
          <w:tcPr>
            <w:tcW w:w="11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1,050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Income Before Income Taxes Margin</w:t>
            </w:r>
            <w:r>
              <w:rPr>
                <w:rFonts w:ascii="Times New Roman" w:cs="Times New Roman" w:eastAsia="Times New Roman" w:hAnsi="Times New Roman"/>
                <w:sz w:val="20"/>
                <w:szCs w:val="20"/>
                <w:color w:val="auto"/>
                <w:vertAlign w:val="superscript"/>
              </w:rPr>
              <w:t>(1)</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23.1%</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1280" w:type="dxa"/>
            <w:vAlign w:val="bottom"/>
          </w:tcPr>
          <w:p>
            <w:pPr>
              <w:spacing w:after="0"/>
              <w:rPr>
                <w:sz w:val="15"/>
                <w:szCs w:val="15"/>
                <w:color w:val="auto"/>
              </w:rPr>
            </w:pPr>
          </w:p>
        </w:tc>
        <w:tc>
          <w:tcPr>
            <w:tcW w:w="118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40" w:type="dxa"/>
            <w:vAlign w:val="bottom"/>
          </w:tcPr>
          <w:p>
            <w:pPr>
              <w:spacing w:after="0"/>
              <w:rPr>
                <w:sz w:val="15"/>
                <w:szCs w:val="15"/>
                <w:color w:val="auto"/>
              </w:rPr>
            </w:pPr>
          </w:p>
        </w:tc>
        <w:tc>
          <w:tcPr>
            <w:tcW w:w="11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280" w:type="dxa"/>
            <w:vAlign w:val="bottom"/>
          </w:tcPr>
          <w:p>
            <w:pPr>
              <w:spacing w:after="0"/>
              <w:rPr>
                <w:sz w:val="15"/>
                <w:szCs w:val="15"/>
                <w:color w:val="auto"/>
              </w:rPr>
            </w:pPr>
          </w:p>
        </w:tc>
        <w:tc>
          <w:tcPr>
            <w:tcW w:w="11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40" w:type="dxa"/>
            <w:vAlign w:val="bottom"/>
          </w:tcPr>
          <w:p>
            <w:pPr>
              <w:spacing w:after="0"/>
              <w:rPr>
                <w:sz w:val="15"/>
                <w:szCs w:val="15"/>
                <w:color w:val="auto"/>
              </w:rPr>
            </w:pPr>
          </w:p>
        </w:tc>
        <w:tc>
          <w:tcPr>
            <w:tcW w:w="110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12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payables</w:t>
            </w:r>
          </w:p>
        </w:tc>
        <w:tc>
          <w:tcPr>
            <w:tcW w:w="1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63"/>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EBITDAC</w:t>
            </w:r>
            <w:r>
              <w:rPr>
                <w:rFonts w:ascii="Times New Roman" w:cs="Times New Roman" w:eastAsia="Times New Roman" w:hAnsi="Times New Roman"/>
                <w:sz w:val="20"/>
                <w:szCs w:val="20"/>
                <w:color w:val="auto"/>
                <w:vertAlign w:val="superscript"/>
              </w:rPr>
              <w:t>(2)</w:t>
            </w:r>
          </w:p>
        </w:tc>
        <w:tc>
          <w:tcPr>
            <w:tcW w:w="1280" w:type="dxa"/>
            <w:vAlign w:val="bottom"/>
          </w:tcPr>
          <w:p>
            <w:pPr>
              <w:spacing w:after="0"/>
              <w:rPr>
                <w:sz w:val="15"/>
                <w:szCs w:val="15"/>
                <w:color w:val="auto"/>
              </w:rPr>
            </w:pPr>
          </w:p>
        </w:tc>
        <w:tc>
          <w:tcPr>
            <w:tcW w:w="118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765</w:t>
            </w:r>
          </w:p>
        </w:tc>
        <w:tc>
          <w:tcPr>
            <w:tcW w:w="240" w:type="dxa"/>
            <w:vAlign w:val="bottom"/>
          </w:tcPr>
          <w:p>
            <w:pPr>
              <w:spacing w:after="0"/>
              <w:rPr>
                <w:sz w:val="15"/>
                <w:szCs w:val="15"/>
                <w:color w:val="auto"/>
              </w:rPr>
            </w:pPr>
          </w:p>
        </w:tc>
        <w:tc>
          <w:tcPr>
            <w:tcW w:w="12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757</w:t>
            </w:r>
          </w:p>
        </w:tc>
        <w:tc>
          <w:tcPr>
            <w:tcW w:w="340" w:type="dxa"/>
            <w:vAlign w:val="bottom"/>
          </w:tcPr>
          <w:p>
            <w:pPr>
              <w:spacing w:after="0"/>
              <w:rPr>
                <w:sz w:val="15"/>
                <w:szCs w:val="15"/>
                <w:color w:val="auto"/>
              </w:rPr>
            </w:pPr>
          </w:p>
        </w:tc>
        <w:tc>
          <w:tcPr>
            <w:tcW w:w="110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1,498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EBITDAC Margin</w:t>
            </w:r>
            <w:r>
              <w:rPr>
                <w:rFonts w:ascii="Times New Roman" w:cs="Times New Roman" w:eastAsia="Times New Roman" w:hAnsi="Times New Roman"/>
                <w:sz w:val="20"/>
                <w:szCs w:val="20"/>
                <w:color w:val="auto"/>
                <w:vertAlign w:val="superscript"/>
              </w:rPr>
              <w:t>(2)</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30.8%</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43.7%</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34.9%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280" w:type="dxa"/>
            <w:vAlign w:val="bottom"/>
          </w:tcPr>
          <w:p>
            <w:pPr>
              <w:spacing w:after="0"/>
              <w:rPr>
                <w:sz w:val="15"/>
                <w:szCs w:val="15"/>
                <w:color w:val="auto"/>
              </w:rPr>
            </w:pPr>
          </w:p>
        </w:tc>
        <w:tc>
          <w:tcPr>
            <w:tcW w:w="118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Acquisition/Integration Costs</w:t>
            </w:r>
          </w:p>
        </w:tc>
        <w:tc>
          <w:tcPr>
            <w:tcW w:w="1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280" w:type="dxa"/>
            <w:vAlign w:val="bottom"/>
          </w:tcPr>
          <w:p>
            <w:pPr>
              <w:spacing w:after="0"/>
              <w:rPr>
                <w:sz w:val="15"/>
                <w:szCs w:val="15"/>
                <w:color w:val="auto"/>
              </w:rPr>
            </w:pPr>
          </w:p>
        </w:tc>
        <w:tc>
          <w:tcPr>
            <w:tcW w:w="118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10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60" w:type="dxa"/>
            <w:vAlign w:val="bottom"/>
          </w:tcPr>
          <w:p>
            <w:pPr>
              <w:spacing w:after="0"/>
              <w:rPr>
                <w:sz w:val="15"/>
                <w:szCs w:val="15"/>
                <w:color w:val="auto"/>
              </w:rPr>
            </w:pPr>
          </w:p>
        </w:tc>
        <w:tc>
          <w:tcPr>
            <w:tcW w:w="1300" w:type="dxa"/>
            <w:vAlign w:val="bottom"/>
          </w:tcPr>
          <w:p>
            <w:pPr>
              <w:jc w:val="right"/>
              <w:ind w:right="263"/>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EBITDAC - Adjusted</w:t>
            </w:r>
            <w:r>
              <w:rPr>
                <w:rFonts w:ascii="Times New Roman" w:cs="Times New Roman" w:eastAsia="Times New Roman" w:hAnsi="Times New Roman"/>
                <w:sz w:val="21"/>
                <w:szCs w:val="21"/>
                <w:color w:val="auto"/>
                <w:vertAlign w:val="superscript"/>
              </w:rPr>
              <w:t>(2)</w:t>
            </w:r>
          </w:p>
        </w:tc>
        <w:tc>
          <w:tcPr>
            <w:tcW w:w="12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rPr>
              <w:t>776</w:t>
            </w:r>
          </w:p>
        </w:tc>
        <w:tc>
          <w:tcPr>
            <w:tcW w:w="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rPr>
              <w:t>759</w:t>
            </w:r>
          </w:p>
        </w:tc>
        <w:tc>
          <w:tcPr>
            <w:tcW w:w="3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FF0FC"/>
          </w:tcPr>
          <w:p>
            <w:pPr>
              <w:jc w:val="right"/>
              <w:ind w:right="263"/>
              <w:spacing w:after="0"/>
              <w:rPr>
                <w:sz w:val="20"/>
                <w:szCs w:val="20"/>
                <w:color w:val="auto"/>
              </w:rPr>
            </w:pPr>
            <w:r>
              <w:rPr>
                <w:rFonts w:ascii="Times New Roman" w:cs="Times New Roman" w:eastAsia="Times New Roman" w:hAnsi="Times New Roman"/>
                <w:sz w:val="16"/>
                <w:szCs w:val="16"/>
                <w:color w:val="auto"/>
              </w:rPr>
              <w:t>1,594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5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118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60" w:type="dxa"/>
            <w:vAlign w:val="bottom"/>
            <w:vMerge w:val="continue"/>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300" w:type="dxa"/>
            <w:vAlign w:val="bottom"/>
            <w:vMerge w:val="continue"/>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EBITDAC Margin - Adjusted</w:t>
            </w:r>
            <w:r>
              <w:rPr>
                <w:rFonts w:ascii="Times New Roman" w:cs="Times New Roman" w:eastAsia="Times New Roman" w:hAnsi="Times New Roman"/>
                <w:sz w:val="21"/>
                <w:szCs w:val="21"/>
                <w:color w:val="auto"/>
                <w:vertAlign w:val="superscript"/>
              </w:rPr>
              <w:t>(2)</w:t>
            </w:r>
          </w:p>
        </w:tc>
        <w:tc>
          <w:tcPr>
            <w:tcW w:w="1280" w:type="dxa"/>
            <w:vAlign w:val="bottom"/>
          </w:tcPr>
          <w:p>
            <w:pPr>
              <w:spacing w:after="0"/>
              <w:rPr>
                <w:sz w:val="24"/>
                <w:szCs w:val="24"/>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43.8%</w:t>
            </w:r>
          </w:p>
        </w:tc>
        <w:tc>
          <w:tcPr>
            <w:tcW w:w="34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NMF</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37.1% </w:t>
            </w:r>
            <w:r>
              <w:rPr>
                <w:rFonts w:ascii="Times New Roman" w:cs="Times New Roman" w:eastAsia="Times New Roman" w:hAnsi="Times New Roman"/>
                <w:sz w:val="21"/>
                <w:szCs w:val="21"/>
                <w:color w:val="auto"/>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4"/>
        <w:spacing w:after="0" w:line="234" w:lineRule="auto"/>
        <w:tabs>
          <w:tab w:leader="none" w:pos="2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ind w:left="220" w:hanging="214"/>
        <w:spacing w:after="0" w:line="234" w:lineRule="auto"/>
        <w:tabs>
          <w:tab w:leader="none" w:pos="2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ind w:right="160" w:firstLine="6"/>
        <w:spacing w:after="0" w:line="234" w:lineRule="auto"/>
        <w:tabs>
          <w:tab w:leader="none" w:pos="2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positive impact of approximately $42 million of interest income earned from the proceeds of the Company’s follow-on common stock offering and senior notes issuance in June 2025, held in preparation for the closing of the Company’s acquisition of Accession.</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NMF = Not a meaningful figure</w:t>
      </w:r>
    </w:p>
    <w:p>
      <w:pPr>
        <w:spacing w:after="0" w:line="74" w:lineRule="exact"/>
        <w:rPr>
          <w:sz w:val="20"/>
          <w:szCs w:val="20"/>
          <w:color w:val="auto"/>
        </w:rPr>
      </w:pPr>
    </w:p>
    <w:p>
      <w:pPr>
        <w:ind w:right="340" w:firstLine="456"/>
        <w:spacing w:after="0" w:line="244" w:lineRule="auto"/>
        <w:rPr>
          <w:sz w:val="20"/>
          <w:szCs w:val="20"/>
          <w:color w:val="auto"/>
        </w:rPr>
      </w:pPr>
      <w:r>
        <w:rPr>
          <w:rFonts w:ascii="Times New Roman" w:cs="Times New Roman" w:eastAsia="Times New Roman" w:hAnsi="Times New Roman"/>
          <w:sz w:val="16"/>
          <w:szCs w:val="16"/>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nine months ended September 30, 2024, including by segment,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340" w:type="dxa"/>
            <w:vAlign w:val="bottom"/>
          </w:tcPr>
          <w:p>
            <w:pPr>
              <w:spacing w:after="0"/>
              <w:rPr>
                <w:sz w:val="14"/>
                <w:szCs w:val="14"/>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Retail</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Specialty Distribution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2,093</w:t>
            </w:r>
          </w:p>
        </w:tc>
        <w:tc>
          <w:tcPr>
            <w:tcW w:w="5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1,482</w:t>
            </w:r>
          </w:p>
        </w:tc>
        <w:tc>
          <w:tcPr>
            <w:tcW w:w="920" w:type="dxa"/>
            <w:vAlign w:val="bottom"/>
            <w:shd w:val="clear" w:color="auto" w:fill="CFF0FC"/>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3,622</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488</w:t>
            </w:r>
          </w:p>
        </w:tc>
        <w:tc>
          <w:tcPr>
            <w:tcW w:w="560" w:type="dxa"/>
            <w:vAlign w:val="bottom"/>
          </w:tcPr>
          <w:p>
            <w:pPr>
              <w:spacing w:after="0"/>
              <w:rPr>
                <w:sz w:val="15"/>
                <w:szCs w:val="15"/>
                <w:color w:val="auto"/>
              </w:rPr>
            </w:pPr>
          </w:p>
        </w:tc>
        <w:tc>
          <w:tcPr>
            <w:tcW w:w="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584</w:t>
            </w:r>
          </w:p>
        </w:tc>
        <w:tc>
          <w:tcPr>
            <w:tcW w:w="920" w:type="dxa"/>
            <w:vAlign w:val="bottom"/>
          </w:tcPr>
          <w:p>
            <w:pPr>
              <w:spacing w:after="0"/>
              <w:rPr>
                <w:sz w:val="15"/>
                <w:szCs w:val="15"/>
                <w:color w:val="auto"/>
              </w:rPr>
            </w:pPr>
          </w:p>
        </w:tc>
        <w:tc>
          <w:tcPr>
            <w:tcW w:w="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1,028</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Income Before Income Taxes Margin</w:t>
            </w:r>
            <w:r>
              <w:rPr>
                <w:rFonts w:ascii="Times New Roman" w:cs="Times New Roman" w:eastAsia="Times New Roman" w:hAnsi="Times New Roman"/>
                <w:sz w:val="20"/>
                <w:szCs w:val="20"/>
                <w:color w:val="auto"/>
                <w:vertAlign w:val="superscript"/>
              </w:rPr>
              <w:t>(1)</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5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w:t>
            </w:r>
          </w:p>
        </w:tc>
      </w:tr>
      <w:tr>
        <w:trPr>
          <w:trHeight w:val="192"/>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w:t>
            </w:r>
          </w:p>
        </w:tc>
        <w:tc>
          <w:tcPr>
            <w:tcW w:w="1340" w:type="dxa"/>
            <w:vAlign w:val="bottom"/>
          </w:tcPr>
          <w:p>
            <w:pPr>
              <w:spacing w:after="0"/>
              <w:rPr>
                <w:sz w:val="16"/>
                <w:szCs w:val="16"/>
                <w:color w:val="auto"/>
              </w:rPr>
            </w:pPr>
          </w:p>
        </w:tc>
        <w:tc>
          <w:tcPr>
            <w:tcW w:w="12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86</w:t>
            </w:r>
          </w:p>
        </w:tc>
        <w:tc>
          <w:tcPr>
            <w:tcW w:w="560" w:type="dxa"/>
            <w:vAlign w:val="bottom"/>
          </w:tcPr>
          <w:p>
            <w:pPr>
              <w:spacing w:after="0"/>
              <w:rPr>
                <w:sz w:val="16"/>
                <w:szCs w:val="16"/>
                <w:color w:val="auto"/>
              </w:rPr>
            </w:pP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45</w:t>
            </w:r>
          </w:p>
        </w:tc>
        <w:tc>
          <w:tcPr>
            <w:tcW w:w="920" w:type="dxa"/>
            <w:vAlign w:val="bottom"/>
          </w:tcPr>
          <w:p>
            <w:pPr>
              <w:spacing w:after="0"/>
              <w:rPr>
                <w:sz w:val="16"/>
                <w:szCs w:val="16"/>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131</w:t>
            </w:r>
          </w:p>
        </w:tc>
      </w:tr>
      <w:tr>
        <w:trPr>
          <w:trHeight w:val="180"/>
        </w:trPr>
        <w:tc>
          <w:tcPr>
            <w:tcW w:w="35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35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560" w:type="dxa"/>
            <w:vAlign w:val="bottom"/>
          </w:tcPr>
          <w:p>
            <w:pPr>
              <w:spacing w:after="0"/>
              <w:rPr>
                <w:sz w:val="15"/>
                <w:szCs w:val="15"/>
                <w:color w:val="auto"/>
              </w:rPr>
            </w:pPr>
          </w:p>
        </w:tc>
        <w:tc>
          <w:tcPr>
            <w:tcW w:w="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147</w:t>
            </w:r>
          </w:p>
        </w:tc>
      </w:tr>
      <w:tr>
        <w:trPr>
          <w:trHeight w:val="167"/>
        </w:trPr>
        <w:tc>
          <w:tcPr>
            <w:tcW w:w="35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1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93"/>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payables</w:t>
            </w:r>
          </w:p>
        </w:tc>
        <w:tc>
          <w:tcPr>
            <w:tcW w:w="1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w:t>
            </w: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EBITDAC</w:t>
            </w:r>
            <w:r>
              <w:rPr>
                <w:rFonts w:ascii="Times New Roman" w:cs="Times New Roman" w:eastAsia="Times New Roman" w:hAnsi="Times New Roman"/>
                <w:sz w:val="20"/>
                <w:szCs w:val="20"/>
                <w:color w:val="auto"/>
                <w:vertAlign w:val="superscript"/>
              </w:rPr>
              <w:t>(2)</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643</w:t>
            </w:r>
          </w:p>
        </w:tc>
        <w:tc>
          <w:tcPr>
            <w:tcW w:w="560" w:type="dxa"/>
            <w:vAlign w:val="bottom"/>
          </w:tcPr>
          <w:p>
            <w:pPr>
              <w:spacing w:after="0"/>
              <w:rPr>
                <w:sz w:val="15"/>
                <w:szCs w:val="15"/>
                <w:color w:val="auto"/>
              </w:rPr>
            </w:pPr>
          </w:p>
        </w:tc>
        <w:tc>
          <w:tcPr>
            <w:tcW w:w="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668</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1,330</w:t>
            </w:r>
          </w:p>
        </w:tc>
      </w:tr>
      <w:tr>
        <w:trPr>
          <w:trHeight w:val="180"/>
        </w:trPr>
        <w:tc>
          <w:tcPr>
            <w:tcW w:w="3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EBITDAC Margin</w:t>
            </w:r>
            <w:r>
              <w:rPr>
                <w:rFonts w:ascii="Times New Roman" w:cs="Times New Roman" w:eastAsia="Times New Roman" w:hAnsi="Times New Roman"/>
                <w:sz w:val="20"/>
                <w:szCs w:val="20"/>
                <w:color w:val="auto"/>
                <w:vertAlign w:val="superscript"/>
              </w:rPr>
              <w:t>(2)</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5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45.1%</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NMF</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w:t>
            </w:r>
          </w:p>
        </w:tc>
      </w:tr>
      <w:tr>
        <w:trPr>
          <w:trHeight w:val="180"/>
        </w:trPr>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1340" w:type="dxa"/>
            <w:vAlign w:val="bottom"/>
          </w:tcPr>
          <w:p>
            <w:pPr>
              <w:spacing w:after="0"/>
              <w:rPr>
                <w:sz w:val="15"/>
                <w:szCs w:val="15"/>
                <w:color w:val="auto"/>
              </w:rPr>
            </w:pPr>
          </w:p>
        </w:tc>
        <w:tc>
          <w:tcPr>
            <w:tcW w:w="12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w:t>
            </w:r>
          </w:p>
        </w:tc>
        <w:tc>
          <w:tcPr>
            <w:tcW w:w="560" w:type="dxa"/>
            <w:vAlign w:val="bottom"/>
          </w:tcPr>
          <w:p>
            <w:pPr>
              <w:spacing w:after="0"/>
              <w:rPr>
                <w:sz w:val="15"/>
                <w:szCs w:val="15"/>
                <w:color w:val="auto"/>
              </w:rPr>
            </w:pPr>
          </w:p>
        </w:tc>
        <w:tc>
          <w:tcPr>
            <w:tcW w:w="9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Acquisition/Integration Costs</w:t>
            </w:r>
          </w:p>
        </w:tc>
        <w:tc>
          <w:tcPr>
            <w:tcW w:w="1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Mark-to-market of escrow liability</w:t>
            </w:r>
          </w:p>
        </w:tc>
        <w:tc>
          <w:tcPr>
            <w:tcW w:w="1340" w:type="dxa"/>
            <w:vAlign w:val="bottom"/>
          </w:tcPr>
          <w:p>
            <w:pPr>
              <w:spacing w:after="0"/>
              <w:rPr>
                <w:sz w:val="15"/>
                <w:szCs w:val="15"/>
                <w:color w:val="auto"/>
              </w:rPr>
            </w:pPr>
          </w:p>
        </w:tc>
        <w:tc>
          <w:tcPr>
            <w:tcW w:w="120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5"/>
                <w:szCs w:val="15"/>
                <w:color w:val="auto"/>
              </w:rPr>
            </w:pPr>
          </w:p>
        </w:tc>
        <w:tc>
          <w:tcPr>
            <w:tcW w:w="96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5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5"/>
                <w:szCs w:val="15"/>
                <w:color w:val="auto"/>
              </w:rPr>
              <w:t>EBITDAC - Adjusted</w:t>
            </w:r>
            <w:r>
              <w:rPr>
                <w:rFonts w:ascii="Times New Roman" w:cs="Times New Roman" w:eastAsia="Times New Roman" w:hAnsi="Times New Roman"/>
                <w:sz w:val="20"/>
                <w:szCs w:val="20"/>
                <w:color w:val="auto"/>
                <w:vertAlign w:val="superscript"/>
              </w:rPr>
              <w:t>(2)</w:t>
            </w:r>
          </w:p>
        </w:tc>
        <w:tc>
          <w:tcPr>
            <w:tcW w:w="13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5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640</w:t>
            </w:r>
          </w:p>
        </w:tc>
        <w:tc>
          <w:tcPr>
            <w:tcW w:w="920" w:type="dxa"/>
            <w:vAlign w:val="bottom"/>
            <w:shd w:val="clear" w:color="auto" w:fill="CFF0FC"/>
          </w:tcPr>
          <w:p>
            <w:pPr>
              <w:jc w:val="right"/>
              <w:ind w:right="706"/>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1,300</w:t>
            </w:r>
          </w:p>
        </w:tc>
      </w:tr>
      <w:tr>
        <w:trPr>
          <w:trHeight w:val="281"/>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EBITDAC Margin - Adjusted</w:t>
            </w:r>
            <w:r>
              <w:rPr>
                <w:rFonts w:ascii="Times New Roman" w:cs="Times New Roman" w:eastAsia="Times New Roman" w:hAnsi="Times New Roman"/>
                <w:sz w:val="21"/>
                <w:szCs w:val="21"/>
                <w:color w:val="auto"/>
                <w:vertAlign w:val="superscript"/>
              </w:rPr>
              <w:t>(2)</w:t>
            </w:r>
          </w:p>
        </w:tc>
        <w:tc>
          <w:tcPr>
            <w:tcW w:w="134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30.6%</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920" w:type="dxa"/>
            <w:vAlign w:val="bottom"/>
          </w:tcPr>
          <w:p>
            <w:pPr>
              <w:spacing w:after="0"/>
              <w:rPr>
                <w:sz w:val="24"/>
                <w:szCs w:val="24"/>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NMF</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bl>
    <w:p>
      <w:pPr>
        <w:ind w:left="220" w:hanging="214"/>
        <w:spacing w:after="0" w:line="234" w:lineRule="auto"/>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ind w:left="220" w:hanging="214"/>
        <w:spacing w:after="0" w:line="234" w:lineRule="auto"/>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NMF = Not a meaningful figure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Retail Segment</w:t>
      </w:r>
    </w:p>
    <w:p>
      <w:pPr>
        <w:spacing w:after="0" w:line="94" w:lineRule="exact"/>
        <w:rPr>
          <w:sz w:val="20"/>
          <w:szCs w:val="20"/>
          <w:color w:val="auto"/>
        </w:rPr>
      </w:pPr>
    </w:p>
    <w:p>
      <w:pPr>
        <w:jc w:val="both"/>
        <w:ind w:right="500" w:firstLine="468"/>
        <w:spacing w:after="0" w:line="247" w:lineRule="auto"/>
        <w:rPr>
          <w:sz w:val="20"/>
          <w:szCs w:val="20"/>
          <w:color w:val="auto"/>
        </w:rPr>
      </w:pPr>
      <w:r>
        <w:rPr>
          <w:rFonts w:ascii="Times New Roman" w:cs="Times New Roman" w:eastAsia="Times New Roman" w:hAnsi="Times New Roman"/>
          <w:sz w:val="16"/>
          <w:szCs w:val="16"/>
          <w:color w:val="auto"/>
        </w:rPr>
        <w:t>The Retail segment provides a broad range of insurance products and services to commercial, public and quasi-public, professional and individual insured customers, and non-insurance risk-mitigating products through our F&amp;I businesses. Approximately 78% of the Retail segment’s commissions and fees revenue is commission based.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6"/>
          <w:szCs w:val="16"/>
          <w:color w:val="auto"/>
        </w:rPr>
        <w:t>Financial information relating to our Retail segment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percentages)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gridSpan w:val="7"/>
          </w:tcPr>
          <w:p>
            <w:pPr>
              <w:jc w:val="right"/>
              <w:ind w:right="98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3"/>
                <w:szCs w:val="13"/>
                <w:color w:val="auto"/>
              </w:rPr>
            </w:pPr>
          </w:p>
        </w:tc>
        <w:tc>
          <w:tcPr>
            <w:tcW w:w="3500" w:type="dxa"/>
            <w:vAlign w:val="bottom"/>
            <w:gridSpan w:val="8"/>
          </w:tcPr>
          <w:p>
            <w:pPr>
              <w:ind w:left="5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28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40" w:type="dxa"/>
            <w:vAlign w:val="bottom"/>
          </w:tcPr>
          <w:p>
            <w:pPr>
              <w:spacing w:after="0"/>
              <w:rPr>
                <w:sz w:val="14"/>
                <w:szCs w:val="14"/>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Core commissions and fees</w:t>
            </w:r>
          </w:p>
        </w:tc>
        <w:tc>
          <w:tcPr>
            <w:tcW w:w="5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859</w:t>
            </w:r>
          </w:p>
        </w:tc>
        <w:tc>
          <w:tcPr>
            <w:tcW w:w="200" w:type="dxa"/>
            <w:vAlign w:val="bottom"/>
          </w:tcPr>
          <w:p>
            <w:pPr>
              <w:spacing w:after="0"/>
              <w:rPr>
                <w:sz w:val="15"/>
                <w:szCs w:val="15"/>
                <w:color w:val="auto"/>
              </w:rPr>
            </w:pP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631</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36.1%</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2,436</w:t>
            </w:r>
          </w:p>
        </w:tc>
        <w:tc>
          <w:tcPr>
            <w:tcW w:w="3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2,057</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Profit-sharing contingent commissions</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125.0%</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2,487</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2,093</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364</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1,326</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1,118</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127.6%</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33.3%</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00" w:type="dxa"/>
            <w:vAlign w:val="bottom"/>
          </w:tcPr>
          <w:p>
            <w:pPr>
              <w:spacing w:after="0"/>
              <w:rPr>
                <w:sz w:val="15"/>
                <w:szCs w:val="15"/>
                <w:color w:val="auto"/>
              </w:rPr>
            </w:pPr>
          </w:p>
        </w:tc>
        <w:tc>
          <w:tcPr>
            <w:tcW w:w="128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(161.1%)</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earn-out payables</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shd w:val="clear" w:color="auto" w:fill="CFF0FC"/>
          </w:tcPr>
          <w:p>
            <w:pPr>
              <w:jc w:val="right"/>
              <w:ind w:right="223"/>
              <w:spacing w:after="0"/>
              <w:rPr>
                <w:sz w:val="20"/>
                <w:szCs w:val="20"/>
                <w:color w:val="auto"/>
              </w:rPr>
            </w:pPr>
            <w:r>
              <w:rPr>
                <w:rFonts w:ascii="Times New Roman" w:cs="Times New Roman" w:eastAsia="Times New Roman" w:hAnsi="Times New Roman"/>
                <w:sz w:val="16"/>
                <w:szCs w:val="16"/>
                <w:color w:val="auto"/>
              </w:rPr>
              <w:t>NMF</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11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NMF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521</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38.0%</w:t>
            </w:r>
          </w:p>
        </w:tc>
        <w:tc>
          <w:tcPr>
            <w:tcW w:w="240" w:type="dxa"/>
            <w:vAlign w:val="bottom"/>
          </w:tcPr>
          <w:p>
            <w:pPr>
              <w:spacing w:after="0"/>
              <w:rPr>
                <w:sz w:val="15"/>
                <w:szCs w:val="15"/>
                <w:color w:val="auto"/>
              </w:rPr>
            </w:pP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1,912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1,605</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Income before income taxes</w:t>
            </w:r>
          </w:p>
        </w:tc>
        <w:tc>
          <w:tcPr>
            <w:tcW w:w="52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164</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83"/>
              <w:spacing w:after="0" w:line="160" w:lineRule="exact"/>
              <w:rPr>
                <w:sz w:val="20"/>
                <w:szCs w:val="20"/>
                <w:color w:val="auto"/>
              </w:rPr>
            </w:pPr>
            <w:r>
              <w:rPr>
                <w:rFonts w:ascii="Times New Roman" w:cs="Times New Roman" w:eastAsia="Times New Roman" w:hAnsi="Times New Roman"/>
                <w:sz w:val="16"/>
                <w:szCs w:val="16"/>
                <w:color w:val="auto"/>
              </w:rPr>
              <w:t>36.7%</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575</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488</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tcBorders>
              <w:top w:val="single" w:sz="8" w:color="CFF0FC"/>
            </w:tcBorders>
          </w:tcPr>
          <w:p>
            <w:pPr>
              <w:spacing w:after="0" w:line="120" w:lineRule="exact"/>
              <w:rPr>
                <w:sz w:val="20"/>
                <w:szCs w:val="20"/>
                <w:color w:val="auto"/>
              </w:rPr>
            </w:pPr>
            <w:r>
              <w:rPr>
                <w:rFonts w:ascii="Times New Roman" w:cs="Times New Roman" w:eastAsia="Times New Roman" w:hAnsi="Times New Roman"/>
                <w:sz w:val="13"/>
                <w:szCs w:val="13"/>
                <w:color w:val="auto"/>
              </w:rPr>
              <w:t>Income Before Income Taxes</w:t>
            </w:r>
          </w:p>
        </w:tc>
        <w:tc>
          <w:tcPr>
            <w:tcW w:w="3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160" w:type="dxa"/>
            <w:vAlign w:val="bottom"/>
            <w:tcBorders>
              <w:top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Margin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18.7%</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23.3%</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EBITDAC - Adjusted </w:t>
            </w:r>
            <w:r>
              <w:rPr>
                <w:rFonts w:ascii="Times New Roman" w:cs="Times New Roman" w:eastAsia="Times New Roman" w:hAnsi="Times New Roman"/>
                <w:sz w:val="20"/>
                <w:szCs w:val="20"/>
                <w:color w:val="auto"/>
                <w:vertAlign w:val="superscript"/>
              </w:rPr>
              <w:t>(2)</w:t>
            </w:r>
          </w:p>
        </w:tc>
        <w:tc>
          <w:tcPr>
            <w:tcW w:w="5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247</w:t>
            </w:r>
          </w:p>
        </w:tc>
        <w:tc>
          <w:tcPr>
            <w:tcW w:w="2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45.3%</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776</w:t>
            </w:r>
          </w:p>
        </w:tc>
        <w:tc>
          <w:tcPr>
            <w:tcW w:w="1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EBITDAC Margin - Adjusted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Organic Revenue growth rate </w:t>
            </w:r>
            <w:r>
              <w:rPr>
                <w:rFonts w:ascii="Times New Roman" w:cs="Times New Roman" w:eastAsia="Times New Roman" w:hAnsi="Times New Roman"/>
                <w:sz w:val="20"/>
                <w:szCs w:val="20"/>
                <w:color w:val="auto"/>
                <w:vertAlign w:val="superscript"/>
              </w:rPr>
              <w:t>(2)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11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relative to total revenues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56.8%</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53.4%</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Other operating expenses relative</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 total revenues</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15.9%</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16.0%</w:t>
            </w:r>
          </w:p>
        </w:tc>
        <w:tc>
          <w:tcPr>
            <w:tcW w:w="116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220" w:hanging="214"/>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spacing w:after="0" w:line="14" w:lineRule="exact"/>
        <w:rPr>
          <w:rFonts w:ascii="Times New Roman" w:cs="Times New Roman" w:eastAsia="Times New Roman" w:hAnsi="Times New Roman"/>
          <w:sz w:val="16"/>
          <w:szCs w:val="16"/>
          <w:color w:val="auto"/>
        </w:rPr>
      </w:pPr>
    </w:p>
    <w:p>
      <w:pPr>
        <w:ind w:left="220" w:hanging="214"/>
        <w:spacing w:after="0" w:line="234" w:lineRule="auto"/>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NMF = Not a meaningful figure</w:t>
      </w:r>
    </w:p>
    <w:p>
      <w:pPr>
        <w:spacing w:after="0" w:line="254"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4"/>
          <w:szCs w:val="14"/>
          <w:color w:val="auto"/>
        </w:rPr>
        <w:t>The Retail segment’s total revenues for the three months ended September 30, 2025 increased 37.8%, or $242 million, as compared to the same period in 2024, to $883 million. The $228 million increase in core commissions and fees revenue was driven by: (i) approximately $210 million related to the core commissions and fees revenue from acquisitions that had no comparable revenues in the same period of 2024; (ii) an increase of $17 million related to net new and renewal business; (iii) an increase from the impact of Foreign Currency Translation of $4 million and (iv) an offsetting decrease of $3 million related to commissions and fees recorded in 2024 from businesses since divested. Profit-sharing contingent commissions for the third quarter of 2025 increased $10 million at $18 million, as compared to the same period in 2024. This increase was due to acquisitions completed within the last twelve months. The Retail segment’s total commissions and fees increased by 37.2%, and the Organic Revenue growth rate was 2.7% for the third quarter of 2025. The Organic Revenue growth rate was driven by net new business written during the preceding twelve months and growth on renewals of existing customers. Growth for renewal business was moderated by slowing rate increases, rate decreases for certain lines of coverage, certain adjustments to incentive commissions and a regulatory change for one of our UK businesses.</w:t>
      </w:r>
    </w:p>
    <w:p>
      <w:pPr>
        <w:spacing w:after="0" w:line="235" w:lineRule="exact"/>
        <w:rPr>
          <w:sz w:val="20"/>
          <w:szCs w:val="20"/>
          <w:color w:val="auto"/>
        </w:rPr>
      </w:pPr>
    </w:p>
    <w:p>
      <w:pPr>
        <w:jc w:val="both"/>
        <w:ind w:right="180" w:firstLine="456"/>
        <w:spacing w:after="0" w:line="247" w:lineRule="auto"/>
        <w:rPr>
          <w:sz w:val="20"/>
          <w:szCs w:val="20"/>
          <w:color w:val="auto"/>
        </w:rPr>
      </w:pPr>
      <w:r>
        <w:rPr>
          <w:rFonts w:ascii="Times New Roman" w:cs="Times New Roman" w:eastAsia="Times New Roman" w:hAnsi="Times New Roman"/>
          <w:sz w:val="16"/>
          <w:szCs w:val="16"/>
          <w:color w:val="auto"/>
        </w:rPr>
        <w:t>Income before income taxes for the three months ended September 30, 2025 increased 36.7%, or $44 million, as compared to the same period in 2024, to $164 million. The primary factors driving this increase were: (i) a decrease in intercompany interest expense and (ii) the profit associated with the net increase in revenue as described above, partially offset by (iii) an increase in estimated acquisition earn-out payables, and (iv) an increase in amortization expense.</w:t>
      </w:r>
    </w:p>
    <w:p>
      <w:pPr>
        <w:spacing w:after="0" w:line="68" w:lineRule="exact"/>
        <w:rPr>
          <w:sz w:val="20"/>
          <w:szCs w:val="20"/>
          <w:color w:val="auto"/>
        </w:rPr>
      </w:pPr>
    </w:p>
    <w:p>
      <w:pPr>
        <w:ind w:right="60" w:firstLine="456"/>
        <w:spacing w:after="0" w:line="299" w:lineRule="auto"/>
        <w:rPr>
          <w:sz w:val="20"/>
          <w:szCs w:val="20"/>
          <w:color w:val="auto"/>
        </w:rPr>
      </w:pPr>
      <w:r>
        <w:rPr>
          <w:rFonts w:ascii="Times New Roman" w:cs="Times New Roman" w:eastAsia="Times New Roman" w:hAnsi="Times New Roman"/>
          <w:sz w:val="14"/>
          <w:szCs w:val="14"/>
          <w:color w:val="auto"/>
        </w:rPr>
        <w:t>EBITDAC - Adjusted for the three months ended September 30, 2025 increased 45.3%, or $77 million, as compared to the same period in 2024, to $247 million. EBITDAC Margin - Adjusted for the three months ended September 30, 2025 increased to 28.0% from 26.5% in the same period in 2024. The change in EBITDAC Margin - Adjusted was primarily driven by: (i) leveraging our expense base; and (ii) the timing of revenues and profit associated with certain recent acquisitions.</w:t>
      </w:r>
    </w:p>
    <w:p>
      <w:pPr>
        <w:spacing w:after="0" w:line="3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6"/>
          <w:szCs w:val="16"/>
          <w:color w:val="auto"/>
        </w:rPr>
        <w:t>The Retail segment’s total revenues for the nine months ended September 30, 2025 increased 18.8%, or $394 million, as compared to the same period in 2024, to $2,487 million. The $379 million increase in core commissions and fees revenue was driven by: (i) approximately $311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7" w:name="page38"/>
    <w:bookmarkEnd w:id="37"/>
    <w:p>
      <w:pPr>
        <w:ind w:right="100"/>
        <w:spacing w:after="0" w:line="238" w:lineRule="auto"/>
        <w:rPr>
          <w:sz w:val="20"/>
          <w:szCs w:val="20"/>
          <w:color w:val="auto"/>
        </w:rPr>
      </w:pPr>
      <w:r>
        <w:rPr>
          <w:rFonts w:ascii="Times New Roman" w:cs="Times New Roman" w:eastAsia="Times New Roman" w:hAnsi="Times New Roman"/>
          <w:sz w:val="16"/>
          <w:szCs w:val="16"/>
          <w:color w:val="auto"/>
        </w:rPr>
        <w:t>million related to the core commissions and fees revenue from acquisitions that had no comparable revenues in the same period of 2024; (ii) an increase of $68 million related to net new and renewal business; (iii) an increase from the impact of Foreign Currency Translation of $9 million; and (iv) an offsetting decrease of $10 million related to commissions and fees recorded in 2024 from businesses since divested. Profit-sharing contingent commissions for the nine months of 2025 increased 33.3%, or $10 million, as compared to the same period in 2024, to $40 million. This increase was due to acquisitions completed within the last twelve months. The Retail segment’s total commissions and fees increased by 18.6%, and the Organic Revenue growth rate was 3.3% for the first nine months of 2025. The Organic Revenue growth rate was driven by net new business written during the preceding twelve months and growth on renewals of existing customers. Renewal business was impacted by timing of certain nonrecurring revenue items, slowing rate increases, rate decreases for certain lines of coverage, certain adjustments to incentive commissions and a regulatory change for one of our UK businesses.</w:t>
      </w:r>
    </w:p>
    <w:p>
      <w:pPr>
        <w:spacing w:after="0" w:line="77" w:lineRule="exact"/>
        <w:rPr>
          <w:sz w:val="20"/>
          <w:szCs w:val="20"/>
          <w:color w:val="auto"/>
        </w:rPr>
      </w:pPr>
    </w:p>
    <w:p>
      <w:pPr>
        <w:ind w:right="120" w:firstLine="456"/>
        <w:spacing w:after="0" w:line="243" w:lineRule="auto"/>
        <w:rPr>
          <w:sz w:val="20"/>
          <w:szCs w:val="20"/>
          <w:color w:val="auto"/>
        </w:rPr>
      </w:pPr>
      <w:r>
        <w:rPr>
          <w:rFonts w:ascii="Times New Roman" w:cs="Times New Roman" w:eastAsia="Times New Roman" w:hAnsi="Times New Roman"/>
          <w:sz w:val="16"/>
          <w:szCs w:val="16"/>
          <w:color w:val="auto"/>
        </w:rPr>
        <w:t>Income before income taxes for the nine months ended September 30, 2025 increased 17.8%, or $87 million, as compared to the same period in 2024, to $575 million. The primary factors driving this increase were: (i) a decrease in intercompany interest expense; and (ii) the profit associated with the net increase in revenue as described above, partially offset by (iii) an increase in estimated acquisition earn-out payables, and (iv) amortization and depreciation expense growing faster than total revenues.</w:t>
      </w:r>
    </w:p>
    <w:p>
      <w:pPr>
        <w:spacing w:after="0" w:line="71"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EBITDAC - Adjusted for the nine months ended September 30, 2025 increased 21.1%, or $135 million, as compared to the same period in 2024, to $776 million. EBITDAC Margin - Adjusted for the nine months ended September 30, 2025 increased to 31.2% from 30.6% in the same period in 2024. The increase in EBITDAC Margin - Adjusted was primarily driven by: (i) the net increase in revenue as described above; (ii) the timing of revenues associated with recent acquisitions; and (iii) leveraging our expense base.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Specialty Distribution Segment</w:t>
      </w:r>
    </w:p>
    <w:p>
      <w:pPr>
        <w:spacing w:after="0" w:line="94" w:lineRule="exact"/>
        <w:rPr>
          <w:sz w:val="20"/>
          <w:szCs w:val="20"/>
          <w:color w:val="auto"/>
        </w:rPr>
      </w:pPr>
    </w:p>
    <w:p>
      <w:pPr>
        <w:ind w:right="80" w:firstLine="456"/>
        <w:spacing w:after="0" w:line="247" w:lineRule="auto"/>
        <w:rPr>
          <w:sz w:val="20"/>
          <w:szCs w:val="20"/>
          <w:color w:val="auto"/>
        </w:rPr>
      </w:pPr>
      <w:r>
        <w:rPr>
          <w:rFonts w:ascii="Times New Roman" w:cs="Times New Roman" w:eastAsia="Times New Roman" w:hAnsi="Times New Roman"/>
          <w:sz w:val="16"/>
          <w:szCs w:val="16"/>
          <w:color w:val="auto"/>
        </w:rPr>
        <w:t>The Specialty Distribution Segment is composed of our programs business, known as Arrowhead Programs; our wholesale brokerage business, known as Bridge Specialty Group; and our new specialty program business, known as Arrowhead Specialty</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auto"/>
        </w:rPr>
        <w:t xml:space="preserve"> Approximately 81% of the Specialty Distribution segment’s commissions and fees revenue is commission based.</w:t>
      </w:r>
    </w:p>
    <w:p>
      <w:pPr>
        <w:spacing w:after="0" w:line="68" w:lineRule="exact"/>
        <w:rPr>
          <w:sz w:val="20"/>
          <w:szCs w:val="20"/>
          <w:color w:val="auto"/>
        </w:rPr>
      </w:pPr>
    </w:p>
    <w:p>
      <w:pPr>
        <w:ind w:right="80" w:firstLine="456"/>
        <w:spacing w:after="0" w:line="239" w:lineRule="auto"/>
        <w:rPr>
          <w:sz w:val="20"/>
          <w:szCs w:val="20"/>
          <w:color w:val="auto"/>
        </w:rPr>
      </w:pPr>
      <w:r>
        <w:rPr>
          <w:rFonts w:ascii="Times New Roman" w:cs="Times New Roman" w:eastAsia="Times New Roman" w:hAnsi="Times New Roman"/>
          <w:sz w:val="16"/>
          <w:szCs w:val="16"/>
          <w:color w:val="auto"/>
        </w:rPr>
        <w:t>Arrowhead Programs manages a diverse portfolio of professional liability, personal lines, commercial lines, public entity and specialty programs supported by over 100 well-capitalized insurance carriers. In most cases, the insurance carriers that support these programs have delegated underwriting and, in many instances, claims- handling authority These programs are generally distributed through a global network of independent agents and brokers, including Brown &amp; Brown retail agents, and offer targeted products and services designed for businesses, individuals, specific industries, trade groups, professions, public entities, municipalities, and niche markets. This division also operates our write- your-own flood insurance carrier, WNFIC and participates in a quota share captive and an excess of loss layer captive. WNFIC’s underwriting business consists of policies written on behalf of and fully ceded to the NFIP, as well as excess flood policies, which are fully reinsured in the private market.</w:t>
      </w:r>
    </w:p>
    <w:p>
      <w:pPr>
        <w:spacing w:after="0" w:line="74" w:lineRule="exact"/>
        <w:rPr>
          <w:sz w:val="20"/>
          <w:szCs w:val="20"/>
          <w:color w:val="auto"/>
        </w:rPr>
      </w:pPr>
    </w:p>
    <w:p>
      <w:pPr>
        <w:ind w:right="300" w:firstLine="456"/>
        <w:spacing w:after="0" w:line="247" w:lineRule="auto"/>
        <w:rPr>
          <w:sz w:val="20"/>
          <w:szCs w:val="20"/>
          <w:color w:val="auto"/>
        </w:rPr>
      </w:pPr>
      <w:r>
        <w:rPr>
          <w:rFonts w:ascii="Times New Roman" w:cs="Times New Roman" w:eastAsia="Times New Roman" w:hAnsi="Times New Roman"/>
          <w:sz w:val="16"/>
          <w:szCs w:val="16"/>
          <w:color w:val="auto"/>
        </w:rPr>
        <w:t>Bridge Specialty Group, offers global wholesale brokerage and delegated binding/underwriting capabilities across multiple lines, to independent agents and brokers, including Brown &amp; Brown retail agents. Our teams across the globe provide deep industry knowledge and expertise, for placements across multiple lines of coverage based on access to admitted, excess and surplus lines carriers, as well as the Lloyd’s markets in the United Kingdom.</w:t>
      </w:r>
    </w:p>
    <w:p>
      <w:pPr>
        <w:spacing w:after="0" w:line="68"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6"/>
          <w:szCs w:val="16"/>
          <w:color w:val="auto"/>
        </w:rPr>
        <w:t>Arrowhead Specialty is composed of our newly acquired specialty businesses from One80 Intermediaries, a segment of Accession, which offer solutions across affinity organizations, administrative services, captives, reinsurance, travel/accident, warranty, and life &amp; health.</w:t>
      </w:r>
    </w:p>
    <w:p>
      <w:pPr>
        <w:spacing w:after="0" w:line="59"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Arrowhead Programs' and Arrowhead Specialty's captives businesses provide additional underwriting capacity that enables growth in core commissions and fees and allow us to participate in underwriting results with limited exposure to claims expenses. The Company has traditionally participated in underwriting profits through profit-sharing contingent commissions. These captives limit the Company's exposure to claims expenses either through reinsurance or by participating in limited tranches of the underwriting risk.</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6"/>
          <w:szCs w:val="16"/>
          <w:color w:val="auto"/>
        </w:rPr>
        <w:t>Financial information relating to our Specialty Distribution segment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percentages)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80" w:type="dxa"/>
            <w:vAlign w:val="bottom"/>
            <w:gridSpan w:val="7"/>
          </w:tcPr>
          <w:p>
            <w:pPr>
              <w:jc w:val="right"/>
              <w:ind w:right="96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3"/>
                <w:szCs w:val="13"/>
                <w:color w:val="auto"/>
              </w:rPr>
            </w:pPr>
          </w:p>
        </w:tc>
        <w:tc>
          <w:tcPr>
            <w:tcW w:w="3480" w:type="dxa"/>
            <w:vAlign w:val="bottom"/>
            <w:gridSpan w:val="7"/>
          </w:tcPr>
          <w:p>
            <w:pPr>
              <w:jc w:val="right"/>
              <w:ind w:right="90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2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28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40" w:type="dxa"/>
            <w:vAlign w:val="bottom"/>
          </w:tcPr>
          <w:p>
            <w:pPr>
              <w:spacing w:after="0"/>
              <w:rPr>
                <w:sz w:val="14"/>
                <w:szCs w:val="14"/>
                <w:color w:val="auto"/>
              </w:rPr>
            </w:pPr>
          </w:p>
        </w:tc>
        <w:tc>
          <w:tcPr>
            <w:tcW w:w="780" w:type="dxa"/>
            <w:vAlign w:val="bottom"/>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Pr>
          <w:p>
            <w:pPr>
              <w:spacing w:after="0"/>
              <w:rPr>
                <w:sz w:val="14"/>
                <w:szCs w:val="14"/>
                <w:color w:val="auto"/>
              </w:rPr>
            </w:pPr>
          </w:p>
        </w:tc>
        <w:tc>
          <w:tcPr>
            <w:tcW w:w="11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Core commissions and fees</w:t>
            </w:r>
          </w:p>
        </w:tc>
        <w:tc>
          <w:tcPr>
            <w:tcW w:w="5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618</w:t>
            </w:r>
          </w:p>
        </w:tc>
        <w:tc>
          <w:tcPr>
            <w:tcW w:w="180" w:type="dxa"/>
            <w:vAlign w:val="bottom"/>
          </w:tcPr>
          <w:p>
            <w:pPr>
              <w:spacing w:after="0"/>
              <w:rPr>
                <w:sz w:val="15"/>
                <w:szCs w:val="15"/>
                <w:color w:val="auto"/>
              </w:rPr>
            </w:pP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497</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24.3%</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1,588</w:t>
            </w:r>
          </w:p>
        </w:tc>
        <w:tc>
          <w:tcPr>
            <w:tcW w:w="2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1,379</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Profit-sharing contingent commissions</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189.5%</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3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681</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524</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1,731</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1,482</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252</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30.6%</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570</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38.9%</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272</w:t>
            </w:r>
          </w:p>
        </w:tc>
        <w:tc>
          <w:tcPr>
            <w:tcW w:w="3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(Gain)/loss on disposal</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68.8%</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3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5"/>
                <w:szCs w:val="15"/>
                <w:color w:val="auto"/>
              </w:rPr>
            </w:pPr>
          </w:p>
        </w:tc>
        <w:tc>
          <w:tcPr>
            <w:tcW w:w="12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Change in estimated acquisition</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earn-out payables</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120.0%</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Total expenses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314</w:t>
            </w:r>
          </w:p>
        </w:tc>
        <w:tc>
          <w:tcPr>
            <w:tcW w:w="300" w:type="dxa"/>
            <w:vAlign w:val="bottom"/>
          </w:tcPr>
          <w:p>
            <w:pPr>
              <w:spacing w:after="0"/>
              <w:rPr>
                <w:sz w:val="15"/>
                <w:szCs w:val="15"/>
                <w:color w:val="auto"/>
              </w:rPr>
            </w:pPr>
          </w:p>
        </w:tc>
        <w:tc>
          <w:tcPr>
            <w:tcW w:w="1280" w:type="dxa"/>
            <w:vAlign w:val="bottom"/>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35.7%</w:t>
            </w:r>
          </w:p>
        </w:tc>
        <w:tc>
          <w:tcPr>
            <w:tcW w:w="240" w:type="dxa"/>
            <w:vAlign w:val="bottom"/>
          </w:tcPr>
          <w:p>
            <w:pPr>
              <w:spacing w:after="0"/>
              <w:rPr>
                <w:sz w:val="15"/>
                <w:szCs w:val="15"/>
                <w:color w:val="auto"/>
              </w:rPr>
            </w:pPr>
          </w:p>
        </w:tc>
        <w:tc>
          <w:tcPr>
            <w:tcW w:w="9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1,077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898</w:t>
            </w:r>
          </w:p>
        </w:tc>
        <w:tc>
          <w:tcPr>
            <w:tcW w:w="3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Income before income taxes</w:t>
            </w:r>
          </w:p>
        </w:tc>
        <w:tc>
          <w:tcPr>
            <w:tcW w:w="54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255</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210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83"/>
              <w:spacing w:after="0" w:line="160" w:lineRule="exact"/>
              <w:rPr>
                <w:sz w:val="20"/>
                <w:szCs w:val="20"/>
                <w:color w:val="auto"/>
              </w:rPr>
            </w:pPr>
            <w:r>
              <w:rPr>
                <w:rFonts w:ascii="Times New Roman" w:cs="Times New Roman" w:eastAsia="Times New Roman" w:hAnsi="Times New Roman"/>
                <w:sz w:val="16"/>
                <w:szCs w:val="16"/>
                <w:color w:val="auto"/>
              </w:rPr>
              <w:t>21.4%</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654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584</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tcBorders>
              <w:top w:val="single" w:sz="8" w:color="CFF0FC"/>
            </w:tcBorders>
          </w:tcPr>
          <w:p>
            <w:pPr>
              <w:spacing w:after="0" w:line="120" w:lineRule="exact"/>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1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Margin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40.1%</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EBITDAC - Adjusted </w:t>
            </w:r>
            <w:r>
              <w:rPr>
                <w:rFonts w:ascii="Times New Roman" w:cs="Times New Roman" w:eastAsia="Times New Roman" w:hAnsi="Times New Roman"/>
                <w:sz w:val="20"/>
                <w:szCs w:val="20"/>
                <w:color w:val="auto"/>
                <w:vertAlign w:val="superscript"/>
              </w:rPr>
              <w:t>(2)</w:t>
            </w:r>
          </w:p>
        </w:tc>
        <w:tc>
          <w:tcPr>
            <w:tcW w:w="5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w:t>
            </w: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3"/>
              <w:spacing w:after="0" w:line="180" w:lineRule="exact"/>
              <w:rPr>
                <w:sz w:val="20"/>
                <w:szCs w:val="20"/>
                <w:color w:val="auto"/>
              </w:rPr>
            </w:pPr>
            <w:r>
              <w:rPr>
                <w:rFonts w:ascii="Times New Roman" w:cs="Times New Roman" w:eastAsia="Times New Roman" w:hAnsi="Times New Roman"/>
                <w:sz w:val="16"/>
                <w:szCs w:val="16"/>
                <w:color w:val="auto"/>
              </w:rPr>
              <w:t>26.7%</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759</w:t>
            </w: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640</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EBITDAC Margin - Adjusted </w:t>
            </w:r>
            <w:r>
              <w:rPr>
                <w:rFonts w:ascii="Times New Roman" w:cs="Times New Roman" w:eastAsia="Times New Roman" w:hAnsi="Times New Roman"/>
                <w:sz w:val="20"/>
                <w:szCs w:val="20"/>
                <w:color w:val="auto"/>
                <w:vertAlign w:val="superscript"/>
              </w:rPr>
              <w:t>(2)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43.9%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45.0%</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43.8%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43.2%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Organic Revenue growth rate </w:t>
            </w:r>
            <w:r>
              <w:rPr>
                <w:rFonts w:ascii="Times New Roman" w:cs="Times New Roman" w:eastAsia="Times New Roman" w:hAnsi="Times New Roman"/>
                <w:sz w:val="20"/>
                <w:szCs w:val="20"/>
                <w:color w:val="auto"/>
                <w:vertAlign w:val="superscript"/>
              </w:rPr>
              <w:t>(2)</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17.7%</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14.4%</w:t>
            </w: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Employee compensation and benefits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relative to total revenues</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36.8%</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Other operating expenses relative</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 total revenues</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18.1%</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18.4%</w:t>
            </w: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220" w:hanging="214"/>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spacing w:after="0" w:line="14" w:lineRule="exact"/>
        <w:rPr>
          <w:rFonts w:ascii="Times New Roman" w:cs="Times New Roman" w:eastAsia="Times New Roman" w:hAnsi="Times New Roman"/>
          <w:sz w:val="16"/>
          <w:szCs w:val="16"/>
          <w:color w:val="auto"/>
        </w:rPr>
      </w:pPr>
    </w:p>
    <w:p>
      <w:pPr>
        <w:ind w:left="220" w:hanging="214"/>
        <w:spacing w:after="0" w:line="234" w:lineRule="auto"/>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NMF = Not a meaningful figure</w:t>
      </w:r>
    </w:p>
    <w:p>
      <w:pPr>
        <w:spacing w:after="0" w:line="74"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16"/>
          <w:szCs w:val="16"/>
          <w:color w:val="auto"/>
        </w:rPr>
        <w:t>The Specialty Distributions segment’s total revenues for the three months ended September 30, 2025 increased 30.0%, or $157 million, as compared to the same period in 2024, to $681 million. The $121 million increased in core commissions and fees revenue was driven by: (i) approximately $97 million related to the core commissions and fees revenue from acquisitions that had no comparable revenues in the same period of 2024; and (ii) approximately $ 23 million of net new business, renewal business, and fee revenues; and (iii) an increase from the impact of Foreign Currency Translation of $1 million. Profit -sharing contingent commissions for the third quarter of 2025 increased approximately $36 million as compared to the third quarter of 2024. This increase is a result of favorable loss ratios, increased premiums, and to a lesser extent acquisitions completed in the past twelve months.</w:t>
      </w:r>
    </w:p>
    <w:p>
      <w:pPr>
        <w:spacing w:after="0" w:line="77" w:lineRule="exact"/>
        <w:rPr>
          <w:sz w:val="20"/>
          <w:szCs w:val="20"/>
          <w:color w:val="auto"/>
        </w:rPr>
      </w:pPr>
    </w:p>
    <w:p>
      <w:pPr>
        <w:jc w:val="both"/>
        <w:ind w:firstLine="456"/>
        <w:spacing w:after="0" w:line="247" w:lineRule="auto"/>
        <w:rPr>
          <w:sz w:val="20"/>
          <w:szCs w:val="20"/>
          <w:color w:val="auto"/>
        </w:rPr>
      </w:pPr>
      <w:r>
        <w:rPr>
          <w:rFonts w:ascii="Times New Roman" w:cs="Times New Roman" w:eastAsia="Times New Roman" w:hAnsi="Times New Roman"/>
          <w:sz w:val="16"/>
          <w:szCs w:val="16"/>
          <w:color w:val="auto"/>
        </w:rPr>
        <w:t>The Specialty Distribution segment’s total commissions and fees increased by 30.4%, and the Organic Revenue growth rate was 4.6% for the three months ended September 30, 2025. The Organic Revenue growth was driven by net new and retained business, as well as exposure unit expansion, but was partially offset by declining rates on catastrophe ("CAT") property.</w:t>
      </w:r>
    </w:p>
    <w:p>
      <w:pPr>
        <w:spacing w:after="0" w:line="68" w:lineRule="exact"/>
        <w:rPr>
          <w:sz w:val="20"/>
          <w:szCs w:val="20"/>
          <w:color w:val="auto"/>
        </w:rPr>
      </w:pPr>
    </w:p>
    <w:p>
      <w:pPr>
        <w:ind w:right="180" w:firstLine="456"/>
        <w:spacing w:after="0" w:line="247" w:lineRule="auto"/>
        <w:rPr>
          <w:sz w:val="20"/>
          <w:szCs w:val="20"/>
          <w:color w:val="auto"/>
        </w:rPr>
      </w:pPr>
      <w:r>
        <w:rPr>
          <w:rFonts w:ascii="Times New Roman" w:cs="Times New Roman" w:eastAsia="Times New Roman" w:hAnsi="Times New Roman"/>
          <w:sz w:val="16"/>
          <w:szCs w:val="16"/>
          <w:color w:val="auto"/>
        </w:rPr>
        <w:t>Income before income taxes for the three months ended September 30, 2025 increased 21.4%, or $45 million, as compared to the same period in 2024, to $255 million due to: (i) the growth of EBITDAC – Adjusted described below, partially offset by: (ii) increased amortization expense; and (iii) an increase in estimated acquisition earn-out payables.</w:t>
      </w:r>
    </w:p>
    <w:p>
      <w:pPr>
        <w:spacing w:after="0" w:line="68"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EBITDAC - Adjusted for the three months ended September 30, 2025 increased 26.7%, or $63 million, from the same period in 2024, to $299 million. EBITDAC Margin - Adjusted for the three months ended September 30, 2025 decreased to 43.9% from 45.0% in the same period in 2024. EBITDAC Margin - Adjusted decreased due to: (i) businesses acquired within the last twelve months that have lower margins than our average segment margins; partially offset by: (ii) increase in profit-sharing contingent commissions; (iii) Organic Revenue growth; and (iv) leveraging our expense base.</w:t>
      </w:r>
    </w:p>
    <w:p>
      <w:pPr>
        <w:spacing w:after="0" w:line="71"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6"/>
          <w:szCs w:val="16"/>
          <w:color w:val="auto"/>
        </w:rPr>
        <w:t>The Specialty Distribution segment’s total revenues for the nine months ended September 30, 2025 increased 16.8%, or $249 million, as compared to the same period in 2024, to $1,731 million. The $209 million increase in core commissions and fees revenue was driven by: (i)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39" w:name="page40"/>
    <w:bookmarkEnd w:id="39"/>
    <w:p>
      <w:pPr>
        <w:ind w:right="80"/>
        <w:spacing w:after="0" w:line="289" w:lineRule="auto"/>
        <w:rPr>
          <w:sz w:val="20"/>
          <w:szCs w:val="20"/>
          <w:color w:val="auto"/>
        </w:rPr>
      </w:pPr>
      <w:r>
        <w:rPr>
          <w:rFonts w:ascii="Times New Roman" w:cs="Times New Roman" w:eastAsia="Times New Roman" w:hAnsi="Times New Roman"/>
          <w:sz w:val="14"/>
          <w:szCs w:val="14"/>
          <w:color w:val="auto"/>
        </w:rPr>
        <w:t>approximately $117 million related to the core commissions and fees revenue from acquisitions that had no comparable revenues in the same period of 2024; (ii) approximately $90 million of net new business, renewal business and fee revenues; and (iii) an increase from the impact of Foreign Currency Translation of $2 million. Profit- sharing contingent commissions for the nine months ended September 30, 2024 increased approximately $41 million, or by 51.3%, as compared to the same period in 2024. This increase is a result of favorable loss ratios, increased premiums, and to a lesser extent acquisitions completed in the past twelve months.</w:t>
      </w:r>
    </w:p>
    <w:p>
      <w:pPr>
        <w:spacing w:after="0" w:line="41" w:lineRule="exact"/>
        <w:rPr>
          <w:sz w:val="20"/>
          <w:szCs w:val="20"/>
          <w:color w:val="auto"/>
        </w:rPr>
      </w:pPr>
    </w:p>
    <w:p>
      <w:pPr>
        <w:ind w:firstLine="456"/>
        <w:spacing w:after="0" w:line="247" w:lineRule="auto"/>
        <w:rPr>
          <w:sz w:val="20"/>
          <w:szCs w:val="20"/>
          <w:color w:val="auto"/>
        </w:rPr>
      </w:pPr>
      <w:r>
        <w:rPr>
          <w:rFonts w:ascii="Times New Roman" w:cs="Times New Roman" w:eastAsia="Times New Roman" w:hAnsi="Times New Roman"/>
          <w:sz w:val="16"/>
          <w:szCs w:val="16"/>
          <w:color w:val="auto"/>
        </w:rPr>
        <w:t>The Specialty Distribution segment’s total commissions and fees increased by 17.1%, and the Organic Revenue growth rate was 6.5%, for the nine months ended September 30, 2025. The Organic Revenue growth was driven by hurricane claims revenue, net new and retained business, and exposure unit expansion, but was partially offset by declining rates on CAT property.</w:t>
      </w:r>
    </w:p>
    <w:p>
      <w:pPr>
        <w:spacing w:after="0" w:line="68" w:lineRule="exact"/>
        <w:rPr>
          <w:sz w:val="20"/>
          <w:szCs w:val="20"/>
          <w:color w:val="auto"/>
        </w:rPr>
      </w:pPr>
    </w:p>
    <w:p>
      <w:pPr>
        <w:ind w:right="180" w:firstLine="456"/>
        <w:spacing w:after="0" w:line="247" w:lineRule="auto"/>
        <w:rPr>
          <w:sz w:val="20"/>
          <w:szCs w:val="20"/>
          <w:color w:val="auto"/>
        </w:rPr>
      </w:pPr>
      <w:r>
        <w:rPr>
          <w:rFonts w:ascii="Times New Roman" w:cs="Times New Roman" w:eastAsia="Times New Roman" w:hAnsi="Times New Roman"/>
          <w:sz w:val="16"/>
          <w:szCs w:val="16"/>
          <w:color w:val="auto"/>
        </w:rPr>
        <w:t>Income before income taxes for the nine months ended September 30, 2025 increased 12.0%, or $70 million to $654 million, from the same period in 2024. Income before income taxes increased due to: (i) the drivers of EBITDAC - Adjusted described below; (ii) decreased interest expense; partially offset by: (iii) gain on disposal recorded in the prior year; (iv) increased amortization expense; and (v) an increase in estimated acquisition earn-out payables.</w:t>
      </w:r>
    </w:p>
    <w:p>
      <w:pPr>
        <w:spacing w:after="0" w:line="68"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EBITDAC - Adjusted for the nine months ended September 30, 2025 increased 18.6%, or $119 million to $759 million, as compared to the same period in 2024. EBITDAC Margin - Adjusted for the nine months ended September 30, 2025 increased to 43.8% from 43.2% in the same period in 2024. EBITDAC Margin - Adjusted increased due to: (i) the increase in profit-sharing contingent commissions; (ii) Organic Revenue growth; and (iii) leveraging our expense base; while being partially offset by (iv) businesses acquired within the last twelve months that have lower margins than our average segment margins.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94" w:lineRule="exact"/>
        <w:rPr>
          <w:sz w:val="20"/>
          <w:szCs w:val="20"/>
          <w:color w:val="auto"/>
        </w:rPr>
      </w:pPr>
    </w:p>
    <w:p>
      <w:pPr>
        <w:jc w:val="both"/>
        <w:ind w:right="300" w:firstLine="456"/>
        <w:spacing w:after="0" w:line="331" w:lineRule="auto"/>
        <w:rPr>
          <w:sz w:val="20"/>
          <w:szCs w:val="20"/>
          <w:color w:val="auto"/>
        </w:rPr>
      </w:pPr>
      <w:r>
        <w:rPr>
          <w:rFonts w:ascii="Times New Roman" w:cs="Times New Roman" w:eastAsia="Times New Roman" w:hAnsi="Times New Roman"/>
          <w:sz w:val="14"/>
          <w:szCs w:val="14"/>
          <w:color w:val="auto"/>
        </w:rPr>
        <w:t>As discussed in Note 12 of the Notes to Condensed Consolidated Financial Statements, the “Other” line items in the Segment Information table includes any revenue and expenses not allocated to reportable segments, and corporate-related items, including the intercompany interest expense charges to reporting segments.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ind w:right="60" w:firstLine="456"/>
        <w:spacing w:after="0" w:line="238" w:lineRule="auto"/>
        <w:rPr>
          <w:sz w:val="20"/>
          <w:szCs w:val="20"/>
          <w:color w:val="auto"/>
        </w:rPr>
      </w:pPr>
      <w:r>
        <w:rPr>
          <w:rFonts w:ascii="Times New Roman" w:cs="Times New Roman" w:eastAsia="Times New Roman" w:hAnsi="Times New Roman"/>
          <w:sz w:val="16"/>
          <w:szCs w:val="16"/>
          <w:color w:val="auto"/>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under the Second Amended and Restated Credit Agreement (the “Second Amended and Restated Credit Agreement”), which as of September 30, 2025 provided up to $600 million in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and the Loan Agreement, dated March 31, 2022, which provided term loan capacity of $800 million (the “Loan Agreement”), will be sufficient to satisfy its normal liquidity needs, including principal payments on our long-term debt, for the next twelve months and in the long term.</w:t>
      </w:r>
    </w:p>
    <w:p>
      <w:pPr>
        <w:spacing w:after="0" w:line="74" w:lineRule="exact"/>
        <w:rPr>
          <w:sz w:val="20"/>
          <w:szCs w:val="20"/>
          <w:color w:val="auto"/>
        </w:rPr>
      </w:pPr>
    </w:p>
    <w:p>
      <w:pPr>
        <w:ind w:right="40" w:firstLine="456"/>
        <w:spacing w:after="0" w:line="241" w:lineRule="auto"/>
        <w:rPr>
          <w:sz w:val="20"/>
          <w:szCs w:val="20"/>
          <w:color w:val="auto"/>
        </w:rPr>
      </w:pPr>
      <w:r>
        <w:rPr>
          <w:rFonts w:ascii="Times New Roman" w:cs="Times New Roman" w:eastAsia="Times New Roman" w:hAnsi="Times New Roman"/>
          <w:sz w:val="16"/>
          <w:szCs w:val="16"/>
          <w:color w:val="auto"/>
        </w:rPr>
        <w:t>The Revolving Credit Facility contains an expansion option for up to an additional $500 million of borrowing capacity, subject to the approval of participating lenders.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$1,500 million of incremental borrowing capacity as of September 30, 2025.</w:t>
      </w:r>
    </w:p>
    <w:p>
      <w:pPr>
        <w:spacing w:after="0" w:line="73"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6"/>
          <w:szCs w:val="16"/>
          <w:color w:val="auto"/>
        </w:rPr>
        <w:t>Cash and cash equivalents totaled $1,190 million at September 30, 2025 reflecting an increase of $515 million from the $675 million balance at December 31, 2024. This increase is due to the cash generated in quarter and cash assumed in connection with the acquisition of Accession.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Cash Flows</w:t>
      </w:r>
    </w:p>
    <w:p>
      <w:pPr>
        <w:spacing w:after="0" w:line="94" w:lineRule="exact"/>
        <w:rPr>
          <w:sz w:val="20"/>
          <w:szCs w:val="20"/>
          <w:color w:val="auto"/>
        </w:rPr>
      </w:pPr>
    </w:p>
    <w:p>
      <w:pPr>
        <w:ind w:right="20" w:firstLine="456"/>
        <w:spacing w:after="0" w:line="241" w:lineRule="auto"/>
        <w:rPr>
          <w:sz w:val="20"/>
          <w:szCs w:val="20"/>
          <w:color w:val="auto"/>
        </w:rPr>
      </w:pPr>
      <w:r>
        <w:rPr>
          <w:rFonts w:ascii="Times New Roman" w:cs="Times New Roman" w:eastAsia="Times New Roman" w:hAnsi="Times New Roman"/>
          <w:sz w:val="16"/>
          <w:szCs w:val="16"/>
          <w:color w:val="auto"/>
        </w:rPr>
        <w:t>Our operating cash flows are primarily derived from the net income generated during the period adjusted for non-cash expenses, which include depreciation, amortization, changes in estimated earnout payables, non-cash stock-based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was 1.18 and 1.10 for September 30, 2025 and December 31, 2024, respectively.</w:t>
      </w:r>
    </w:p>
    <w:p>
      <w:pPr>
        <w:spacing w:after="0" w:line="73" w:lineRule="exact"/>
        <w:rPr>
          <w:sz w:val="20"/>
          <w:szCs w:val="20"/>
          <w:color w:val="auto"/>
        </w:rPr>
      </w:pPr>
    </w:p>
    <w:p>
      <w:pPr>
        <w:ind w:right="200" w:firstLine="456"/>
        <w:spacing w:after="0" w:line="247" w:lineRule="auto"/>
        <w:rPr>
          <w:sz w:val="20"/>
          <w:szCs w:val="20"/>
          <w:color w:val="auto"/>
        </w:rPr>
      </w:pPr>
      <w:r>
        <w:rPr>
          <w:rFonts w:ascii="Times New Roman" w:cs="Times New Roman" w:eastAsia="Times New Roman" w:hAnsi="Times New Roman"/>
          <w:sz w:val="16"/>
          <w:szCs w:val="16"/>
          <w:color w:val="auto"/>
        </w:rPr>
        <w:t>Cash flows generated from operating activities totaled $ 1,006 million and $813 million for the nine months ended September 30, 2025 and 2024, respectively, representing an increase of $193 million. Operating cash flows generated in 2025 included $799 million from net income before non-controlling interests with $359 million of non-cash adjustments, offset by $152 million from changes in working capital.</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The growth in cash from operations is primarily due to recent acquisitions and continued improvements in our working capital over the same period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Cash Flows</w:t>
      </w:r>
    </w:p>
    <w:p>
      <w:pPr>
        <w:spacing w:after="0" w:line="94"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6"/>
          <w:szCs w:val="16"/>
          <w:color w:val="auto"/>
        </w:rPr>
        <w:t>Cash flows used for investing activities were $7,701 million and $119 million for the nine months ended September 30, 2025 and 2024, respectively, an increase of $7,582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Acquisitions</w:t>
      </w:r>
    </w:p>
    <w:p>
      <w:pPr>
        <w:spacing w:after="0" w:line="94"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completed 37 acquisitions (including book purchases) and paid $7,659 million, net of cash, and cash and cash equivalents held in a fiduciary capacity acquired, most notably for the purchase of Accession Risk Management Group for $7,461 million, Tim Parkman, Inc. for $69 million and NBS Insurance Agency for $43 million. Net cash paid for acquisitions increased $7,541 million in the nine months ended September 30, 2025, up from $118 million during the same period in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Dispositions</w:t>
      </w:r>
    </w:p>
    <w:p>
      <w:pPr>
        <w:spacing w:after="0" w:line="94" w:lineRule="exact"/>
        <w:rPr>
          <w:sz w:val="20"/>
          <w:szCs w:val="20"/>
          <w:color w:val="auto"/>
        </w:rPr>
      </w:pPr>
    </w:p>
    <w:p>
      <w:pPr>
        <w:ind w:firstLine="456"/>
        <w:spacing w:after="0" w:line="243" w:lineRule="auto"/>
        <w:rPr>
          <w:sz w:val="20"/>
          <w:szCs w:val="20"/>
          <w:color w:val="auto"/>
        </w:rPr>
      </w:pPr>
      <w:r>
        <w:rPr>
          <w:rFonts w:ascii="Times New Roman" w:cs="Times New Roman" w:eastAsia="Times New Roman" w:hAnsi="Times New Roman"/>
          <w:sz w:val="16"/>
          <w:szCs w:val="16"/>
          <w:color w:val="auto"/>
        </w:rPr>
        <w:t>The Company received cash proceeds from the sale of businesses, fixed assets and customer accounts totaling $ 10 million during the nine months ended September 30, 2025, compared to $60 million proceeds received in the same period in 2024. The decrease is attributed to the proceeds received during the second quarter of 2024 of $57 million from the settlement of two of the contingent payments related to the sale of certain third-party claims administration and adjusting services businesses in the fourth quarter of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Expenditures</w:t>
      </w:r>
    </w:p>
    <w:p>
      <w:pPr>
        <w:spacing w:after="0" w:line="94" w:lineRule="exact"/>
        <w:rPr>
          <w:sz w:val="20"/>
          <w:szCs w:val="20"/>
          <w:color w:val="auto"/>
        </w:rPr>
      </w:pPr>
    </w:p>
    <w:p>
      <w:pPr>
        <w:ind w:right="180" w:firstLine="456"/>
        <w:spacing w:after="0" w:line="331" w:lineRule="auto"/>
        <w:rPr>
          <w:sz w:val="20"/>
          <w:szCs w:val="20"/>
          <w:color w:val="auto"/>
        </w:rPr>
      </w:pPr>
      <w:r>
        <w:rPr>
          <w:rFonts w:ascii="Times New Roman" w:cs="Times New Roman" w:eastAsia="Times New Roman" w:hAnsi="Times New Roman"/>
          <w:sz w:val="14"/>
          <w:szCs w:val="14"/>
          <w:color w:val="auto"/>
        </w:rPr>
        <w:t>Capital expenditures amounted to $48 million and $62 million in the nine months ended September 30, 2025 and 2024, respectively, and included purchases of furniture and fixtures, leasehold improvements related to office moves and hardware and software purchases related to information technology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Cash Flows</w:t>
      </w:r>
    </w:p>
    <w:p>
      <w:pPr>
        <w:spacing w:after="0" w:line="94" w:lineRule="exact"/>
        <w:rPr>
          <w:sz w:val="20"/>
          <w:szCs w:val="20"/>
          <w:color w:val="auto"/>
        </w:rPr>
      </w:pPr>
    </w:p>
    <w:p>
      <w:pPr>
        <w:ind w:right="440" w:firstLine="456"/>
        <w:spacing w:after="0" w:line="259" w:lineRule="auto"/>
        <w:rPr>
          <w:sz w:val="20"/>
          <w:szCs w:val="20"/>
          <w:color w:val="auto"/>
        </w:rPr>
      </w:pPr>
      <w:r>
        <w:rPr>
          <w:rFonts w:ascii="Times New Roman" w:cs="Times New Roman" w:eastAsia="Times New Roman" w:hAnsi="Times New Roman"/>
          <w:sz w:val="16"/>
          <w:szCs w:val="16"/>
          <w:color w:val="auto"/>
        </w:rPr>
        <w:t>Net cash flows provided by financing activities totaled $7,851 million and net use of $341 million in the nine months ended September 30, 2025 and 2024, respectively, an increase of $8,192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Fiduciary Receivables and Liabilities</w:t>
      </w:r>
    </w:p>
    <w:p>
      <w:pPr>
        <w:spacing w:after="0" w:line="94" w:lineRule="exact"/>
        <w:rPr>
          <w:sz w:val="20"/>
          <w:szCs w:val="20"/>
          <w:color w:val="auto"/>
        </w:rPr>
      </w:pPr>
    </w:p>
    <w:p>
      <w:pPr>
        <w:ind w:right="80" w:firstLine="456"/>
        <w:spacing w:after="0" w:line="243" w:lineRule="auto"/>
        <w:rPr>
          <w:sz w:val="20"/>
          <w:szCs w:val="20"/>
          <w:color w:val="auto"/>
        </w:rPr>
      </w:pPr>
      <w:r>
        <w:rPr>
          <w:rFonts w:ascii="Times New Roman" w:cs="Times New Roman" w:eastAsia="Times New Roman" w:hAnsi="Times New Roman"/>
          <w:sz w:val="16"/>
          <w:szCs w:val="16"/>
          <w:color w:val="auto"/>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 decrease of $145 million and an increase of $83 million in the nine months ended September 30, 2025 and 2024, respectively, related to fiduciary receivables and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Earn-outs</w:t>
      </w:r>
    </w:p>
    <w:p>
      <w:pPr>
        <w:spacing w:after="0" w:line="94"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6"/>
          <w:szCs w:val="16"/>
          <w:color w:val="auto"/>
        </w:rPr>
        <w:t>Payments on acquisition earn-outs related to the original acquisition date estimates totaled $77 million and $100 million in the nine months ended September 30, 2025 and 2024,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94" w:lineRule="exact"/>
        <w:rPr>
          <w:sz w:val="20"/>
          <w:szCs w:val="20"/>
          <w:color w:val="auto"/>
        </w:rPr>
      </w:pPr>
    </w:p>
    <w:p>
      <w:pPr>
        <w:ind w:right="240" w:firstLine="456"/>
        <w:spacing w:after="0" w:line="331" w:lineRule="auto"/>
        <w:rPr>
          <w:sz w:val="20"/>
          <w:szCs w:val="20"/>
          <w:color w:val="auto"/>
        </w:rPr>
      </w:pPr>
      <w:r>
        <w:rPr>
          <w:rFonts w:ascii="Times New Roman" w:cs="Times New Roman" w:eastAsia="Times New Roman" w:hAnsi="Times New Roman"/>
          <w:sz w:val="14"/>
          <w:szCs w:val="14"/>
          <w:color w:val="auto"/>
        </w:rPr>
        <w:t>During the nine months ended September 30, 2025 and 2024, the Company paid cash dividends of $137 million and $111 million, respectively, an increase of $26 million, or 23.4%. On October 22, 2025, the Board of Directors approved a quarterly cash dividend of $0.165 per share to be paid on November 19,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w:t>
      </w:r>
    </w:p>
    <w:p>
      <w:pPr>
        <w:spacing w:after="0" w:line="94" w:lineRule="exact"/>
        <w:rPr>
          <w:sz w:val="20"/>
          <w:szCs w:val="20"/>
          <w:color w:val="auto"/>
        </w:rPr>
      </w:pPr>
    </w:p>
    <w:p>
      <w:pPr>
        <w:ind w:right="320" w:firstLine="456"/>
        <w:spacing w:after="0" w:line="259" w:lineRule="auto"/>
        <w:rPr>
          <w:sz w:val="20"/>
          <w:szCs w:val="20"/>
          <w:color w:val="auto"/>
        </w:rPr>
      </w:pPr>
      <w:r>
        <w:rPr>
          <w:rFonts w:ascii="Times New Roman" w:cs="Times New Roman" w:eastAsia="Times New Roman" w:hAnsi="Times New Roman"/>
          <w:sz w:val="16"/>
          <w:szCs w:val="16"/>
          <w:color w:val="auto"/>
        </w:rPr>
        <w:t>Net cash proceeds from long term debt totaled $3,899 million in the nine months ended September 30, 2025, compared to net cash use of $206 million in the same period of 2024.</w:t>
      </w:r>
    </w:p>
    <w:p>
      <w:pPr>
        <w:spacing w:after="0" w:line="59" w:lineRule="exact"/>
        <w:rPr>
          <w:sz w:val="20"/>
          <w:szCs w:val="20"/>
          <w:color w:val="auto"/>
        </w:rPr>
      </w:pPr>
    </w:p>
    <w:p>
      <w:pPr>
        <w:jc w:val="both"/>
        <w:ind w:right="100" w:firstLine="456"/>
        <w:spacing w:after="0" w:line="247" w:lineRule="auto"/>
        <w:rPr>
          <w:sz w:val="20"/>
          <w:szCs w:val="20"/>
          <w:color w:val="auto"/>
        </w:rPr>
      </w:pPr>
      <w:r>
        <w:rPr>
          <w:rFonts w:ascii="Times New Roman" w:cs="Times New Roman" w:eastAsia="Times New Roman" w:hAnsi="Times New Roman"/>
          <w:sz w:val="16"/>
          <w:szCs w:val="16"/>
          <w:color w:val="auto"/>
        </w:rPr>
        <w:t>Total debt at September 30, 2025 was $7,728 million net of unamortized discount and debt issuance costs, which was an increase of $3,904 million compared to December 31, 2024. The increase includes the issuance of $4,192 million of senior notes net of the unamortized debt discounts and the amortization of discounted debt related to our various unsecured senior notes and debt issuance cost amortization of $5</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1" w:name="page42"/>
    <w:bookmarkEnd w:id="41"/>
    <w:p>
      <w:pPr>
        <w:ind w:right="440"/>
        <w:spacing w:after="0" w:line="259" w:lineRule="auto"/>
        <w:rPr>
          <w:sz w:val="20"/>
          <w:szCs w:val="20"/>
          <w:color w:val="auto"/>
        </w:rPr>
      </w:pPr>
      <w:r>
        <w:rPr>
          <w:rFonts w:ascii="Times New Roman" w:cs="Times New Roman" w:eastAsia="Times New Roman" w:hAnsi="Times New Roman"/>
          <w:sz w:val="16"/>
          <w:szCs w:val="16"/>
          <w:color w:val="auto"/>
        </w:rPr>
        <w:t>million, offset by the addition of deferred debt issuance costs of $37 million, $206 million of payments on outstanding term loan balances and net payments on the Revolving Credit Facility of $50 million.</w:t>
      </w:r>
    </w:p>
    <w:p>
      <w:pPr>
        <w:spacing w:after="0" w:line="59" w:lineRule="exact"/>
        <w:rPr>
          <w:sz w:val="20"/>
          <w:szCs w:val="20"/>
          <w:color w:val="auto"/>
        </w:rPr>
      </w:pPr>
    </w:p>
    <w:p>
      <w:pPr>
        <w:ind w:right="100" w:firstLine="456"/>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repaid $19 million of principal related to the Second Amended and Restated Credit Agreement term loan through the quarterly scheduled principal payments. The Second Amended and Restated Credit Agreement term loan had an outstanding balance of $175 million as of September 30, 2025. The Company's next scheduled principal payment is due in December 2025 and is equal to $6 million.</w:t>
      </w:r>
    </w:p>
    <w:p>
      <w:pPr>
        <w:spacing w:after="0" w:line="68" w:lineRule="exact"/>
        <w:rPr>
          <w:sz w:val="20"/>
          <w:szCs w:val="20"/>
          <w:color w:val="auto"/>
        </w:rPr>
      </w:pPr>
    </w:p>
    <w:p>
      <w:pPr>
        <w:ind w:right="240" w:firstLine="456"/>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repaid $37 million of principal related to the Term Loans issued under the Term A-2 Loan Commitment (“Term A-2 Loans”) through quarterly scheduled principal payments. The Term A-2 Loans had an outstanding balance of $375 million as of September 30, 2025. The Company’s next scheduled principal payment is $13 million due in December 2025.</w:t>
      </w:r>
    </w:p>
    <w:p>
      <w:pPr>
        <w:spacing w:after="0" w:line="68" w:lineRule="exact"/>
        <w:rPr>
          <w:sz w:val="20"/>
          <w:szCs w:val="20"/>
          <w:color w:val="auto"/>
        </w:rPr>
      </w:pPr>
    </w:p>
    <w:p>
      <w:pPr>
        <w:ind w:right="160" w:firstLine="456"/>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repaid the outstanding balance on the Term A-1 Loan Commitment (the “Term A-1 Loan Commitment”) of $150 million related to the Loan Agreement, in accordance with the terms of the Loan Agreement using proceeds from the Revolving Credit Facility in connection with the Second Amended and Restated Credit Agreement.</w:t>
      </w:r>
    </w:p>
    <w:p>
      <w:pPr>
        <w:spacing w:after="0" w:line="68"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4"/>
          <w:szCs w:val="14"/>
          <w:color w:val="auto"/>
        </w:rPr>
        <w:t>On June 11, 2025, the Company entered into an Underwriting Agreement (the “Notes Underwriting Agreement”) with BofA Securities, Inc. and J.P. Morgan Securities LLC, as representatives of the several underwriters named therein (collectively, the “Notes Underwriters”),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Notes Underwriting Agreement contains customary representations, warranties and covenants of the Company, conditions to closing, termination provisions and other terms and conditions customary in agreements of this type. The Notes Underwriting Agreement also contains customary indemnification and contribution rights and obligations of the Company and the Notes Underwriters.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September 30, 2025, the aggregate outstanding balance of these notes was $4,200 million exclusive of the associated discount balance.</w:t>
      </w:r>
    </w:p>
    <w:p>
      <w:pPr>
        <w:spacing w:after="0" w:line="232" w:lineRule="exact"/>
        <w:rPr>
          <w:sz w:val="20"/>
          <w:szCs w:val="20"/>
          <w:color w:val="auto"/>
        </w:rPr>
      </w:pPr>
    </w:p>
    <w:p>
      <w:pPr>
        <w:jc w:val="both"/>
        <w:ind w:right="340" w:firstLine="456"/>
        <w:spacing w:after="0" w:line="247" w:lineRule="auto"/>
        <w:rPr>
          <w:sz w:val="20"/>
          <w:szCs w:val="20"/>
          <w:color w:val="auto"/>
        </w:rPr>
      </w:pPr>
      <w:r>
        <w:rPr>
          <w:rFonts w:ascii="Times New Roman" w:cs="Times New Roman" w:eastAsia="Times New Roman" w:hAnsi="Times New Roman"/>
          <w:sz w:val="16"/>
          <w:szCs w:val="16"/>
          <w:color w:val="auto"/>
        </w:rPr>
        <w:t>During the second quarter, the Company repaid the outstanding balance on the Revolving Credit Facility of $400 million with cash on hand. During the third quarter, the Company drew $300 million on the Revolving Credit Facility in connection with the closing of Accession Risk Management Group and repaying $100 million during the same quarter. There is an outstanding balance of $200 million on the Revolving Credit Facility as of September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Common Stock</w:t>
      </w:r>
    </w:p>
    <w:p>
      <w:pPr>
        <w:spacing w:after="0" w:line="94"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16"/>
          <w:szCs w:val="16"/>
          <w:color w:val="auto"/>
        </w:rPr>
        <w:t>On June 10, 2025, the Company entered into an Underwriting Agreement (the “Common Stock Underwriting Agreement”) with J.P. Morgan Securities LLC and BofA Securities, Inc., as representatives of the several underwriters named therein (collectively, the “Common Stock Underwriters”), with respect to the offer and sale by the Company of 43,137,254 shares of the Company’s common stock, par value $0.10 (the “Common Stock”) at a per share offering price of $102.00 for an aggregate purchase price for net proceeds of $4,315 million after underwriting discounts and fees and expenses. The Company closed the offering of the shares of Common Stock on June 12, 2025. The Company used the net proceeds of the offerings of the shares of Common Stock and the Notes, together with cash on hand, to fund the cash consideration payable under the previously announced acquisition of Accession and to pay fees and expenses associated with the foregoing.</w:t>
      </w:r>
    </w:p>
    <w:p>
      <w:pPr>
        <w:spacing w:after="0" w:line="77" w:lineRule="exact"/>
        <w:rPr>
          <w:sz w:val="20"/>
          <w:szCs w:val="20"/>
          <w:color w:val="auto"/>
        </w:rPr>
      </w:pPr>
    </w:p>
    <w:p>
      <w:pPr>
        <w:jc w:val="both"/>
        <w:ind w:right="120" w:firstLine="456"/>
        <w:spacing w:after="0" w:line="247" w:lineRule="auto"/>
        <w:rPr>
          <w:sz w:val="20"/>
          <w:szCs w:val="20"/>
          <w:color w:val="auto"/>
        </w:rPr>
      </w:pPr>
      <w:r>
        <w:rPr>
          <w:rFonts w:ascii="Times New Roman" w:cs="Times New Roman" w:eastAsia="Times New Roman" w:hAnsi="Times New Roman"/>
          <w:sz w:val="16"/>
          <w:szCs w:val="16"/>
          <w:color w:val="auto"/>
        </w:rPr>
        <w:t>As part of the consideration for the Accession acquisition, the Company issued approximately $ 1,017 million of its common stock (par value $0.10 per share) to the selling shareholders (the “Common Stock Consideration”), based on the market value of the shares at closing. The number of shares issued was calculated using the Company’s closing stock price of $110.57 per share on June 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Cash Obligations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September 30, 2025, our contractual cash obligations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1-3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820" w:type="dxa"/>
            <w:vAlign w:val="bottom"/>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7,800</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4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1,575</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1,150</w:t>
            </w: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Other liabilities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leases</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obligations</w:t>
            </w:r>
          </w:p>
        </w:tc>
        <w:tc>
          <w:tcPr>
            <w:tcW w:w="220" w:type="dxa"/>
            <w:vAlign w:val="bottom"/>
          </w:tcPr>
          <w:p>
            <w:pPr>
              <w:spacing w:after="0"/>
              <w:rPr>
                <w:sz w:val="15"/>
                <w:szCs w:val="15"/>
                <w:color w:val="auto"/>
              </w:rPr>
            </w:pPr>
          </w:p>
        </w:tc>
        <w:tc>
          <w:tcPr>
            <w:tcW w:w="9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4,283</w:t>
            </w:r>
          </w:p>
        </w:tc>
        <w:tc>
          <w:tcPr>
            <w:tcW w:w="14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Maximum future acquisition contingent payments </w:t>
            </w:r>
            <w:r>
              <w:rPr>
                <w:rFonts w:ascii="Times New Roman" w:cs="Times New Roman" w:eastAsia="Times New Roman" w:hAnsi="Times New Roman"/>
                <w:sz w:val="20"/>
                <w:szCs w:val="20"/>
                <w:color w:val="auto"/>
                <w:vertAlign w:val="superscript"/>
              </w:rPr>
              <w:t>(2)</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6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color w:val="auto"/>
              </w:rPr>
              <w:t xml:space="preserve">Total contractual cash obligations </w:t>
            </w:r>
            <w:r>
              <w:rPr>
                <w:rFonts w:ascii="Times New Roman" w:cs="Times New Roman" w:eastAsia="Times New Roman" w:hAnsi="Times New Roman"/>
                <w:sz w:val="20"/>
                <w:szCs w:val="20"/>
                <w:color w:val="auto"/>
                <w:vertAlign w:val="superscript"/>
              </w:rPr>
              <w:t>(3)</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13,491</w:t>
            </w:r>
          </w:p>
        </w:tc>
        <w:tc>
          <w:tcPr>
            <w:tcW w:w="24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922</w:t>
            </w:r>
          </w:p>
        </w:tc>
        <w:tc>
          <w:tcPr>
            <w:tcW w:w="4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2,793</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1,816</w:t>
            </w:r>
          </w:p>
        </w:tc>
        <w:tc>
          <w:tcPr>
            <w:tcW w:w="2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7,960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8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42" w:name="page43"/>
    <w:bookmarkEnd w:id="42"/>
    <w:p>
      <w:pPr>
        <w:spacing w:after="0" w:line="239" w:lineRule="auto"/>
        <w:rPr>
          <w:sz w:val="20"/>
          <w:szCs w:val="20"/>
          <w:color w:val="auto"/>
        </w:rPr>
      </w:pPr>
      <w:r>
        <w:rPr>
          <w:rFonts w:ascii="Times New Roman" w:cs="Times New Roman" w:eastAsia="Times New Roman" w:hAnsi="Times New Roman"/>
          <w:sz w:val="16"/>
          <w:szCs w:val="16"/>
          <w:color w:val="auto"/>
        </w:rPr>
        <w:t>(1)Does not include the escrow liability which is included within “Other Long-Term Liabilities” issued in connection with our acquisition of Accession. The liability reflects the fair value of shares and cash held in escrow to secure certain indemnification obligations of the Accession equityholders related to businesses that are in run-off or discontinued. Once all claims related to certain indemnification matters described in the Merger Agreement are resolved, the remaining amount in the escrow account will be released to the equityholders. The Company believes this escrow, plus other available funds, is sufficient to cover any potential costs associated with those specified matters subject to indemnification under the Merger Agreement. The fair value of the escrow liability is remeasured at each reporting date, with changes recognized in earnings. The timing and amount of any future settlement remains subject to the achievement of contractual milestones and may vary from the amounts disclosed. The value as of September 30, 2025, was $676 million.</w:t>
      </w:r>
    </w:p>
    <w:p>
      <w:pPr>
        <w:spacing w:after="0" w:line="2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(2)Includes $575 million of current and non-current estimated acquisition earn -out payables. Earn-out payables for acquisitions not denominated in U.S. dollars are measured at the current foreign exchange rate. Certain acquisition agreements include provisions with no maximum potential earn-out amount. The amount recorded for these acquisitions as of September 30, 2025 is $431 million.</w:t>
      </w:r>
    </w:p>
    <w:p>
      <w:pPr>
        <w:spacing w:after="0" w:line="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(3)Does not include approximately $56 million of current liability for a dividend of $0.1650 per share approved by the Board of Directors on October 22, 2025 to be paid on November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900" w:top="1361" w:right="700" w:bottom="1440" w:gutter="0" w:footer="0" w:header="0"/>
        </w:sectPr>
      </w:pPr>
    </w:p>
    <w:bookmarkStart w:id="43" w:name="page44"/>
    <w:bookmarkEnd w:id="43"/>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94"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6"/>
          <w:szCs w:val="16"/>
          <w:color w:val="auto"/>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spacing w:after="0" w:line="59" w:lineRule="exact"/>
        <w:rPr>
          <w:sz w:val="20"/>
          <w:szCs w:val="20"/>
          <w:color w:val="auto"/>
        </w:rPr>
      </w:pPr>
    </w:p>
    <w:p>
      <w:pPr>
        <w:ind w:right="80" w:firstLine="456"/>
        <w:spacing w:after="0" w:line="243" w:lineRule="auto"/>
        <w:rPr>
          <w:sz w:val="20"/>
          <w:szCs w:val="20"/>
          <w:color w:val="auto"/>
        </w:rPr>
      </w:pPr>
      <w:r>
        <w:rPr>
          <w:rFonts w:ascii="Times New Roman" w:cs="Times New Roman" w:eastAsia="Times New Roman" w:hAnsi="Times New Roman"/>
          <w:sz w:val="16"/>
          <w:szCs w:val="16"/>
          <w:color w:val="auto"/>
        </w:rPr>
        <w:t>Our invested assets are held primarily as cash and cash equivalents, restricted cash, available-for-sale marketable debt securities, non-marketable debt securities, certificates of deposit, U.S. Treasury securities, and professionally managed short-term duration fixed income funds. These investments are subject to interest rate risk. The fair value of our invested assets at September 30, 2025 and December 31, 2024 approximated their respective carrying values due to their short-term duration and therefore, such market risk is not considered to be material.</w:t>
      </w:r>
    </w:p>
    <w:p>
      <w:pPr>
        <w:spacing w:after="0" w:line="71" w:lineRule="exact"/>
        <w:rPr>
          <w:sz w:val="20"/>
          <w:szCs w:val="20"/>
          <w:color w:val="auto"/>
        </w:rPr>
      </w:pPr>
    </w:p>
    <w:p>
      <w:pPr>
        <w:ind w:right="440" w:firstLine="456"/>
        <w:spacing w:after="0" w:line="259" w:lineRule="auto"/>
        <w:rPr>
          <w:sz w:val="20"/>
          <w:szCs w:val="20"/>
          <w:color w:val="auto"/>
        </w:rPr>
      </w:pPr>
      <w:r>
        <w:rPr>
          <w:rFonts w:ascii="Times New Roman" w:cs="Times New Roman" w:eastAsia="Times New Roman" w:hAnsi="Times New Roman"/>
          <w:sz w:val="16"/>
          <w:szCs w:val="16"/>
          <w:color w:val="auto"/>
        </w:rPr>
        <w:t>We do not actively invest or trade in equity securities. In addition, we generally dispose of any significant equity securities received in conjunction with an acquisition shortly after the acquisition date.</w:t>
      </w:r>
    </w:p>
    <w:p>
      <w:pPr>
        <w:spacing w:after="0" w:line="59" w:lineRule="exact"/>
        <w:rPr>
          <w:sz w:val="20"/>
          <w:szCs w:val="20"/>
          <w:color w:val="auto"/>
        </w:rPr>
      </w:pPr>
    </w:p>
    <w:p>
      <w:pPr>
        <w:ind w:right="120" w:firstLine="456"/>
        <w:spacing w:after="0" w:line="299" w:lineRule="auto"/>
        <w:rPr>
          <w:sz w:val="20"/>
          <w:szCs w:val="20"/>
          <w:color w:val="auto"/>
        </w:rPr>
      </w:pPr>
      <w:r>
        <w:rPr>
          <w:rFonts w:ascii="Times New Roman" w:cs="Times New Roman" w:eastAsia="Times New Roman" w:hAnsi="Times New Roman"/>
          <w:sz w:val="14"/>
          <w:szCs w:val="14"/>
          <w:color w:val="auto"/>
        </w:rPr>
        <w:t>As of September 30, 2025, we had $550 million outstanding under the Second Amended and Restated Credit Agreement and the Loan Agreement tied to the Secured Overnight Financing Rate (“SOFR”) . These agreements bear interest on a floating basis and are therefore subject to changes in the associated interest expense. The effect of an immediate hypothetical 10% change in interest rates would not have a material effect on our Condensed Consolidated Financial Statements.</w:t>
      </w:r>
    </w:p>
    <w:p>
      <w:pPr>
        <w:spacing w:after="0" w:line="34" w:lineRule="exact"/>
        <w:rPr>
          <w:sz w:val="20"/>
          <w:szCs w:val="20"/>
          <w:color w:val="auto"/>
        </w:rPr>
      </w:pPr>
    </w:p>
    <w:p>
      <w:pPr>
        <w:jc w:val="both"/>
        <w:ind w:right="620" w:firstLine="456"/>
        <w:spacing w:after="0" w:line="289" w:lineRule="auto"/>
        <w:rPr>
          <w:sz w:val="20"/>
          <w:szCs w:val="20"/>
          <w:color w:val="auto"/>
        </w:rPr>
      </w:pPr>
      <w:r>
        <w:rPr>
          <w:rFonts w:ascii="Times New Roman" w:cs="Times New Roman" w:eastAsia="Times New Roman" w:hAnsi="Times New Roman"/>
          <w:sz w:val="14"/>
          <w:szCs w:val="14"/>
          <w:color w:val="auto"/>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Based upon our foreign currency rate exposure as of September 30, 2025, an immediate 10% hypothetical change of foreign currency exchange rates would not have a material effect on our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94" w:lineRule="exact"/>
        <w:rPr>
          <w:sz w:val="20"/>
          <w:szCs w:val="20"/>
          <w:color w:val="auto"/>
        </w:rPr>
      </w:pPr>
    </w:p>
    <w:p>
      <w:pPr>
        <w:ind w:right="20" w:firstLine="468"/>
        <w:spacing w:after="0" w:line="280" w:lineRule="auto"/>
        <w:rPr>
          <w:sz w:val="20"/>
          <w:szCs w:val="20"/>
          <w:color w:val="auto"/>
        </w:rPr>
      </w:pPr>
      <w:r>
        <w:rPr>
          <w:rFonts w:ascii="Times New Roman" w:cs="Times New Roman" w:eastAsia="Times New Roman" w:hAnsi="Times New Roman"/>
          <w:sz w:val="14"/>
          <w:szCs w:val="14"/>
          <w:color w:val="auto"/>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September 30, 2025.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Controls</w:t>
      </w:r>
    </w:p>
    <w:p>
      <w:pPr>
        <w:spacing w:after="0" w:line="94"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There has not been any change in our internal control over financial reporting identified in connection with the Evaluation that occurred during the quarter ended September 30, 2025, that has materially affected, or is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of Internal Control Over Financial Reporting</w:t>
      </w:r>
    </w:p>
    <w:p>
      <w:pPr>
        <w:spacing w:after="0" w:line="94" w:lineRule="exact"/>
        <w:rPr>
          <w:sz w:val="20"/>
          <w:szCs w:val="20"/>
          <w:color w:val="auto"/>
        </w:rPr>
      </w:pPr>
    </w:p>
    <w:p>
      <w:pPr>
        <w:ind w:firstLine="468"/>
        <w:spacing w:after="0" w:line="239" w:lineRule="auto"/>
        <w:rPr>
          <w:sz w:val="20"/>
          <w:szCs w:val="20"/>
          <w:color w:val="auto"/>
        </w:rPr>
      </w:pPr>
      <w:r>
        <w:rPr>
          <w:rFonts w:ascii="Times New Roman" w:cs="Times New Roman" w:eastAsia="Times New Roman" w:hAnsi="Times New Roman"/>
          <w:sz w:val="16"/>
          <w:szCs w:val="16"/>
          <w:color w:val="auto"/>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spacing w:after="0" w:line="74" w:lineRule="exact"/>
        <w:rPr>
          <w:sz w:val="20"/>
          <w:szCs w:val="20"/>
          <w:color w:val="auto"/>
        </w:rPr>
      </w:pPr>
    </w:p>
    <w:p>
      <w:pPr>
        <w:ind w:right="120" w:firstLine="468"/>
        <w:spacing w:after="0" w:line="243" w:lineRule="auto"/>
        <w:rPr>
          <w:sz w:val="20"/>
          <w:szCs w:val="20"/>
          <w:color w:val="auto"/>
        </w:rPr>
      </w:pPr>
      <w:r>
        <w:rPr>
          <w:rFonts w:ascii="Times New Roman" w:cs="Times New Roman" w:eastAsia="Times New Roman" w:hAnsi="Times New Roman"/>
          <w:sz w:val="16"/>
          <w:szCs w:val="16"/>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CEO and CFO Certifications</w:t>
      </w:r>
    </w:p>
    <w:p>
      <w:pPr>
        <w:spacing w:after="0" w:line="94" w:lineRule="exact"/>
        <w:rPr>
          <w:sz w:val="20"/>
          <w:szCs w:val="20"/>
          <w:color w:val="auto"/>
        </w:rPr>
      </w:pPr>
    </w:p>
    <w:p>
      <w:pPr>
        <w:ind w:right="300" w:firstLine="468"/>
        <w:spacing w:after="0" w:line="243" w:lineRule="auto"/>
        <w:rPr>
          <w:sz w:val="20"/>
          <w:szCs w:val="20"/>
          <w:color w:val="auto"/>
        </w:rPr>
      </w:pPr>
      <w:r>
        <w:rPr>
          <w:rFonts w:ascii="Times New Roman" w:cs="Times New Roman" w:eastAsia="Times New Roman" w:hAnsi="Times New Roman"/>
          <w:sz w:val="16"/>
          <w:szCs w:val="16"/>
          <w:color w:val="auto"/>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94" w:lineRule="exact"/>
        <w:rPr>
          <w:sz w:val="20"/>
          <w:szCs w:val="20"/>
          <w:color w:val="auto"/>
        </w:rPr>
      </w:pPr>
    </w:p>
    <w:p>
      <w:pPr>
        <w:jc w:val="both"/>
        <w:ind w:right="20" w:firstLine="468"/>
        <w:spacing w:after="0" w:line="243" w:lineRule="auto"/>
        <w:rPr>
          <w:sz w:val="20"/>
          <w:szCs w:val="20"/>
          <w:color w:val="auto"/>
        </w:rPr>
      </w:pPr>
      <w:r>
        <w:rPr>
          <w:rFonts w:ascii="Times New Roman" w:cs="Times New Roman" w:eastAsia="Times New Roman" w:hAnsi="Times New Roman"/>
          <w:sz w:val="16"/>
          <w:szCs w:val="16"/>
          <w:color w:val="auto"/>
        </w:rPr>
        <w:t>In Item 3 of Part I of the Company’s Annual Report on Form 10-K for its fiscal year ended December 31, 2024, certain information concerning litigation claims arising in the ordinary course of business was disclosed. Such information was current as of the date of filing. During the Company’s fiscal quarter ended September 30, 2025, no new legal proceedings, or material developments with respect to existing legal proceedings, occurred which require disclosure in this Quarterly Report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ind w:right="380" w:firstLine="468"/>
        <w:spacing w:after="0" w:line="259" w:lineRule="auto"/>
        <w:rPr>
          <w:sz w:val="20"/>
          <w:szCs w:val="20"/>
          <w:color w:val="auto"/>
        </w:rPr>
      </w:pPr>
      <w:r>
        <w:rPr>
          <w:rFonts w:ascii="Times New Roman" w:cs="Times New Roman" w:eastAsia="Times New Roman" w:hAnsi="Times New Roman"/>
          <w:sz w:val="16"/>
          <w:szCs w:val="16"/>
          <w:color w:val="auto"/>
        </w:rPr>
        <w:t>Other than as described below, there were no material changes in the risk factors previously disclosed in Item 1A, “Risk Factors” of the Company’s Annual Report on Form 10-K for the year ended December 31, 2024.</w:t>
      </w:r>
    </w:p>
    <w:p>
      <w:pPr>
        <w:spacing w:after="0" w:line="5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b w:val="1"/>
          <w:bCs w:val="1"/>
          <w:color w:val="auto"/>
        </w:rPr>
        <w:t>WE MAY FAIL TO REALIZE ALL OF THE ANTICIPATED BENEFITS OF THE TRANSACTION (INCLUDING USE OF ACCESSION’S DEFERRED TAX ASSETS), AND THE TRANSACTION OR THOSE BENEFITS MAY TAKE LONGER TO REALIZE THAN EXPECTED.</w:t>
      </w:r>
    </w:p>
    <w:p>
      <w:pPr>
        <w:spacing w:after="0" w:line="56" w:lineRule="exact"/>
        <w:rPr>
          <w:sz w:val="20"/>
          <w:szCs w:val="20"/>
          <w:color w:val="auto"/>
        </w:rPr>
      </w:pPr>
    </w:p>
    <w:p>
      <w:pPr>
        <w:ind w:right="120" w:firstLine="468"/>
        <w:spacing w:after="0" w:line="239" w:lineRule="auto"/>
        <w:rPr>
          <w:sz w:val="20"/>
          <w:szCs w:val="20"/>
          <w:color w:val="auto"/>
        </w:rPr>
      </w:pPr>
      <w:r>
        <w:rPr>
          <w:rFonts w:ascii="Times New Roman" w:cs="Times New Roman" w:eastAsia="Times New Roman" w:hAnsi="Times New Roman"/>
          <w:sz w:val="16"/>
          <w:szCs w:val="16"/>
          <w:color w:val="auto"/>
        </w:rPr>
        <w:t>We believe that there are significant benefits and synergies that may be realized through the Transaction. However, the efforts to realize these benefits and synergies will be a complex process and may disrupt existing operations if not implemented in a timely and efficient manner. The full benefits of the Transaction, including the anticipated synergies and growth opportunities, may not be realized as expected or may not be achieved within the anticipated time frame, or at all. In addition, our use post-closing of any of Accession’s deferred tax assets may be subject to limitation. Failure to achieve the anticipated benefits of the Transaction could adversely affect our results of operations or cash flows, decrease or delay any anticipated accretive effect of the Transaction and negatively impact the price of our common stock and the trading prices of our senior notes.</w:t>
      </w:r>
    </w:p>
    <w:p>
      <w:pPr>
        <w:spacing w:after="0" w:line="75"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16"/>
          <w:szCs w:val="16"/>
          <w:b w:val="1"/>
          <w:bCs w:val="1"/>
          <w:color w:val="auto"/>
        </w:rPr>
        <w:t>FINANCING THE TRANSACTION RESULTED IN AN INCREASE IN OUR INDEBTEDNESS, WHICH COULD ADVERSELY AFFECT US, INCLUDING BY DECREASING OUR BUSINESS FLEXIBILITY AND INCREASING OUR INTEREST EXPENSE.</w:t>
      </w:r>
    </w:p>
    <w:p>
      <w:pPr>
        <w:spacing w:after="0" w:line="56"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As of September 30, 2025, our total debt was $7,728 million. We financed the purchase price of the Transaction with the net proceeds of certain securities offerings and cash on hand. These increases in our indebtedness may, among other things, reduce our flexibility to respond to changing business and economic conditions or to fund capital expenditures or working capital needs. In addition, the amount of cash required to pay interest on our indebtedness, and thus the demands on our cash resources, will materially increase as a result of the Transaction.</w:t>
      </w:r>
    </w:p>
    <w:p>
      <w:pPr>
        <w:spacing w:after="0" w:line="6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 HAVE MADE CERTAIN ASSUMPTIONS RELATING TO THE TRANSACTION WHICH MAY PROVE TO BE MATERIALLY INACCURATE.</w:t>
      </w:r>
    </w:p>
    <w:p>
      <w:pPr>
        <w:spacing w:after="0" w:line="117" w:lineRule="exact"/>
        <w:rPr>
          <w:sz w:val="20"/>
          <w:szCs w:val="20"/>
          <w:color w:val="auto"/>
        </w:rPr>
      </w:pPr>
    </w:p>
    <w:p>
      <w:pPr>
        <w:ind w:right="500" w:firstLine="468"/>
        <w:spacing w:after="0" w:line="331" w:lineRule="auto"/>
        <w:rPr>
          <w:sz w:val="20"/>
          <w:szCs w:val="20"/>
          <w:color w:val="auto"/>
        </w:rPr>
      </w:pPr>
      <w:r>
        <w:rPr>
          <w:rFonts w:ascii="Times New Roman" w:cs="Times New Roman" w:eastAsia="Times New Roman" w:hAnsi="Times New Roman"/>
          <w:sz w:val="14"/>
          <w:szCs w:val="14"/>
          <w:color w:val="auto"/>
        </w:rPr>
        <w:t>We have made certain assumptions relating to the Transaction, which assumptions involve significant judgement and may not reflect the full range of uncertainties and unpredictable outcomes inherent in the Transaction and may be materially inaccurate. These assumptions relate to numerous matters, including:</w:t>
      </w:r>
    </w:p>
    <w:p>
      <w:pPr>
        <w:spacing w:after="0" w:line="12" w:lineRule="exact"/>
        <w:rPr>
          <w:sz w:val="20"/>
          <w:szCs w:val="20"/>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projections of future revenue and our earnings per share;</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projections of future expenses and expense allocation relating to the Transaction and Accession;</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expected benefits of the Transaction;</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unknown or contingent liabilities associated with the Transaction or Accession;</w:t>
      </w:r>
    </w:p>
    <w:p>
      <w:pPr>
        <w:spacing w:after="0" w:line="92" w:lineRule="exact"/>
        <w:rPr>
          <w:rFonts w:ascii="Times New Roman" w:cs="Times New Roman" w:eastAsia="Times New Roman" w:hAnsi="Times New Roman"/>
          <w:sz w:val="16"/>
          <w:szCs w:val="16"/>
          <w:color w:val="auto"/>
        </w:rPr>
      </w:pPr>
    </w:p>
    <w:p>
      <w:pPr>
        <w:ind w:right="2040" w:firstLine="474"/>
        <w:spacing w:after="0" w:line="259" w:lineRule="auto"/>
        <w:tabs>
          <w:tab w:leader="none" w:pos="56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develop and deepen relationships with employees, including key brokers, and customers associated with Accession;</w:t>
      </w:r>
    </w:p>
    <w:p>
      <w:pPr>
        <w:spacing w:after="0" w:line="59"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goodwill and intangibles that will result from the Transaction;</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purchase accounting adjustments that we may record in our financial statements in connection with the Transaction;</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and integration costs, including restructuring charges and transaction costs;</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financing of the Transaction on our operating results or financial condition; and</w:t>
      </w:r>
    </w:p>
    <w:p>
      <w:pPr>
        <w:spacing w:after="0" w:line="92" w:lineRule="exact"/>
        <w:rPr>
          <w:rFonts w:ascii="Times New Roman" w:cs="Times New Roman" w:eastAsia="Times New Roman" w:hAnsi="Times New Roman"/>
          <w:sz w:val="16"/>
          <w:szCs w:val="16"/>
          <w:color w:val="auto"/>
        </w:rPr>
      </w:pPr>
    </w:p>
    <w:p>
      <w:pPr>
        <w:ind w:left="560" w:hanging="86"/>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financial and strategic risks of the Transaction.</w:t>
      </w:r>
    </w:p>
    <w:p>
      <w:pPr>
        <w:spacing w:after="0" w:line="9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b w:val="1"/>
          <w:bCs w:val="1"/>
          <w:color w:val="auto"/>
        </w:rPr>
        <w:t>WE ARE SUBJECT TO RISKS RELATED TO ACCESSION’S BUSINESS, INCLUDING UNDERWRITING RISK IN CONNECTION WITH CERTAIN CAPTIVE INSURANCE COMPANIES.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are subject to risks related to Accession’s business and assumed its insurance policies and other obligations.</w:t>
      </w:r>
    </w:p>
    <w:p>
      <w:pPr>
        <w:spacing w:after="0" w:line="92" w:lineRule="exact"/>
        <w:rPr>
          <w:sz w:val="20"/>
          <w:szCs w:val="20"/>
          <w:color w:val="auto"/>
        </w:rPr>
      </w:pPr>
    </w:p>
    <w:p>
      <w:pPr>
        <w:ind w:right="180" w:firstLine="468"/>
        <w:spacing w:after="0" w:line="247" w:lineRule="auto"/>
        <w:rPr>
          <w:sz w:val="20"/>
          <w:szCs w:val="20"/>
          <w:color w:val="auto"/>
        </w:rPr>
      </w:pPr>
      <w:r>
        <w:rPr>
          <w:rFonts w:ascii="Times New Roman" w:cs="Times New Roman" w:eastAsia="Times New Roman" w:hAnsi="Times New Roman"/>
          <w:sz w:val="16"/>
          <w:szCs w:val="16"/>
          <w:color w:val="auto"/>
        </w:rPr>
        <w:t>Accession’s ownership of one or more protected cells in certain captive insurance companies subjects us to underwriting risk through such ownership and/or participation and may also subject us to certain liabilities and expenses, including those subject to the indemnification provisions of the Merger Agreement. Accession currently owns, and may continue to own, from time to time, one or more protected cells in</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45" w:name="page46"/>
    <w:bookmarkEnd w:id="45"/>
    <w:p>
      <w:pPr>
        <w:ind w:right="240"/>
        <w:spacing w:after="0" w:line="241" w:lineRule="auto"/>
        <w:rPr>
          <w:sz w:val="20"/>
          <w:szCs w:val="20"/>
          <w:color w:val="auto"/>
        </w:rPr>
      </w:pPr>
      <w:r>
        <w:rPr>
          <w:rFonts w:ascii="Times New Roman" w:cs="Times New Roman" w:eastAsia="Times New Roman" w:hAnsi="Times New Roman"/>
          <w:sz w:val="16"/>
          <w:szCs w:val="16"/>
          <w:color w:val="auto"/>
        </w:rPr>
        <w:t>certain captive insurance companies for the purpose of facilitating additional underwriting capacity for certain of its customers. While Accession’s underwriting risk through any such captive insurance company would generally be limited (absent any regulatory requirement for the contribution of additional capital or contractual obligation to fund any underwriting losses in excess of contributed capital), we may be subject to claims expenses associated with any losses from these customers or programs to the extent not covered by any reinsurance. Our results of operations may be negatively impacted if any such captive insurance company incurs claims expenses.</w:t>
      </w:r>
    </w:p>
    <w:p>
      <w:pPr>
        <w:spacing w:after="0" w:line="73"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Relatedly, we cannot predict the ultimate outcome of the litigation pending against Accession’s subsidiary, Oxford Risk Management Group LLC, with respect to the 2024 restructuring of the domicile of certain financial guarantee and final judgment preservation policies for segregated captive cells (the “FG Policies”), including remedies, damage awards or adverse results in such litigation, and any similar proceedings could have a material adverse effect on us. Our results of operations would be negatively impacted if the costs of the claims relating to the FG Policies exceed the value of the cash and stock held in the indemnity escrow fund pursuant to the terms of the Merger Agreement.</w:t>
      </w:r>
    </w:p>
    <w:p>
      <w:pPr>
        <w:spacing w:after="0" w:line="73" w:lineRule="exact"/>
        <w:rPr>
          <w:sz w:val="20"/>
          <w:szCs w:val="20"/>
          <w:color w:val="auto"/>
        </w:rPr>
      </w:pPr>
    </w:p>
    <w:p>
      <w:pPr>
        <w:ind w:right="140" w:firstLine="468"/>
        <w:spacing w:after="0" w:line="239" w:lineRule="auto"/>
        <w:rPr>
          <w:sz w:val="20"/>
          <w:szCs w:val="20"/>
          <w:color w:val="auto"/>
        </w:rPr>
      </w:pPr>
      <w:r>
        <w:rPr>
          <w:rFonts w:ascii="Times New Roman" w:cs="Times New Roman" w:eastAsia="Times New Roman" w:hAnsi="Times New Roman"/>
          <w:sz w:val="16"/>
          <w:szCs w:val="16"/>
          <w:color w:val="auto"/>
        </w:rPr>
        <w:t>In addition, Accession has an advisory services business that assists certain clients with the establishment of captive insurance companies, for their own purposes, which leverage the benefits of Section 831(b) of the Internal Revenue Code of 1986, as amended, and which are subject to audit and oversight from the Internal Revenue Service (“IRS”). The IRS has conducted investigations, and may be conducting investigations, of certain peers of Accession that also provide similar services, with respect to whether or not such third parties are acting as a tax shelter promoter in connection with those operations. If the IRS were to disallow 831(b) elections, modify its guidance around 831(b) elections, or otherwise investigate our business and conclude that we are not in compliance with IRS regulations, whether or not merited, those events could harm our business, results of operations and financial condition.</w:t>
      </w:r>
    </w:p>
    <w:p>
      <w:pPr>
        <w:spacing w:after="0" w:line="77" w:lineRule="exact"/>
        <w:rPr>
          <w:sz w:val="20"/>
          <w:szCs w:val="20"/>
          <w:color w:val="auto"/>
        </w:rPr>
      </w:pPr>
    </w:p>
    <w:p>
      <w:pPr>
        <w:ind w:right="120" w:firstLine="468"/>
        <w:spacing w:after="0" w:line="259" w:lineRule="auto"/>
        <w:rPr>
          <w:sz w:val="20"/>
          <w:szCs w:val="20"/>
          <w:color w:val="auto"/>
        </w:rPr>
      </w:pPr>
      <w:r>
        <w:rPr>
          <w:rFonts w:ascii="Times New Roman" w:cs="Times New Roman" w:eastAsia="Times New Roman" w:hAnsi="Times New Roman"/>
          <w:sz w:val="16"/>
          <w:szCs w:val="16"/>
          <w:color w:val="auto"/>
        </w:rPr>
        <w:t>Furthermore, where our businesses overlap, any risks we face may be intensified due to the Transaction. This may exacerbate the risks we already undertake, as described in our 2024 10-K under “Item 1A. Risk Factors.”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Issuances of Unregistered Securities</w:t>
      </w:r>
    </w:p>
    <w:p>
      <w:pPr>
        <w:spacing w:after="0" w:line="94" w:lineRule="exact"/>
        <w:rPr>
          <w:sz w:val="20"/>
          <w:szCs w:val="20"/>
          <w:color w:val="auto"/>
        </w:rPr>
      </w:pPr>
    </w:p>
    <w:p>
      <w:pPr>
        <w:jc w:val="both"/>
        <w:ind w:right="100" w:firstLine="468"/>
        <w:spacing w:after="0" w:line="247" w:lineRule="auto"/>
        <w:rPr>
          <w:sz w:val="20"/>
          <w:szCs w:val="20"/>
          <w:color w:val="auto"/>
        </w:rPr>
      </w:pPr>
      <w:r>
        <w:rPr>
          <w:rFonts w:ascii="Times New Roman" w:cs="Times New Roman" w:eastAsia="Times New Roman" w:hAnsi="Times New Roman"/>
          <w:sz w:val="16"/>
          <w:szCs w:val="16"/>
          <w:color w:val="auto"/>
        </w:rPr>
        <w:t>As partial consideration for the Transaction, on August 1, 2025, the Company issued approximately 11 million shares to the equityholders of RSC. The issuance was made in reliance upon the following exemptions of exclusions from the registration requirements of the Securities Act of 1933, as amended (the “Securities Act”): Section 4(a)(2) of the Securities Act and Rule 506 of Regulation D promulgated under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following table provides information about our repurchase of shares of our common stock during the three months ended September 30,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Maximum value of</w:t>
            </w:r>
          </w:p>
        </w:tc>
      </w:tr>
      <w:tr>
        <w:trPr>
          <w:trHeight w:val="156"/>
        </w:trPr>
        <w:tc>
          <w:tcPr>
            <w:tcW w:w="3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156"/>
        </w:trPr>
        <w:tc>
          <w:tcPr>
            <w:tcW w:w="3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that may yet be</w:t>
            </w:r>
          </w:p>
        </w:tc>
      </w:tr>
      <w:tr>
        <w:trPr>
          <w:trHeight w:val="156"/>
        </w:trPr>
        <w:tc>
          <w:tcPr>
            <w:tcW w:w="3760" w:type="dxa"/>
            <w:vAlign w:val="bottom"/>
          </w:tcPr>
          <w:p>
            <w:pPr>
              <w:spacing w:after="0"/>
              <w:rPr>
                <w:sz w:val="13"/>
                <w:szCs w:val="13"/>
                <w:color w:val="auto"/>
              </w:rPr>
            </w:pPr>
          </w:p>
        </w:tc>
        <w:tc>
          <w:tcPr>
            <w:tcW w:w="2260" w:type="dxa"/>
            <w:vAlign w:val="bottom"/>
          </w:tcPr>
          <w:p>
            <w:pPr>
              <w:jc w:val="center"/>
              <w:ind w:left="687"/>
              <w:spacing w:after="0"/>
              <w:rPr>
                <w:sz w:val="20"/>
                <w:szCs w:val="20"/>
                <w:color w:val="auto"/>
              </w:rPr>
            </w:pPr>
            <w:r>
              <w:rPr>
                <w:rFonts w:ascii="Times New Roman" w:cs="Times New Roman" w:eastAsia="Times New Roman" w:hAnsi="Times New Roman"/>
                <w:sz w:val="13"/>
                <w:szCs w:val="13"/>
                <w:b w:val="1"/>
                <w:bCs w:val="1"/>
                <w:color w:val="auto"/>
              </w:rPr>
              <w:t>Total number</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as part of publicly</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purchased</w:t>
            </w:r>
          </w:p>
        </w:tc>
      </w:tr>
      <w:tr>
        <w:trPr>
          <w:trHeight w:val="145"/>
        </w:trPr>
        <w:tc>
          <w:tcPr>
            <w:tcW w:w="3760" w:type="dxa"/>
            <w:vAlign w:val="bottom"/>
          </w:tcPr>
          <w:p>
            <w:pPr>
              <w:spacing w:after="0"/>
              <w:rPr>
                <w:sz w:val="12"/>
                <w:szCs w:val="12"/>
                <w:color w:val="auto"/>
              </w:rPr>
            </w:pPr>
          </w:p>
        </w:tc>
        <w:tc>
          <w:tcPr>
            <w:tcW w:w="2260" w:type="dxa"/>
            <w:vAlign w:val="bottom"/>
          </w:tcPr>
          <w:p>
            <w:pPr>
              <w:jc w:val="center"/>
              <w:ind w:left="687"/>
              <w:spacing w:after="0" w:line="145"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260" w:type="dxa"/>
            <w:vAlign w:val="bottom"/>
          </w:tcPr>
          <w:p>
            <w:pPr>
              <w:spacing w:after="0"/>
              <w:rPr>
                <w:sz w:val="12"/>
                <w:szCs w:val="12"/>
                <w:color w:val="auto"/>
              </w:rPr>
            </w:pPr>
          </w:p>
        </w:tc>
        <w:tc>
          <w:tcPr>
            <w:tcW w:w="1280" w:type="dxa"/>
            <w:vAlign w:val="bottom"/>
          </w:tcPr>
          <w:p>
            <w:pPr>
              <w:jc w:val="right"/>
              <w:ind w:right="346"/>
              <w:spacing w:after="0" w:line="145" w:lineRule="exact"/>
              <w:rPr>
                <w:sz w:val="20"/>
                <w:szCs w:val="20"/>
                <w:color w:val="auto"/>
              </w:rPr>
            </w:pPr>
            <w:r>
              <w:rPr>
                <w:rFonts w:ascii="Times New Roman" w:cs="Times New Roman" w:eastAsia="Times New Roman" w:hAnsi="Times New Roman"/>
                <w:sz w:val="13"/>
                <w:szCs w:val="13"/>
                <w:b w:val="1"/>
                <w:bCs w:val="1"/>
                <w:color w:val="auto"/>
              </w:rPr>
              <w:t>Average price</w:t>
            </w:r>
          </w:p>
        </w:tc>
        <w:tc>
          <w:tcPr>
            <w:tcW w:w="1260" w:type="dxa"/>
            <w:vAlign w:val="bottom"/>
          </w:tcPr>
          <w:p>
            <w:pPr>
              <w:jc w:val="center"/>
              <w:ind w:left="94"/>
              <w:spacing w:after="0" w:line="145" w:lineRule="exact"/>
              <w:rPr>
                <w:sz w:val="20"/>
                <w:szCs w:val="20"/>
                <w:color w:val="auto"/>
              </w:rPr>
            </w:pPr>
            <w:r>
              <w:rPr>
                <w:rFonts w:ascii="Times New Roman" w:cs="Times New Roman" w:eastAsia="Times New Roman" w:hAnsi="Times New Roman"/>
                <w:sz w:val="13"/>
                <w:szCs w:val="13"/>
                <w:b w:val="1"/>
                <w:bCs w:val="1"/>
                <w:color w:val="auto"/>
              </w:rPr>
              <w:t>announced plans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89"/>
              <w:spacing w:after="0" w:line="145" w:lineRule="exact"/>
              <w:rPr>
                <w:sz w:val="20"/>
                <w:szCs w:val="20"/>
                <w:color w:val="auto"/>
              </w:rPr>
            </w:pPr>
            <w:r>
              <w:rPr>
                <w:rFonts w:ascii="Times New Roman" w:cs="Times New Roman" w:eastAsia="Times New Roman" w:hAnsi="Times New Roman"/>
                <w:sz w:val="13"/>
                <w:szCs w:val="13"/>
                <w:b w:val="1"/>
                <w:bCs w:val="1"/>
                <w:color w:val="auto"/>
                <w:w w:val="99"/>
              </w:rPr>
              <w:t>under the plans</w:t>
            </w:r>
          </w:p>
        </w:tc>
      </w:tr>
      <w:tr>
        <w:trPr>
          <w:trHeight w:val="181"/>
        </w:trPr>
        <w:tc>
          <w:tcPr>
            <w:tcW w:w="3760" w:type="dxa"/>
            <w:vAlign w:val="bottom"/>
          </w:tcPr>
          <w:p>
            <w:pPr>
              <w:spacing w:after="0"/>
              <w:rPr>
                <w:sz w:val="15"/>
                <w:szCs w:val="15"/>
                <w:color w:val="auto"/>
              </w:rPr>
            </w:pPr>
          </w:p>
        </w:tc>
        <w:tc>
          <w:tcPr>
            <w:tcW w:w="2260" w:type="dxa"/>
            <w:vAlign w:val="bottom"/>
          </w:tcPr>
          <w:p>
            <w:pPr>
              <w:jc w:val="center"/>
              <w:ind w:left="687"/>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spacing w:after="0"/>
              <w:rPr>
                <w:sz w:val="15"/>
                <w:szCs w:val="15"/>
                <w:color w:val="auto"/>
              </w:rPr>
            </w:pPr>
          </w:p>
        </w:tc>
        <w:tc>
          <w:tcPr>
            <w:tcW w:w="128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paid per share</w:t>
            </w:r>
          </w:p>
        </w:tc>
        <w:tc>
          <w:tcPr>
            <w:tcW w:w="126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or programs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89"/>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or programs </w:t>
            </w:r>
            <w:r>
              <w:rPr>
                <w:rFonts w:ascii="Times New Roman" w:cs="Times New Roman" w:eastAsia="Times New Roman" w:hAnsi="Times New Roman"/>
                <w:sz w:val="16"/>
                <w:szCs w:val="16"/>
                <w:b w:val="1"/>
                <w:bCs w:val="1"/>
                <w:color w:val="auto"/>
                <w:w w:val="96"/>
                <w:vertAlign w:val="superscript"/>
              </w:rPr>
              <w:t>(2)(3)</w:t>
            </w: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1, 2025 to July 31, 2025</w:t>
            </w:r>
          </w:p>
        </w:tc>
        <w:tc>
          <w:tcPr>
            <w:tcW w:w="22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249</w:t>
            </w: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August 1, 2025 to August 31, 2025</w:t>
            </w:r>
          </w:p>
        </w:tc>
        <w:tc>
          <w:tcPr>
            <w:tcW w:w="226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15,378</w:t>
            </w:r>
          </w:p>
        </w:tc>
        <w:tc>
          <w:tcPr>
            <w:tcW w:w="260" w:type="dxa"/>
            <w:vAlign w:val="bottom"/>
          </w:tcPr>
          <w:p>
            <w:pPr>
              <w:spacing w:after="0"/>
              <w:rPr>
                <w:sz w:val="15"/>
                <w:szCs w:val="15"/>
                <w:color w:val="auto"/>
              </w:rPr>
            </w:pPr>
          </w:p>
        </w:tc>
        <w:tc>
          <w:tcPr>
            <w:tcW w:w="1280" w:type="dxa"/>
            <w:vAlign w:val="bottom"/>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93.92</w:t>
            </w:r>
          </w:p>
        </w:tc>
        <w:tc>
          <w:tcPr>
            <w:tcW w:w="1260" w:type="dxa"/>
            <w:vAlign w:val="bottom"/>
          </w:tcPr>
          <w:p>
            <w:pPr>
              <w:spacing w:after="0"/>
              <w:rPr>
                <w:sz w:val="15"/>
                <w:szCs w:val="15"/>
                <w:color w:val="auto"/>
              </w:rPr>
            </w:pPr>
          </w:p>
        </w:tc>
        <w:tc>
          <w:tcPr>
            <w:tcW w:w="2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60" w:type="dxa"/>
            <w:vAlign w:val="bottom"/>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249</w:t>
            </w: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1, 2025 to September 30, 2025</w:t>
            </w:r>
          </w:p>
        </w:tc>
        <w:tc>
          <w:tcPr>
            <w:tcW w:w="2260" w:type="dxa"/>
            <w:vAlign w:val="bottom"/>
            <w:shd w:val="clear" w:color="auto" w:fill="CFF0FC"/>
          </w:tcPr>
          <w:p>
            <w:pPr>
              <w:jc w:val="right"/>
              <w:ind w:right="27"/>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26"/>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29"/>
              <w:spacing w:after="0" w:line="180" w:lineRule="exact"/>
              <w:rPr>
                <w:sz w:val="20"/>
                <w:szCs w:val="20"/>
                <w:color w:val="auto"/>
              </w:rPr>
            </w:pPr>
            <w:r>
              <w:rPr>
                <w:rFonts w:ascii="Times New Roman" w:cs="Times New Roman" w:eastAsia="Times New Roman" w:hAnsi="Times New Roman"/>
                <w:sz w:val="16"/>
                <w:szCs w:val="16"/>
                <w:color w:val="auto"/>
              </w:rPr>
              <w:t>249</w:t>
            </w:r>
          </w:p>
        </w:tc>
      </w:tr>
      <w:tr>
        <w:trPr>
          <w:trHeight w:val="203"/>
        </w:trPr>
        <w:tc>
          <w:tcPr>
            <w:tcW w:w="3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15,378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95.30</w:t>
            </w:r>
          </w:p>
        </w:tc>
        <w:tc>
          <w:tcPr>
            <w:tcW w:w="126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249</w:t>
            </w:r>
          </w:p>
        </w:tc>
      </w:tr>
    </w:tbl>
    <w:p>
      <w:pPr>
        <w:spacing w:after="0" w:line="192" w:lineRule="exact"/>
        <w:rPr>
          <w:sz w:val="20"/>
          <w:szCs w:val="20"/>
          <w:color w:val="auto"/>
        </w:rPr>
      </w:pPr>
    </w:p>
    <w:p>
      <w:pPr>
        <w:ind w:left="240" w:right="100"/>
        <w:spacing w:after="0" w:line="242" w:lineRule="auto"/>
        <w:rPr>
          <w:sz w:val="20"/>
          <w:szCs w:val="20"/>
          <w:color w:val="auto"/>
        </w:rPr>
      </w:pPr>
      <w:r>
        <w:rPr>
          <w:rFonts w:ascii="Times New Roman" w:cs="Times New Roman" w:eastAsia="Times New Roman" w:hAnsi="Times New Roman"/>
          <w:sz w:val="16"/>
          <w:szCs w:val="16"/>
          <w:color w:val="auto"/>
        </w:rPr>
        <w:t>(1)A total of (a) 8,431 shares reported in this column are attributable to shares withheld for taxes in connection with vesting of restricted stock awards and restricted stock units under our 2019 Stock Incentive Plan, and (b) 6,947 shares reported in this column were acquired by the Company in satisfaction of a legal settlement with a former employee of the Company.</w:t>
      </w:r>
    </w:p>
    <w:p>
      <w:pPr>
        <w:spacing w:after="0" w:line="2" w:lineRule="exact"/>
        <w:rPr>
          <w:sz w:val="20"/>
          <w:szCs w:val="20"/>
          <w:color w:val="auto"/>
        </w:rPr>
      </w:pPr>
    </w:p>
    <w:p>
      <w:pPr>
        <w:ind w:left="240" w:right="220"/>
        <w:spacing w:after="0" w:line="234" w:lineRule="auto"/>
        <w:rPr>
          <w:sz w:val="20"/>
          <w:szCs w:val="20"/>
          <w:color w:val="auto"/>
        </w:rPr>
      </w:pPr>
      <w:r>
        <w:rPr>
          <w:rFonts w:ascii="Times New Roman" w:cs="Times New Roman" w:eastAsia="Times New Roman" w:hAnsi="Times New Roman"/>
          <w:sz w:val="16"/>
          <w:szCs w:val="16"/>
          <w:color w:val="auto"/>
        </w:rPr>
        <w:t>(2)On July 18, 2014, the Board of Directors authorized the repurchase of up to $200 million of the Company's shares of common stock, and on July 20, 2015, the Board of Directors authorized the repurchase of an additional $400 million of the Company's shares of common stock. On May 1, 2019, the Board of Directors approved an additional repurchase authorization amount of $373 million to bring the total available share repurchase authorization to approximately $500 million. After completing these open market repurchases, the Company’s outstanding Board approved share repurchase authorization as of September 30, 2025 was approximately $249 million. Between January 1, 2014 and September 30, 2025, the Company repurchased a total of approximately 20 million shares for an aggregate cost of approximately $748 million.</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(3)Dollar values stated in millions.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46" w:name="page47"/>
    <w:bookmarkEnd w:id="46"/>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During the third quarter of 2025, none of the Company’s officers or directors adopted or terminated any “Rule 10b5-1 trading arrangement” or any “non-Rule 10b5-1 trading arrangement,” as each term is defined in Item 408 of Regulation S-K.</w:t>
      </w:r>
    </w:p>
    <w:p>
      <w:pPr>
        <w:spacing w:after="0" w:line="3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1440" w:right="90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9860" w:type="dxa"/>
            <w:vAlign w:val="bottom"/>
            <w:gridSpan w:val="9"/>
          </w:tcPr>
          <w:p>
            <w:pPr>
              <w:ind w:left="60"/>
              <w:spacing w:after="0"/>
              <w:rPr>
                <w:sz w:val="20"/>
                <w:szCs w:val="20"/>
                <w:color w:val="auto"/>
              </w:rPr>
            </w:pPr>
            <w:r>
              <w:rPr>
                <w:rFonts w:ascii="Times New Roman" w:cs="Times New Roman" w:eastAsia="Times New Roman" w:hAnsi="Times New Roman"/>
                <w:sz w:val="16"/>
                <w:szCs w:val="16"/>
                <w:color w:val="auto"/>
              </w:rPr>
              <w:t>The following exhibits are filed as a part of this Report:</w:t>
            </w:r>
          </w:p>
        </w:tc>
      </w:tr>
      <w:tr>
        <w:trPr>
          <w:trHeight w:val="398"/>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60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7"/>
              </w:rPr>
            </w:pPr>
            <w:hyperlink r:id="rId58">
              <w:r>
                <w:rPr>
                  <w:rFonts w:ascii="Times New Roman" w:cs="Times New Roman" w:eastAsia="Times New Roman" w:hAnsi="Times New Roman"/>
                  <w:sz w:val="16"/>
                  <w:szCs w:val="16"/>
                  <w:color w:val="0000FF"/>
                  <w:w w:val="97"/>
                </w:rPr>
                <w:t>Amended and Restated Articles of Incorporation of the Company (adopted January 18, 2023) (incorporated by reference to Exhibit 3.1 to Form 8-K</w:t>
              </w:r>
            </w:hyperlink>
          </w:p>
        </w:tc>
      </w:tr>
      <w:tr>
        <w:trPr>
          <w:trHeight w:val="160"/>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tcBorders>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58">
              <w:r>
                <w:rPr>
                  <w:rFonts w:ascii="Times New Roman" w:cs="Times New Roman" w:eastAsia="Times New Roman" w:hAnsi="Times New Roman"/>
                  <w:sz w:val="16"/>
                  <w:szCs w:val="16"/>
                  <w:color w:val="0000FF"/>
                  <w:w w:val="96"/>
                </w:rPr>
                <w:t>filed on January 19, 2023).</w:t>
              </w:r>
            </w:hyperlink>
          </w:p>
        </w:tc>
        <w:tc>
          <w:tcPr>
            <w:tcW w:w="7580" w:type="dxa"/>
            <w:vAlign w:val="bottom"/>
            <w:gridSpan w:val="6"/>
          </w:tcPr>
          <w:p>
            <w:pPr>
              <w:spacing w:after="0"/>
              <w:rPr>
                <w:sz w:val="13"/>
                <w:szCs w:val="13"/>
                <w:color w:val="auto"/>
              </w:rPr>
            </w:pPr>
          </w:p>
        </w:tc>
      </w:tr>
      <w:tr>
        <w:trPr>
          <w:trHeight w:val="28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60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r:id="rId59">
              <w:r>
                <w:rPr>
                  <w:rFonts w:ascii="Times New Roman" w:cs="Times New Roman" w:eastAsia="Times New Roman" w:hAnsi="Times New Roman"/>
                  <w:sz w:val="16"/>
                  <w:szCs w:val="16"/>
                  <w:color w:val="0000FF"/>
                  <w:w w:val="97"/>
                </w:rPr>
                <w:t>Amended and Restated By-Laws (incorporated by reference to Exhibit 3.2 to Form 8-K filed on January 19, 2023)</w:t>
              </w:r>
            </w:hyperlink>
            <w:r>
              <w:rPr>
                <w:rFonts w:ascii="Times New Roman" w:cs="Times New Roman" w:eastAsia="Times New Roman" w:hAnsi="Times New Roman"/>
                <w:sz w:val="16"/>
                <w:szCs w:val="16"/>
                <w:color w:val="0000FF"/>
                <w:w w:val="97"/>
              </w:rPr>
              <w:t>.</w:t>
            </w:r>
          </w:p>
        </w:tc>
        <w:tc>
          <w:tcPr>
            <w:tcW w:w="2080" w:type="dxa"/>
            <w:vAlign w:val="bottom"/>
          </w:tcPr>
          <w:p>
            <w:pPr>
              <w:spacing w:after="0"/>
              <w:rPr>
                <w:sz w:val="24"/>
                <w:szCs w:val="24"/>
                <w:color w:val="auto"/>
              </w:rPr>
            </w:pPr>
          </w:p>
        </w:tc>
      </w:tr>
      <w:tr>
        <w:trPr>
          <w:trHeight w:val="28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600" w:type="dxa"/>
            <w:vAlign w:val="bottom"/>
          </w:tcPr>
          <w:p>
            <w:pPr>
              <w:spacing w:after="0"/>
              <w:rPr>
                <w:sz w:val="24"/>
                <w:szCs w:val="24"/>
                <w:color w:val="auto"/>
              </w:rPr>
            </w:pPr>
          </w:p>
        </w:tc>
        <w:tc>
          <w:tcPr>
            <w:tcW w:w="550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Rule 13a-14(a)/15d-14(a) Certification by the Chief Executive Officer of the Registrant.</w:t>
              </w:r>
            </w:hyperlink>
          </w:p>
        </w:tc>
        <w:tc>
          <w:tcPr>
            <w:tcW w:w="3760" w:type="dxa"/>
            <w:vAlign w:val="bottom"/>
            <w:gridSpan w:val="2"/>
          </w:tcPr>
          <w:p>
            <w:pPr>
              <w:spacing w:after="0"/>
              <w:rPr>
                <w:sz w:val="24"/>
                <w:szCs w:val="24"/>
                <w:color w:val="auto"/>
              </w:rPr>
            </w:pPr>
          </w:p>
        </w:tc>
      </w:tr>
      <w:tr>
        <w:trPr>
          <w:trHeight w:val="28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600" w:type="dxa"/>
            <w:vAlign w:val="bottom"/>
          </w:tcPr>
          <w:p>
            <w:pPr>
              <w:spacing w:after="0"/>
              <w:rPr>
                <w:sz w:val="24"/>
                <w:szCs w:val="24"/>
                <w:color w:val="auto"/>
              </w:rPr>
            </w:pPr>
          </w:p>
        </w:tc>
        <w:tc>
          <w:tcPr>
            <w:tcW w:w="546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Rule 13a-14(a)/15d-14(a) Certification by the Chief Financial Officer of the Registrant.</w:t>
              </w:r>
            </w:hyperlink>
          </w:p>
        </w:tc>
        <w:tc>
          <w:tcPr>
            <w:tcW w:w="3800" w:type="dxa"/>
            <w:vAlign w:val="bottom"/>
            <w:gridSpan w:val="3"/>
          </w:tcPr>
          <w:p>
            <w:pPr>
              <w:spacing w:after="0"/>
              <w:rPr>
                <w:sz w:val="24"/>
                <w:szCs w:val="24"/>
                <w:color w:val="auto"/>
              </w:rPr>
            </w:pPr>
          </w:p>
        </w:tc>
      </w:tr>
      <w:tr>
        <w:trPr>
          <w:trHeight w:val="28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600" w:type="dxa"/>
            <w:vAlign w:val="bottom"/>
          </w:tcPr>
          <w:p>
            <w:pPr>
              <w:spacing w:after="0"/>
              <w:rPr>
                <w:sz w:val="24"/>
                <w:szCs w:val="24"/>
                <w:color w:val="auto"/>
              </w:rPr>
            </w:pPr>
          </w:p>
        </w:tc>
        <w:tc>
          <w:tcPr>
            <w:tcW w:w="84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Section 1350</w:t>
              </w:r>
            </w:hyperlink>
          </w:p>
        </w:tc>
        <w:tc>
          <w:tcPr>
            <w:tcW w:w="3880" w:type="dxa"/>
            <w:vAlign w:val="bottom"/>
            <w:tcBorders>
              <w:bottom w:val="single" w:sz="8" w:color="0000EE"/>
            </w:tcBorders>
            <w:gridSpan w:val="3"/>
          </w:tcPr>
          <w:p>
            <w:pPr>
              <w:ind w:left="20"/>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Certification by the Chief Executive Officer of the Registrant.</w:t>
              </w:r>
            </w:hyperlink>
          </w:p>
        </w:tc>
        <w:tc>
          <w:tcPr>
            <w:tcW w:w="4540" w:type="dxa"/>
            <w:vAlign w:val="bottom"/>
            <w:gridSpan w:val="4"/>
          </w:tcPr>
          <w:p>
            <w:pPr>
              <w:spacing w:after="0"/>
              <w:rPr>
                <w:sz w:val="24"/>
                <w:szCs w:val="24"/>
                <w:color w:val="auto"/>
              </w:rPr>
            </w:pPr>
          </w:p>
        </w:tc>
      </w:tr>
      <w:tr>
        <w:trPr>
          <w:trHeight w:val="280"/>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600" w:type="dxa"/>
            <w:vAlign w:val="bottom"/>
          </w:tcPr>
          <w:p>
            <w:pPr>
              <w:spacing w:after="0"/>
              <w:rPr>
                <w:sz w:val="24"/>
                <w:szCs w:val="24"/>
                <w:color w:val="auto"/>
              </w:rPr>
            </w:pPr>
          </w:p>
        </w:tc>
        <w:tc>
          <w:tcPr>
            <w:tcW w:w="84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Section 1350</w:t>
              </w:r>
            </w:hyperlink>
          </w:p>
        </w:tc>
        <w:tc>
          <w:tcPr>
            <w:tcW w:w="3840" w:type="dxa"/>
            <w:vAlign w:val="bottom"/>
            <w:tcBorders>
              <w:bottom w:val="single" w:sz="8" w:color="0000EE"/>
            </w:tcBorders>
            <w:gridSpan w:val="2"/>
          </w:tcPr>
          <w:p>
            <w:pPr>
              <w:ind w:left="20"/>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Certification by the Chief Financial Officer of the Registrant.</w:t>
              </w:r>
            </w:hyperlink>
          </w:p>
        </w:tc>
        <w:tc>
          <w:tcPr>
            <w:tcW w:w="4580" w:type="dxa"/>
            <w:vAlign w:val="bottom"/>
            <w:gridSpan w:val="5"/>
          </w:tcPr>
          <w:p>
            <w:pPr>
              <w:spacing w:after="0"/>
              <w:rPr>
                <w:sz w:val="24"/>
                <w:szCs w:val="24"/>
                <w:color w:val="auto"/>
              </w:rPr>
            </w:pPr>
          </w:p>
        </w:tc>
      </w:tr>
    </w:tbl>
    <w:p>
      <w:pPr>
        <w:spacing w:after="0" w:line="119" w:lineRule="exact"/>
        <w:rPr>
          <w:sz w:val="20"/>
          <w:szCs w:val="20"/>
          <w:color w:val="auto"/>
        </w:rPr>
      </w:pPr>
    </w:p>
    <w:p>
      <w:pPr>
        <w:ind w:left="1020" w:hanging="936"/>
        <w:spacing w:after="0" w:line="243"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September 30, 2025,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p>
      <w:pPr>
        <w:spacing w:after="0" w:line="95" w:lineRule="exact"/>
        <w:rPr>
          <w:sz w:val="20"/>
          <w:szCs w:val="20"/>
          <w:color w:val="auto"/>
        </w:rPr>
      </w:pPr>
    </w:p>
    <w:p>
      <w:pPr>
        <w:ind w:left="1020" w:hanging="93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in inline XBRL and included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8" w:lineRule="exact"/>
        <w:rPr>
          <w:rFonts w:ascii="Times New Roman" w:cs="Times New Roman" w:eastAsia="Times New Roman" w:hAnsi="Times New Roman"/>
          <w:sz w:val="16"/>
          <w:szCs w:val="16"/>
          <w:color w:val="auto"/>
        </w:rPr>
      </w:pPr>
    </w:p>
    <w:p>
      <w:pPr>
        <w:ind w:left="5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311" w:right="82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320" w:firstLine="46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722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BROWN &amp; BROWN, INC.</w:t>
            </w:r>
          </w:p>
        </w:tc>
      </w:tr>
      <w:tr>
        <w:trPr>
          <w:trHeight w:val="456"/>
        </w:trPr>
        <w:tc>
          <w:tcPr>
            <w:tcW w:w="3340" w:type="dxa"/>
            <w:vAlign w:val="bottom"/>
          </w:tcPr>
          <w:p>
            <w:pPr>
              <w:spacing w:after="0"/>
              <w:rPr>
                <w:sz w:val="24"/>
                <w:szCs w:val="24"/>
                <w:color w:val="auto"/>
              </w:rPr>
            </w:pPr>
          </w:p>
        </w:tc>
        <w:tc>
          <w:tcPr>
            <w:tcW w:w="72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/s/ R. Andrew Watts</w:t>
            </w: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27, 2025</w:t>
            </w:r>
          </w:p>
        </w:tc>
        <w:tc>
          <w:tcPr>
            <w:tcW w:w="7220" w:type="dxa"/>
            <w:vAlign w:val="bottom"/>
          </w:tcPr>
          <w:p>
            <w:pPr>
              <w:jc w:val="center"/>
              <w:ind w:left="1982"/>
              <w:spacing w:after="0"/>
              <w:rPr>
                <w:sz w:val="20"/>
                <w:szCs w:val="20"/>
                <w:color w:val="auto"/>
              </w:rPr>
            </w:pPr>
            <w:r>
              <w:rPr>
                <w:rFonts w:ascii="Times New Roman" w:cs="Times New Roman" w:eastAsia="Times New Roman" w:hAnsi="Times New Roman"/>
                <w:sz w:val="16"/>
                <w:szCs w:val="16"/>
                <w:b w:val="1"/>
                <w:bCs w:val="1"/>
                <w:color w:val="auto"/>
                <w:w w:val="97"/>
              </w:rPr>
              <w:t>R. Andrew Watts</w:t>
            </w:r>
          </w:p>
        </w:tc>
      </w:tr>
      <w:tr>
        <w:trPr>
          <w:trHeight w:val="180"/>
        </w:trPr>
        <w:tc>
          <w:tcPr>
            <w:tcW w:w="3340" w:type="dxa"/>
            <w:vAlign w:val="bottom"/>
          </w:tcPr>
          <w:p>
            <w:pPr>
              <w:spacing w:after="0"/>
              <w:rPr>
                <w:sz w:val="15"/>
                <w:szCs w:val="15"/>
                <w:color w:val="auto"/>
              </w:rPr>
            </w:pPr>
          </w:p>
        </w:tc>
        <w:tc>
          <w:tcPr>
            <w:tcW w:w="7220" w:type="dxa"/>
            <w:vAlign w:val="bottom"/>
          </w:tcPr>
          <w:p>
            <w:pPr>
              <w:jc w:val="center"/>
              <w:ind w:left="19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Executive Vice President, Chief Financial Officer and Treasurer</w:t>
            </w:r>
          </w:p>
        </w:tc>
      </w:tr>
      <w:tr>
        <w:trPr>
          <w:trHeight w:val="205"/>
        </w:trPr>
        <w:tc>
          <w:tcPr>
            <w:tcW w:w="3340" w:type="dxa"/>
            <w:vAlign w:val="bottom"/>
          </w:tcPr>
          <w:p>
            <w:pPr>
              <w:spacing w:after="0"/>
              <w:rPr>
                <w:sz w:val="17"/>
                <w:szCs w:val="17"/>
                <w:color w:val="auto"/>
              </w:rPr>
            </w:pPr>
          </w:p>
        </w:tc>
        <w:tc>
          <w:tcPr>
            <w:tcW w:w="7220" w:type="dxa"/>
            <w:vAlign w:val="bottom"/>
          </w:tcPr>
          <w:p>
            <w:pPr>
              <w:jc w:val="center"/>
              <w:ind w:left="1982"/>
              <w:spacing w:after="0"/>
              <w:rPr>
                <w:sz w:val="20"/>
                <w:szCs w:val="20"/>
                <w:color w:val="auto"/>
              </w:rPr>
            </w:pPr>
            <w:r>
              <w:rPr>
                <w:rFonts w:ascii="Times New Roman" w:cs="Times New Roman" w:eastAsia="Times New Roman" w:hAnsi="Times New Roman"/>
                <w:sz w:val="16"/>
                <w:szCs w:val="16"/>
                <w:b w:val="1"/>
                <w:bCs w:val="1"/>
                <w:color w:val="auto"/>
                <w:w w:val="97"/>
              </w:rPr>
              <w:t>(duly authorized officer, principal financial officer)</w:t>
            </w:r>
          </w:p>
        </w:tc>
      </w:tr>
      <w:tr>
        <w:trPr>
          <w:trHeight w:val="552"/>
        </w:trPr>
        <w:tc>
          <w:tcPr>
            <w:tcW w:w="3340" w:type="dxa"/>
            <w:vAlign w:val="bottom"/>
          </w:tcPr>
          <w:p>
            <w:pPr>
              <w:spacing w:after="0"/>
              <w:rPr>
                <w:sz w:val="24"/>
                <w:szCs w:val="24"/>
                <w:color w:val="auto"/>
              </w:rPr>
            </w:pPr>
          </w:p>
        </w:tc>
        <w:tc>
          <w:tcPr>
            <w:tcW w:w="7220" w:type="dxa"/>
            <w:vAlign w:val="bottom"/>
          </w:tcPr>
          <w:p>
            <w:pPr>
              <w:jc w:val="right"/>
              <w:ind w:right="5122"/>
              <w:spacing w:after="0"/>
              <w:rPr>
                <w:sz w:val="20"/>
                <w:szCs w:val="20"/>
                <w:color w:val="auto"/>
              </w:rPr>
            </w:pPr>
            <w:r>
              <w:rPr>
                <w:rFonts w:ascii="Times New Roman" w:cs="Times New Roman" w:eastAsia="Times New Roman" w:hAnsi="Times New Roman"/>
                <w:sz w:val="16"/>
                <w:szCs w:val="16"/>
                <w:color w:val="auto"/>
              </w:rPr>
              <w:t>49</w:t>
            </w:r>
          </w:p>
        </w:tc>
      </w:tr>
      <w:tr>
        <w:trPr>
          <w:trHeight w:val="674"/>
        </w:trPr>
        <w:tc>
          <w:tcPr>
            <w:tcW w:w="3340" w:type="dxa"/>
            <w:vAlign w:val="bottom"/>
            <w:tcBorders>
              <w:bottom w:val="single" w:sz="8" w:color="EEEEEE"/>
            </w:tcBorders>
          </w:tcPr>
          <w:p>
            <w:pPr>
              <w:spacing w:after="0"/>
              <w:rPr>
                <w:sz w:val="24"/>
                <w:szCs w:val="24"/>
                <w:color w:val="auto"/>
              </w:rPr>
            </w:pPr>
          </w:p>
        </w:tc>
        <w:tc>
          <w:tcPr>
            <w:tcW w:w="72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w:t>
      </w:r>
    </w:p>
    <w:p>
      <w:pPr>
        <w:spacing w:after="0" w:line="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J. Powell Brown, certify that:</w:t>
      </w:r>
    </w:p>
    <w:p>
      <w:pPr>
        <w:spacing w:after="0" w:line="188" w:lineRule="exact"/>
        <w:rPr>
          <w:sz w:val="20"/>
          <w:szCs w:val="20"/>
          <w:color w:val="auto"/>
        </w:rPr>
      </w:pPr>
    </w:p>
    <w:p>
      <w:pPr>
        <w:ind w:left="166" w:hanging="166"/>
        <w:spacing w:after="0"/>
        <w:tabs>
          <w:tab w:leader="none" w:pos="16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of Brown &amp; Brown, Inc. (the “Registrant”) on Form 10-Q for the quarter ended September 30, 2025;</w:t>
      </w:r>
    </w:p>
    <w:p>
      <w:pPr>
        <w:spacing w:after="0" w:line="188" w:lineRule="exact"/>
        <w:rPr>
          <w:rFonts w:ascii="Times New Roman" w:cs="Times New Roman" w:eastAsia="Times New Roman" w:hAnsi="Times New Roman"/>
          <w:sz w:val="16"/>
          <w:szCs w:val="16"/>
          <w:color w:val="auto"/>
        </w:rPr>
      </w:pPr>
    </w:p>
    <w:p>
      <w:pPr>
        <w:ind w:left="366" w:right="80" w:hanging="366"/>
        <w:spacing w:after="0" w:line="259" w:lineRule="auto"/>
        <w:tabs>
          <w:tab w:leader="none" w:pos="16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366" w:right="80" w:hanging="366"/>
        <w:spacing w:after="0" w:line="259" w:lineRule="auto"/>
        <w:tabs>
          <w:tab w:leader="none" w:pos="16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ind w:left="36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4"/>
          <w:szCs w:val="14"/>
          <w:color w:val="auto"/>
        </w:rPr>
      </w:pPr>
    </w:p>
    <w:p>
      <w:pPr>
        <w:ind w:left="706" w:right="40" w:hanging="358"/>
        <w:spacing w:after="0" w:line="247" w:lineRule="auto"/>
        <w:tabs>
          <w:tab w:leader="none" w:pos="55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ind w:left="706" w:right="40" w:hanging="358"/>
        <w:spacing w:after="0" w:line="247" w:lineRule="auto"/>
        <w:tabs>
          <w:tab w:leader="none" w:pos="56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706" w:right="300" w:hanging="358"/>
        <w:spacing w:after="0" w:line="259" w:lineRule="auto"/>
        <w:tabs>
          <w:tab w:leader="none" w:pos="55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706" w:right="120" w:hanging="358"/>
        <w:spacing w:after="0" w:line="247" w:lineRule="auto"/>
        <w:tabs>
          <w:tab w:leader="none" w:pos="56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366" w:right="400" w:hanging="366"/>
        <w:spacing w:after="0" w:line="259" w:lineRule="auto"/>
        <w:tabs>
          <w:tab w:leader="none" w:pos="16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706" w:right="540" w:hanging="358"/>
        <w:spacing w:after="0" w:line="259" w:lineRule="auto"/>
        <w:tabs>
          <w:tab w:leader="none" w:pos="55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706" w:right="80" w:hanging="358"/>
        <w:spacing w:after="0" w:line="259" w:lineRule="auto"/>
        <w:tabs>
          <w:tab w:leader="none" w:pos="56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October 27, 2025</w:t>
      </w:r>
    </w:p>
    <w:p>
      <w:pPr>
        <w:spacing w:after="0" w:line="20" w:lineRule="exact"/>
        <w:rPr>
          <w:sz w:val="20"/>
          <w:szCs w:val="20"/>
          <w:color w:val="auto"/>
        </w:rPr>
      </w:pPr>
    </w:p>
    <w:p>
      <w:pPr>
        <w:ind w:left="6346"/>
        <w:spacing w:after="0"/>
        <w:rPr>
          <w:sz w:val="20"/>
          <w:szCs w:val="20"/>
          <w:color w:val="auto"/>
        </w:rPr>
      </w:pPr>
      <w:r>
        <w:rPr>
          <w:rFonts w:ascii="Times New Roman" w:cs="Times New Roman" w:eastAsia="Times New Roman" w:hAnsi="Times New Roman"/>
          <w:sz w:val="16"/>
          <w:szCs w:val="16"/>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5715</wp:posOffset>
            </wp:positionV>
            <wp:extent cx="26828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6346"/>
        <w:spacing w:after="0"/>
        <w:rPr>
          <w:sz w:val="20"/>
          <w:szCs w:val="20"/>
          <w:color w:val="auto"/>
        </w:rPr>
      </w:pPr>
      <w:r>
        <w:rPr>
          <w:rFonts w:ascii="Times New Roman" w:cs="Times New Roman" w:eastAsia="Times New Roman" w:hAnsi="Times New Roman"/>
          <w:sz w:val="16"/>
          <w:szCs w:val="16"/>
          <w:color w:val="auto"/>
        </w:rPr>
        <w:t>J. Powell Brown</w:t>
      </w:r>
    </w:p>
    <w:p>
      <w:pPr>
        <w:spacing w:after="0" w:line="3" w:lineRule="exact"/>
        <w:rPr>
          <w:sz w:val="20"/>
          <w:szCs w:val="20"/>
          <w:color w:val="auto"/>
        </w:rPr>
      </w:pPr>
    </w:p>
    <w:p>
      <w:pPr>
        <w:ind w:left="6346"/>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636905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311" w:right="66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w:t>
      </w:r>
    </w:p>
    <w:p>
      <w:pPr>
        <w:spacing w:after="0" w:line="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R. Andrew Watts, certify that:</w:t>
      </w:r>
    </w:p>
    <w:p>
      <w:pPr>
        <w:spacing w:after="0" w:line="188" w:lineRule="exact"/>
        <w:rPr>
          <w:sz w:val="20"/>
          <w:szCs w:val="20"/>
          <w:color w:val="auto"/>
        </w:rPr>
      </w:pPr>
    </w:p>
    <w:p>
      <w:pPr>
        <w:ind w:left="166" w:hanging="166"/>
        <w:spacing w:after="0"/>
        <w:tabs>
          <w:tab w:leader="none" w:pos="16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of Brown &amp; Brown, Inc. (the “Registrant”) on Form 10-Q for the quarter ended September 30, 2025;</w:t>
      </w:r>
    </w:p>
    <w:p>
      <w:pPr>
        <w:spacing w:after="0" w:line="188" w:lineRule="exact"/>
        <w:rPr>
          <w:rFonts w:ascii="Times New Roman" w:cs="Times New Roman" w:eastAsia="Times New Roman" w:hAnsi="Times New Roman"/>
          <w:sz w:val="16"/>
          <w:szCs w:val="16"/>
          <w:color w:val="auto"/>
        </w:rPr>
      </w:pPr>
    </w:p>
    <w:p>
      <w:pPr>
        <w:ind w:left="366" w:right="80" w:hanging="366"/>
        <w:spacing w:after="0" w:line="259" w:lineRule="auto"/>
        <w:tabs>
          <w:tab w:leader="none" w:pos="16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366" w:right="80" w:hanging="366"/>
        <w:spacing w:after="0" w:line="259" w:lineRule="auto"/>
        <w:tabs>
          <w:tab w:leader="none" w:pos="16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ind w:left="36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4"/>
          <w:szCs w:val="14"/>
          <w:color w:val="auto"/>
        </w:rPr>
      </w:pPr>
    </w:p>
    <w:p>
      <w:pPr>
        <w:ind w:left="706" w:right="40" w:hanging="358"/>
        <w:spacing w:after="0" w:line="247" w:lineRule="auto"/>
        <w:tabs>
          <w:tab w:leader="none" w:pos="55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6"/>
          <w:szCs w:val="16"/>
          <w:color w:val="auto"/>
        </w:rPr>
      </w:pPr>
    </w:p>
    <w:p>
      <w:pPr>
        <w:ind w:left="706" w:right="40" w:hanging="358"/>
        <w:spacing w:after="0" w:line="247" w:lineRule="auto"/>
        <w:tabs>
          <w:tab w:leader="none" w:pos="56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6"/>
          <w:szCs w:val="16"/>
          <w:color w:val="auto"/>
        </w:rPr>
      </w:pPr>
    </w:p>
    <w:p>
      <w:pPr>
        <w:ind w:left="706" w:right="300" w:hanging="358"/>
        <w:spacing w:after="0" w:line="259" w:lineRule="auto"/>
        <w:tabs>
          <w:tab w:leader="none" w:pos="55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706" w:right="120" w:hanging="358"/>
        <w:spacing w:after="0" w:line="247" w:lineRule="auto"/>
        <w:tabs>
          <w:tab w:leader="none" w:pos="56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366" w:right="400" w:hanging="366"/>
        <w:spacing w:after="0" w:line="259" w:lineRule="auto"/>
        <w:tabs>
          <w:tab w:leader="none" w:pos="16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706" w:right="540" w:hanging="358"/>
        <w:spacing w:after="0" w:line="259" w:lineRule="auto"/>
        <w:tabs>
          <w:tab w:leader="none" w:pos="55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706" w:right="80" w:hanging="358"/>
        <w:spacing w:after="0" w:line="259" w:lineRule="auto"/>
        <w:tabs>
          <w:tab w:leader="none" w:pos="56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October 27, 2025</w:t>
      </w:r>
    </w:p>
    <w:p>
      <w:pPr>
        <w:spacing w:after="0" w:line="248" w:lineRule="exact"/>
        <w:rPr>
          <w:sz w:val="20"/>
          <w:szCs w:val="20"/>
          <w:color w:val="auto"/>
        </w:rPr>
      </w:pPr>
    </w:p>
    <w:p>
      <w:pPr>
        <w:ind w:left="6346"/>
        <w:spacing w:after="0"/>
        <w:rPr>
          <w:sz w:val="20"/>
          <w:szCs w:val="20"/>
          <w:color w:val="auto"/>
        </w:rPr>
      </w:pPr>
      <w:r>
        <w:rPr>
          <w:rFonts w:ascii="Times New Roman" w:cs="Times New Roman" w:eastAsia="Times New Roman" w:hAnsi="Times New Roman"/>
          <w:sz w:val="16"/>
          <w:szCs w:val="16"/>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5715</wp:posOffset>
            </wp:positionV>
            <wp:extent cx="26828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6346"/>
        <w:spacing w:after="0"/>
        <w:rPr>
          <w:sz w:val="20"/>
          <w:szCs w:val="20"/>
          <w:color w:val="auto"/>
        </w:rPr>
      </w:pPr>
      <w:r>
        <w:rPr>
          <w:rFonts w:ascii="Times New Roman" w:cs="Times New Roman" w:eastAsia="Times New Roman" w:hAnsi="Times New Roman"/>
          <w:sz w:val="16"/>
          <w:szCs w:val="16"/>
          <w:color w:val="auto"/>
        </w:rPr>
        <w:t>R. Andrew Watts</w:t>
      </w:r>
    </w:p>
    <w:p>
      <w:pPr>
        <w:spacing w:after="0" w:line="3" w:lineRule="exact"/>
        <w:rPr>
          <w:sz w:val="20"/>
          <w:szCs w:val="20"/>
          <w:color w:val="auto"/>
        </w:rPr>
      </w:pPr>
    </w:p>
    <w:p>
      <w:pPr>
        <w:ind w:left="6346"/>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636905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311" w:right="66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Pursuant to Section 1350 of Title 18 of the United States Code, as Adopted</w:t>
      </w:r>
    </w:p>
    <w:p>
      <w:pPr>
        <w:spacing w:after="0" w:line="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70" w:lineRule="exact"/>
        <w:rPr>
          <w:sz w:val="20"/>
          <w:szCs w:val="20"/>
          <w:color w:val="auto"/>
        </w:rPr>
      </w:pPr>
    </w:p>
    <w:p>
      <w:pPr>
        <w:ind w:left="6" w:right="80"/>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Brown &amp; Brown, Inc. (the “Company”) on Form 10-Q for the quarter ended September 30, 2025, as filed with the Securities and Exchange Commission on the date hereof (the “Form 10-Q”), I, J. Powell Brown, Chief Executive Officer of the Company, hereby certify, pursuant to 18 U.S.C. Section 1350, as adopted pursuant to Section 906 of the Sarbanes-Oxley Act of 2002, that:</w:t>
      </w:r>
    </w:p>
    <w:p>
      <w:pPr>
        <w:spacing w:after="0" w:line="164" w:lineRule="exact"/>
        <w:rPr>
          <w:sz w:val="20"/>
          <w:szCs w:val="20"/>
          <w:color w:val="auto"/>
        </w:rPr>
      </w:pPr>
    </w:p>
    <w:p>
      <w:pPr>
        <w:ind w:left="226" w:hanging="226"/>
        <w:spacing w:after="0"/>
        <w:tabs>
          <w:tab w:leader="none" w:pos="2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10-Q fully complies with the requirements of Section 13(a) or 15(d) of the Securities Exchange Act of 1934 (15 U.S.C. § 78m or § 78o(d)); and</w:t>
      </w:r>
    </w:p>
    <w:p>
      <w:pPr>
        <w:spacing w:after="0" w:line="188" w:lineRule="exact"/>
        <w:rPr>
          <w:rFonts w:ascii="Times New Roman" w:cs="Times New Roman" w:eastAsia="Times New Roman" w:hAnsi="Times New Roman"/>
          <w:sz w:val="16"/>
          <w:szCs w:val="16"/>
          <w:color w:val="auto"/>
        </w:rPr>
      </w:pPr>
    </w:p>
    <w:p>
      <w:pPr>
        <w:ind w:left="6" w:right="1040" w:hanging="6"/>
        <w:spacing w:after="0" w:line="510" w:lineRule="auto"/>
        <w:tabs>
          <w:tab w:leader="none" w:pos="21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10-Q fairly presents, in all material respects, the financial condition and results of operations of the Company. Dated: October 27,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268287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J. Powell Brown</w:t>
      </w:r>
    </w:p>
    <w:p>
      <w:pPr>
        <w:spacing w:after="0" w:line="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636905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311" w:right="66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Pursuant to Section 1350 of Title 18 of the United States Code, as Adopted</w:t>
      </w:r>
    </w:p>
    <w:p>
      <w:pPr>
        <w:spacing w:after="0" w:line="1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70" w:lineRule="exact"/>
        <w:rPr>
          <w:sz w:val="20"/>
          <w:szCs w:val="20"/>
          <w:color w:val="auto"/>
        </w:rPr>
      </w:pPr>
    </w:p>
    <w:p>
      <w:pPr>
        <w:ind w:left="6" w:right="80"/>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Brown &amp; Brown, Inc. (the “Company”) on Form 10-Q for the quarter ended September 30, 2025, as filed with the Securities and Exchange Commission on the date hereof (the “Form 10-Q”), I, R. Andrew Watts, Chief Financial Officer of the Company, hereby certify, pursuant to 18 U.S.C. Section 1350, as adopted pursuant to Section 906 of the Sarbanes-Oxley Act of 2002, that:</w:t>
      </w:r>
    </w:p>
    <w:p>
      <w:pPr>
        <w:spacing w:after="0" w:line="164" w:lineRule="exact"/>
        <w:rPr>
          <w:sz w:val="20"/>
          <w:szCs w:val="20"/>
          <w:color w:val="auto"/>
        </w:rPr>
      </w:pPr>
    </w:p>
    <w:p>
      <w:pPr>
        <w:ind w:left="226" w:hanging="226"/>
        <w:spacing w:after="0"/>
        <w:tabs>
          <w:tab w:leader="none" w:pos="22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10-Q fully complies with the requirements of Section 13(a) or 15(d) of the Securities Exchange Act of 1934 (15 U.S.C. § 78m or § 78o(d)); and</w:t>
      </w:r>
    </w:p>
    <w:p>
      <w:pPr>
        <w:spacing w:after="0" w:line="188" w:lineRule="exact"/>
        <w:rPr>
          <w:rFonts w:ascii="Times New Roman" w:cs="Times New Roman" w:eastAsia="Times New Roman" w:hAnsi="Times New Roman"/>
          <w:sz w:val="16"/>
          <w:szCs w:val="16"/>
          <w:color w:val="auto"/>
        </w:rPr>
      </w:pPr>
    </w:p>
    <w:p>
      <w:pPr>
        <w:ind w:left="6" w:right="1040" w:hanging="6"/>
        <w:spacing w:after="0" w:line="510" w:lineRule="auto"/>
        <w:tabs>
          <w:tab w:leader="none" w:pos="21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10-Q fairly presents, in all material respects, the financial condition and results of operations of the Company. Dated: October 27,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268287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R. Andrew Watts</w:t>
      </w:r>
    </w:p>
    <w:p>
      <w:pPr>
        <w:spacing w:after="0" w:line="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636905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311" w:right="660" w:bottom="1440" w:gutter="0" w:footer="0" w:header="0"/>
        </w:sectPr>
      </w:pPr>
    </w:p>
    <w:bookmarkStart w:id="53" w:name="page54"/>
    <w:bookmarkEnd w:id="5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8" Type="http://schemas.openxmlformats.org/officeDocument/2006/relationships/hyperlink" Target="https://www.sec.gov/Archives/edgar/data/79282/000095017023000930/bro-ex3_1.htm" TargetMode="External"/><Relationship Id="rId59" Type="http://schemas.openxmlformats.org/officeDocument/2006/relationships/hyperlink" Target="https://www.sec.gov/Archives/edgar/data/79282/000095017023000930/bro-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2025-10-28T05:22:55Z</dcterms:created>
  <dcterms:modified xsi:type="dcterms:W3CDTF">2025-10-28T05:22:55Z</dcterms:modified>
</cp:coreProperties>
</file>