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BROWN &amp; BROWN,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Florida</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001-13619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59-0864469</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300 North Beach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Daytona Beach, Florida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32114</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(386) 252-9601</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$0.10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BRO</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October 26, 2026, Brown &amp; Brown, Inc. issued a press release announcing its results of operations for the third quarter ended September 30, 2026. A copy of the press release is furnished as Exhibit 99.1 hereto and is incorporated herein by reference.</w:t>
      </w:r>
    </w:p>
    <w:p>
      <w:pPr>
        <w:spacing w:after="0" w:line="162"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information furnished herewith pursuant to Item 2.02 of this Current Report, including Exhibit 99.1, shall not be deemed to be filed for the purposes of Section 18 of the Securities Exchange Act of 1934, as amended, or otherwise subject to the liabilities of that section. The information in this current report shall not be incorporated by reference into any registration statement or other document pursuant to the Securities Act of 1933, as amended, except as shall be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4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furnished herewith:</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0"/>
                <w:szCs w:val="20"/>
                <w:color w:val="auto"/>
              </w:rPr>
            </w:pPr>
          </w:p>
        </w:tc>
        <w:tc>
          <w:tcPr>
            <w:tcW w:w="99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91"/>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27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dated October 26, 2026.</w:t>
            </w:r>
          </w:p>
        </w:tc>
        <w:tc>
          <w:tcPr>
            <w:tcW w:w="20" w:type="dxa"/>
            <w:vAlign w:val="bottom"/>
            <w:tcBorders>
              <w:bottom w:val="single" w:sz="8" w:color="0000EE"/>
            </w:tcBorders>
          </w:tcPr>
          <w:p>
            <w:pPr>
              <w:spacing w:after="0"/>
              <w:rPr>
                <w:sz w:val="24"/>
                <w:szCs w:val="24"/>
                <w:color w:val="auto"/>
              </w:rPr>
            </w:pPr>
          </w:p>
        </w:tc>
        <w:tc>
          <w:tcPr>
            <w:tcW w:w="7120" w:type="dxa"/>
            <w:vAlign w:val="bottom"/>
          </w:tcPr>
          <w:p>
            <w:pPr>
              <w:spacing w:after="0"/>
              <w:rPr>
                <w:sz w:val="24"/>
                <w:szCs w:val="24"/>
                <w:color w:val="auto"/>
              </w:rPr>
            </w:pPr>
          </w:p>
        </w:tc>
      </w:tr>
      <w:tr>
        <w:trPr>
          <w:trHeight w:val="453"/>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9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979"/>
        </w:trPr>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BROWN &amp; BROWN, INC.</w:t>
      </w:r>
    </w:p>
    <w:p>
      <w:pPr>
        <w:spacing w:after="0" w:line="7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(Registrant)</w:t>
      </w:r>
    </w:p>
    <w:p>
      <w:pPr>
        <w:spacing w:after="0" w:line="90"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26, 2026</w:t>
      </w:r>
      <w:r>
        <w:rPr>
          <w:sz w:val="20"/>
          <w:szCs w:val="20"/>
          <w:color w:val="auto"/>
        </w:rPr>
        <w:tab/>
      </w:r>
      <w:r>
        <w:rPr>
          <w:rFonts w:ascii="Times New Roman" w:cs="Times New Roman" w:eastAsia="Times New Roman" w:hAnsi="Times New Roman"/>
          <w:sz w:val="18"/>
          <w:szCs w:val="18"/>
          <w:color w:val="auto"/>
        </w:rPr>
        <w:t>By:</w:t>
        <w:tab/>
        <w:t>/s/ R. Andrew Watts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 Andrew Watts, Executive Vice President and Chief Financial</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765" w:right="8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81915</wp:posOffset>
            </wp:positionV>
            <wp:extent cx="4483100" cy="6083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48310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Brown &amp; Brown, Inc. announces third quarter 2026 results,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including total revenues of $1.7 billion, an increase of 7.4%; growth of Organic Revenue of 1.2%; growth of Organic Revenue with Contingents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1.5%; diluted net income per share of $0.67; and Diluted Net Income Per Share - Adjusted of $1.07</w:t>
      </w:r>
    </w:p>
    <w:p>
      <w:pPr>
        <w:spacing w:after="0" w:line="200" w:lineRule="exact"/>
        <w:rPr>
          <w:sz w:val="20"/>
          <w:szCs w:val="20"/>
          <w:color w:val="auto"/>
        </w:rPr>
      </w:pPr>
    </w:p>
    <w:p>
      <w:pPr>
        <w:spacing w:after="0" w:line="21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DAYTONA BEACH, Fla., October 26, 2026 - </w:t>
      </w:r>
      <w:r>
        <w:rPr>
          <w:rFonts w:ascii="Times New Roman" w:cs="Times New Roman" w:eastAsia="Times New Roman" w:hAnsi="Times New Roman"/>
          <w:sz w:val="18"/>
          <w:szCs w:val="18"/>
          <w:color w:val="auto"/>
        </w:rPr>
        <w:t>Brown &amp; Brown, Inc. (NYSE:BRO) (the "Company") announced its unaudited financial results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 quarter of 2026.</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third quarter ended September 30, 2026, the Company achieved:</w:t>
      </w:r>
    </w:p>
    <w:p>
      <w:pPr>
        <w:spacing w:after="0" w:line="117" w:lineRule="exact"/>
        <w:rPr>
          <w:sz w:val="20"/>
          <w:szCs w:val="20"/>
          <w:color w:val="auto"/>
        </w:rPr>
      </w:pPr>
    </w:p>
    <w:p>
      <w:pPr>
        <w:ind w:left="102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of $1.7 billion, increasing $119 million, or 7.4%, compared to the third quarter of the prior year, with growth of Organic Revenue of 1.2% and growth of Organic Revenue with Contingents of 1.5%.</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before income taxes of $320 million, increasing 2.9%, with Income Before Income Taxes Margin of 18.6%, compared to 19.4% in the third quarter of the prior year.</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EBITDAC - Adjusted of $597 million, increasing 1.7%, with EBITDAC Margin - Adjusted of 34.6%, compared to 36.6% in the third quarter of the prior year.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attributable to the Company of $240 million, increasing $13 million, or 5.7%, compared to the third quarter of the prior year.</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net income per share of $0.67, a decrease of 1.5%, with Diluted Net Income Per Share - Adjusted increasing to $1.07, or 1.9%, each compared to the third quarter of the prior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30, 2026, the Company achieved:</w:t>
      </w:r>
    </w:p>
    <w:p>
      <w:pPr>
        <w:spacing w:after="0" w:line="131" w:lineRule="exact"/>
        <w:rPr>
          <w:sz w:val="20"/>
          <w:szCs w:val="20"/>
          <w:color w:val="auto"/>
        </w:rPr>
      </w:pPr>
    </w:p>
    <w:p>
      <w:pPr>
        <w:ind w:left="1020" w:right="60" w:hanging="503"/>
        <w:spacing w:after="0" w:line="282"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of $5.3 billion, increasing $1.0 billion, or 23.4%, compared to the same period in 2025, with growth of Organic Revenue of 0.3% and growth of Organic Revenue with Contingents of 1.5%.</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before income taxes of $1.2 billion, increasing 17.6%, with Income Before Income Taxes Margin of 23.3%, compared to 24.4% in the same period in 2025.</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EBITDAC - Adjusted of $1.9 billion, increasing 20.9%, with EBITDAC Margin - Adjusted of 36.3%, compared to 37.1% in the same period in 2025.</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attributable to the Company of $954 million, increasing $164 million, or 20.8%, compared to the same period in 2025.</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net income per share of $2.57, flat compared to the same period in 2025, with Diluted Net Income Per Share - Adjusted increasing to $3.52, or 5.7%, compared to the same period in 2025.</w:t>
      </w:r>
    </w:p>
    <w:p>
      <w:pPr>
        <w:spacing w:after="0" w:line="161" w:lineRule="exact"/>
        <w:rPr>
          <w:rFonts w:ascii="Times New Roman" w:cs="Times New Roman" w:eastAsia="Times New Roman" w:hAnsi="Times New Roman"/>
          <w:sz w:val="18"/>
          <w:szCs w:val="18"/>
          <w:color w:val="auto"/>
        </w:rPr>
      </w:pPr>
    </w:p>
    <w:p>
      <w:pPr>
        <w:ind w:right="40" w:firstLine="8"/>
        <w:spacing w:after="0" w:line="266" w:lineRule="auto"/>
        <w:tabs>
          <w:tab w:leader="none" w:pos="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Powell Brown, president and chief executive officer of the Company, noted, “The third quarter reflected the incredible efforts of our teammates to win more customers in spite of a challenging rate environment. Our capabilities were broadly enhanced by the addition of approximately 5,000 new teammates from Accession, just over a year ago.”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Commissions and Fees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 Organic Revenue and Organic Revenue with Contingents</w:t>
      </w:r>
    </w:p>
    <w:p>
      <w:pPr>
        <w:jc w:val="center"/>
        <w:spacing w:after="0"/>
        <w:rPr>
          <w:sz w:val="20"/>
          <w:szCs w:val="20"/>
          <w:color w:val="auto"/>
        </w:rPr>
      </w:pPr>
      <w:r>
        <w:rPr>
          <w:rFonts w:ascii="Times New Roman" w:cs="Times New Roman" w:eastAsia="Times New Roman" w:hAnsi="Times New Roman"/>
          <w:sz w:val="20"/>
          <w:szCs w:val="20"/>
          <w:b w:val="1"/>
          <w:bCs w:val="1"/>
          <w:color w:val="auto"/>
        </w:rPr>
        <w:t>(in millions, unaudited)</w:t>
      </w: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00" w:type="dxa"/>
            <w:vAlign w:val="bottom"/>
            <w:tcBorders>
              <w:bottom w:val="single" w:sz="8" w:color="95B3D7"/>
            </w:tcBorders>
            <w:shd w:val="clear" w:color="auto" w:fill="95B3D7"/>
          </w:tcPr>
          <w:p>
            <w:pPr>
              <w:spacing w:after="0"/>
              <w:rPr>
                <w:sz w:val="13"/>
                <w:szCs w:val="13"/>
                <w:color w:val="auto"/>
              </w:rPr>
            </w:pPr>
          </w:p>
        </w:tc>
        <w:tc>
          <w:tcPr>
            <w:tcW w:w="180" w:type="dxa"/>
            <w:vAlign w:val="bottom"/>
            <w:tcBorders>
              <w:bottom w:val="single" w:sz="8" w:color="95B3D7"/>
            </w:tcBorders>
            <w:shd w:val="clear" w:color="auto" w:fill="95B3D7"/>
          </w:tcPr>
          <w:p>
            <w:pPr>
              <w:spacing w:after="0"/>
              <w:rPr>
                <w:sz w:val="13"/>
                <w:szCs w:val="13"/>
                <w:color w:val="auto"/>
              </w:rPr>
            </w:pPr>
          </w:p>
        </w:tc>
        <w:tc>
          <w:tcPr>
            <w:tcW w:w="2860" w:type="dxa"/>
            <w:vAlign w:val="bottom"/>
            <w:tcBorders>
              <w:bottom w:val="single" w:sz="8" w:color="auto"/>
            </w:tcBorders>
            <w:gridSpan w:val="6"/>
            <w:shd w:val="clear" w:color="auto" w:fill="95B3D7"/>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Borders>
              <w:bottom w:val="single" w:sz="8" w:color="95B3D7"/>
            </w:tcBorders>
            <w:shd w:val="clear" w:color="auto" w:fill="95B3D7"/>
          </w:tcPr>
          <w:p>
            <w:pPr>
              <w:spacing w:after="0"/>
              <w:rPr>
                <w:sz w:val="13"/>
                <w:szCs w:val="13"/>
                <w:color w:val="auto"/>
              </w:rPr>
            </w:pPr>
          </w:p>
        </w:tc>
        <w:tc>
          <w:tcPr>
            <w:tcW w:w="140" w:type="dxa"/>
            <w:vAlign w:val="bottom"/>
            <w:tcBorders>
              <w:bottom w:val="single" w:sz="8" w:color="95B3D7"/>
            </w:tcBorders>
            <w:shd w:val="clear" w:color="auto" w:fill="95B3D7"/>
          </w:tcPr>
          <w:p>
            <w:pPr>
              <w:spacing w:after="0"/>
              <w:rPr>
                <w:sz w:val="13"/>
                <w:szCs w:val="13"/>
                <w:color w:val="auto"/>
              </w:rPr>
            </w:pPr>
          </w:p>
        </w:tc>
        <w:tc>
          <w:tcPr>
            <w:tcW w:w="140" w:type="dxa"/>
            <w:vAlign w:val="bottom"/>
            <w:tcBorders>
              <w:bottom w:val="single" w:sz="8" w:color="auto"/>
            </w:tcBorders>
            <w:shd w:val="clear" w:color="auto" w:fill="95B3D7"/>
          </w:tcPr>
          <w:p>
            <w:pPr>
              <w:spacing w:after="0"/>
              <w:rPr>
                <w:sz w:val="13"/>
                <w:szCs w:val="13"/>
                <w:color w:val="auto"/>
              </w:rPr>
            </w:pPr>
          </w:p>
        </w:tc>
        <w:tc>
          <w:tcPr>
            <w:tcW w:w="2420" w:type="dxa"/>
            <w:vAlign w:val="bottom"/>
            <w:tcBorders>
              <w:bottom w:val="single" w:sz="8" w:color="auto"/>
            </w:tcBorders>
            <w:gridSpan w:val="5"/>
            <w:shd w:val="clear" w:color="auto" w:fill="95B3D7"/>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Borders>
              <w:bottom w:val="single" w:sz="8" w:color="95B3D7"/>
            </w:tcBorders>
            <w:shd w:val="clear" w:color="auto" w:fill="95B3D7"/>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Borders>
              <w:bottom w:val="single" w:sz="8" w:color="95B3D7"/>
            </w:tcBorders>
            <w:shd w:val="clear" w:color="auto" w:fill="95B3D7"/>
          </w:tcPr>
          <w:p>
            <w:pPr>
              <w:spacing w:after="0"/>
              <w:rPr>
                <w:sz w:val="12"/>
                <w:szCs w:val="12"/>
                <w:color w:val="auto"/>
              </w:rPr>
            </w:pPr>
          </w:p>
        </w:tc>
        <w:tc>
          <w:tcPr>
            <w:tcW w:w="180" w:type="dxa"/>
            <w:vAlign w:val="bottom"/>
            <w:tcBorders>
              <w:bottom w:val="single" w:sz="8" w:color="95B3D7"/>
            </w:tcBorders>
            <w:shd w:val="clear" w:color="auto" w:fill="95B3D7"/>
          </w:tcPr>
          <w:p>
            <w:pPr>
              <w:spacing w:after="0"/>
              <w:rPr>
                <w:sz w:val="12"/>
                <w:szCs w:val="12"/>
                <w:color w:val="auto"/>
              </w:rPr>
            </w:pPr>
          </w:p>
        </w:tc>
        <w:tc>
          <w:tcPr>
            <w:tcW w:w="780" w:type="dxa"/>
            <w:vAlign w:val="bottom"/>
            <w:tcBorders>
              <w:bottom w:val="single" w:sz="8" w:color="auto"/>
            </w:tcBorders>
            <w:shd w:val="clear" w:color="auto" w:fill="95B3D7"/>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bottom w:val="single" w:sz="8" w:color="auto"/>
            </w:tcBorders>
            <w:shd w:val="clear" w:color="auto" w:fill="95B3D7"/>
          </w:tcPr>
          <w:p>
            <w:pPr>
              <w:spacing w:after="0"/>
              <w:rPr>
                <w:sz w:val="12"/>
                <w:szCs w:val="12"/>
                <w:color w:val="auto"/>
              </w:rPr>
            </w:pPr>
          </w:p>
        </w:tc>
        <w:tc>
          <w:tcPr>
            <w:tcW w:w="280" w:type="dxa"/>
            <w:vAlign w:val="bottom"/>
            <w:tcBorders>
              <w:bottom w:val="single" w:sz="8" w:color="95B3D7"/>
            </w:tcBorders>
            <w:shd w:val="clear" w:color="auto" w:fill="95B3D7"/>
          </w:tcPr>
          <w:p>
            <w:pPr>
              <w:spacing w:after="0"/>
              <w:rPr>
                <w:sz w:val="12"/>
                <w:szCs w:val="12"/>
                <w:color w:val="auto"/>
              </w:rPr>
            </w:pPr>
          </w:p>
        </w:tc>
        <w:tc>
          <w:tcPr>
            <w:tcW w:w="100" w:type="dxa"/>
            <w:vAlign w:val="bottom"/>
            <w:tcBorders>
              <w:bottom w:val="single" w:sz="8" w:color="95B3D7"/>
            </w:tcBorders>
            <w:shd w:val="clear" w:color="auto" w:fill="95B3D7"/>
          </w:tcPr>
          <w:p>
            <w:pPr>
              <w:spacing w:after="0"/>
              <w:rPr>
                <w:sz w:val="12"/>
                <w:szCs w:val="12"/>
                <w:color w:val="auto"/>
              </w:rPr>
            </w:pPr>
          </w:p>
        </w:tc>
        <w:tc>
          <w:tcPr>
            <w:tcW w:w="280" w:type="dxa"/>
            <w:vAlign w:val="bottom"/>
            <w:tcBorders>
              <w:bottom w:val="single" w:sz="8" w:color="auto"/>
            </w:tcBorders>
            <w:shd w:val="clear" w:color="auto" w:fill="95B3D7"/>
          </w:tcPr>
          <w:p>
            <w:pPr>
              <w:spacing w:after="0"/>
              <w:rPr>
                <w:sz w:val="12"/>
                <w:szCs w:val="12"/>
                <w:color w:val="auto"/>
              </w:rPr>
            </w:pPr>
          </w:p>
        </w:tc>
        <w:tc>
          <w:tcPr>
            <w:tcW w:w="960" w:type="dxa"/>
            <w:vAlign w:val="bottom"/>
            <w:tcBorders>
              <w:bottom w:val="single" w:sz="8" w:color="auto"/>
            </w:tcBorders>
            <w:shd w:val="clear" w:color="auto" w:fill="95B3D7"/>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95B3D7"/>
            </w:tcBorders>
            <w:shd w:val="clear" w:color="auto" w:fill="95B3D7"/>
          </w:tcPr>
          <w:p>
            <w:pPr>
              <w:spacing w:after="0"/>
              <w:rPr>
                <w:sz w:val="12"/>
                <w:szCs w:val="12"/>
                <w:color w:val="auto"/>
              </w:rPr>
            </w:pPr>
          </w:p>
        </w:tc>
        <w:tc>
          <w:tcPr>
            <w:tcW w:w="140" w:type="dxa"/>
            <w:vAlign w:val="bottom"/>
            <w:tcBorders>
              <w:bottom w:val="single" w:sz="8" w:color="95B3D7"/>
            </w:tcBorders>
            <w:shd w:val="clear" w:color="auto" w:fill="95B3D7"/>
          </w:tcPr>
          <w:p>
            <w:pPr>
              <w:spacing w:after="0"/>
              <w:rPr>
                <w:sz w:val="12"/>
                <w:szCs w:val="12"/>
                <w:color w:val="auto"/>
              </w:rPr>
            </w:pPr>
          </w:p>
        </w:tc>
        <w:tc>
          <w:tcPr>
            <w:tcW w:w="140" w:type="dxa"/>
            <w:vAlign w:val="bottom"/>
            <w:tcBorders>
              <w:bottom w:val="single" w:sz="8" w:color="auto"/>
            </w:tcBorders>
            <w:shd w:val="clear" w:color="auto" w:fill="95B3D7"/>
          </w:tcPr>
          <w:p>
            <w:pPr>
              <w:spacing w:after="0"/>
              <w:rPr>
                <w:sz w:val="12"/>
                <w:szCs w:val="12"/>
                <w:color w:val="auto"/>
              </w:rPr>
            </w:pPr>
          </w:p>
        </w:tc>
        <w:tc>
          <w:tcPr>
            <w:tcW w:w="980" w:type="dxa"/>
            <w:vAlign w:val="bottom"/>
            <w:tcBorders>
              <w:bottom w:val="single" w:sz="8" w:color="auto"/>
            </w:tcBorders>
            <w:shd w:val="clear" w:color="auto" w:fill="95B3D7"/>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bottom w:val="single" w:sz="8" w:color="95B3D7"/>
            </w:tcBorders>
            <w:shd w:val="clear" w:color="auto" w:fill="95B3D7"/>
          </w:tcPr>
          <w:p>
            <w:pPr>
              <w:spacing w:after="0"/>
              <w:rPr>
                <w:sz w:val="12"/>
                <w:szCs w:val="12"/>
                <w:color w:val="auto"/>
              </w:rPr>
            </w:pPr>
          </w:p>
        </w:tc>
        <w:tc>
          <w:tcPr>
            <w:tcW w:w="100" w:type="dxa"/>
            <w:vAlign w:val="bottom"/>
            <w:tcBorders>
              <w:bottom w:val="single" w:sz="8" w:color="95B3D7"/>
            </w:tcBorders>
            <w:shd w:val="clear" w:color="auto" w:fill="95B3D7"/>
          </w:tcPr>
          <w:p>
            <w:pPr>
              <w:spacing w:after="0"/>
              <w:rPr>
                <w:sz w:val="12"/>
                <w:szCs w:val="12"/>
                <w:color w:val="auto"/>
              </w:rPr>
            </w:pPr>
          </w:p>
        </w:tc>
        <w:tc>
          <w:tcPr>
            <w:tcW w:w="240" w:type="dxa"/>
            <w:vAlign w:val="bottom"/>
            <w:tcBorders>
              <w:bottom w:val="single" w:sz="8" w:color="auto"/>
            </w:tcBorders>
            <w:shd w:val="clear" w:color="auto" w:fill="95B3D7"/>
          </w:tcPr>
          <w:p>
            <w:pPr>
              <w:spacing w:after="0"/>
              <w:rPr>
                <w:sz w:val="12"/>
                <w:szCs w:val="12"/>
                <w:color w:val="auto"/>
              </w:rPr>
            </w:pPr>
          </w:p>
        </w:tc>
        <w:tc>
          <w:tcPr>
            <w:tcW w:w="820" w:type="dxa"/>
            <w:vAlign w:val="bottom"/>
            <w:tcBorders>
              <w:bottom w:val="single" w:sz="8" w:color="auto"/>
            </w:tcBorders>
            <w:shd w:val="clear" w:color="auto" w:fill="95B3D7"/>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95B3D7"/>
            </w:tcBorders>
            <w:shd w:val="clear" w:color="auto" w:fill="95B3D7"/>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00" w:type="dxa"/>
            <w:vAlign w:val="bottom"/>
            <w:shd w:val="clear" w:color="auto" w:fill="E9EDF4"/>
          </w:tcPr>
          <w:p>
            <w:pPr>
              <w:spacing w:after="0"/>
              <w:rPr>
                <w:sz w:val="20"/>
                <w:szCs w:val="20"/>
                <w:color w:val="auto"/>
              </w:rPr>
            </w:pPr>
            <w:r>
              <w:rPr>
                <w:rFonts w:ascii="Times New Roman" w:cs="Times New Roman" w:eastAsia="Times New Roman" w:hAnsi="Times New Roman"/>
                <w:sz w:val="18"/>
                <w:szCs w:val="18"/>
                <w:b w:val="1"/>
                <w:bCs w:val="1"/>
                <w:color w:val="auto"/>
              </w:rPr>
              <w:t>Commissions and fees</w:t>
            </w:r>
          </w:p>
        </w:tc>
        <w:tc>
          <w:tcPr>
            <w:tcW w:w="960" w:type="dxa"/>
            <w:vAlign w:val="bottom"/>
            <w:gridSpan w:val="2"/>
            <w:shd w:val="clear" w:color="auto" w:fill="E9EDF4"/>
          </w:tcPr>
          <w:p>
            <w:pPr>
              <w:jc w:val="right"/>
              <w:ind w:right="628"/>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1,700</w:t>
            </w:r>
          </w:p>
        </w:tc>
        <w:tc>
          <w:tcPr>
            <w:tcW w:w="280" w:type="dxa"/>
            <w:vAlign w:val="bottom"/>
            <w:shd w:val="clear" w:color="auto" w:fill="E9EDF4"/>
          </w:tcPr>
          <w:p>
            <w:pPr>
              <w:spacing w:after="0"/>
              <w:rPr>
                <w:sz w:val="18"/>
                <w:szCs w:val="18"/>
                <w:color w:val="auto"/>
              </w:rPr>
            </w:pPr>
          </w:p>
        </w:tc>
        <w:tc>
          <w:tcPr>
            <w:tcW w:w="380" w:type="dxa"/>
            <w:vAlign w:val="bottom"/>
            <w:gridSpan w:val="2"/>
            <w:shd w:val="clear" w:color="auto" w:fill="E9EDF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1,550</w:t>
            </w:r>
          </w:p>
        </w:tc>
        <w:tc>
          <w:tcPr>
            <w:tcW w:w="160" w:type="dxa"/>
            <w:vAlign w:val="bottom"/>
            <w:shd w:val="clear" w:color="auto" w:fill="E9EDF4"/>
          </w:tcPr>
          <w:p>
            <w:pPr>
              <w:spacing w:after="0"/>
              <w:rPr>
                <w:sz w:val="18"/>
                <w:szCs w:val="18"/>
                <w:color w:val="auto"/>
              </w:rPr>
            </w:pPr>
          </w:p>
        </w:tc>
        <w:tc>
          <w:tcPr>
            <w:tcW w:w="280" w:type="dxa"/>
            <w:vAlign w:val="bottom"/>
            <w:gridSpan w:val="2"/>
            <w:shd w:val="clear" w:color="auto" w:fill="E9EDF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5,234</w:t>
            </w:r>
          </w:p>
        </w:tc>
        <w:tc>
          <w:tcPr>
            <w:tcW w:w="280" w:type="dxa"/>
            <w:vAlign w:val="bottom"/>
            <w:shd w:val="clear" w:color="auto" w:fill="E9EDF4"/>
          </w:tcPr>
          <w:p>
            <w:pPr>
              <w:spacing w:after="0"/>
              <w:rPr>
                <w:sz w:val="18"/>
                <w:szCs w:val="18"/>
                <w:color w:val="auto"/>
              </w:rPr>
            </w:pPr>
          </w:p>
        </w:tc>
        <w:tc>
          <w:tcPr>
            <w:tcW w:w="340" w:type="dxa"/>
            <w:vAlign w:val="bottom"/>
            <w:gridSpan w:val="2"/>
            <w:shd w:val="clear" w:color="auto" w:fill="E9EDF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4,183</w:t>
            </w:r>
          </w:p>
        </w:tc>
        <w:tc>
          <w:tcPr>
            <w:tcW w:w="100" w:type="dxa"/>
            <w:vAlign w:val="bottom"/>
            <w:shd w:val="clear" w:color="auto" w:fill="E9EDF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D0D8E8"/>
          </w:tcPr>
          <w:p>
            <w:pPr>
              <w:ind w:left="80"/>
              <w:spacing w:after="0"/>
              <w:rPr>
                <w:sz w:val="20"/>
                <w:szCs w:val="20"/>
                <w:color w:val="auto"/>
              </w:rPr>
            </w:pPr>
            <w:r>
              <w:rPr>
                <w:rFonts w:ascii="Times New Roman" w:cs="Times New Roman" w:eastAsia="Times New Roman" w:hAnsi="Times New Roman"/>
                <w:sz w:val="18"/>
                <w:szCs w:val="18"/>
                <w:color w:val="auto"/>
              </w:rPr>
              <w:t>Contingents</w:t>
            </w:r>
          </w:p>
        </w:tc>
        <w:tc>
          <w:tcPr>
            <w:tcW w:w="180" w:type="dxa"/>
            <w:vAlign w:val="bottom"/>
            <w:shd w:val="clear" w:color="auto" w:fill="D0D8E8"/>
          </w:tcPr>
          <w:p>
            <w:pPr>
              <w:spacing w:after="0"/>
              <w:rPr>
                <w:sz w:val="18"/>
                <w:szCs w:val="18"/>
                <w:color w:val="auto"/>
              </w:rPr>
            </w:pPr>
          </w:p>
        </w:tc>
        <w:tc>
          <w:tcPr>
            <w:tcW w:w="780" w:type="dxa"/>
            <w:vAlign w:val="bottom"/>
            <w:shd w:val="clear" w:color="auto" w:fill="D0D8E8"/>
          </w:tcPr>
          <w:p>
            <w:pPr>
              <w:spacing w:after="0"/>
              <w:rPr>
                <w:sz w:val="18"/>
                <w:szCs w:val="18"/>
                <w:color w:val="auto"/>
              </w:rPr>
            </w:pPr>
          </w:p>
        </w:tc>
        <w:tc>
          <w:tcPr>
            <w:tcW w:w="740" w:type="dxa"/>
            <w:vAlign w:val="bottom"/>
            <w:gridSpan w:val="2"/>
            <w:shd w:val="clear" w:color="auto" w:fill="D0D8E8"/>
          </w:tcPr>
          <w:p>
            <w:pPr>
              <w:jc w:val="right"/>
              <w:ind w:right="24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D0D8E8"/>
          </w:tcPr>
          <w:p>
            <w:pPr>
              <w:spacing w:after="0"/>
              <w:rPr>
                <w:sz w:val="18"/>
                <w:szCs w:val="18"/>
                <w:color w:val="auto"/>
              </w:rPr>
            </w:pPr>
          </w:p>
        </w:tc>
        <w:tc>
          <w:tcPr>
            <w:tcW w:w="280" w:type="dxa"/>
            <w:vAlign w:val="bottom"/>
            <w:shd w:val="clear" w:color="auto" w:fill="D0D8E8"/>
          </w:tcPr>
          <w:p>
            <w:pPr>
              <w:spacing w:after="0"/>
              <w:rPr>
                <w:sz w:val="18"/>
                <w:szCs w:val="18"/>
                <w:color w:val="auto"/>
              </w:rPr>
            </w:pPr>
          </w:p>
        </w:tc>
        <w:tc>
          <w:tcPr>
            <w:tcW w:w="1120" w:type="dxa"/>
            <w:vAlign w:val="bottom"/>
            <w:gridSpan w:val="2"/>
            <w:shd w:val="clear" w:color="auto" w:fill="D0D8E8"/>
          </w:tcPr>
          <w:p>
            <w:pPr>
              <w:jc w:val="right"/>
              <w:ind w:right="120"/>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shd w:val="clear" w:color="auto" w:fill="D0D8E8"/>
          </w:tcPr>
          <w:p>
            <w:pPr>
              <w:spacing w:after="0"/>
              <w:rPr>
                <w:sz w:val="18"/>
                <w:szCs w:val="18"/>
                <w:color w:val="auto"/>
              </w:rPr>
            </w:pPr>
          </w:p>
        </w:tc>
        <w:tc>
          <w:tcPr>
            <w:tcW w:w="140" w:type="dxa"/>
            <w:vAlign w:val="bottom"/>
            <w:shd w:val="clear" w:color="auto" w:fill="D0D8E8"/>
          </w:tcPr>
          <w:p>
            <w:pPr>
              <w:spacing w:after="0"/>
              <w:rPr>
                <w:sz w:val="18"/>
                <w:szCs w:val="18"/>
                <w:color w:val="auto"/>
              </w:rPr>
            </w:pPr>
          </w:p>
        </w:tc>
        <w:tc>
          <w:tcPr>
            <w:tcW w:w="1260" w:type="dxa"/>
            <w:vAlign w:val="bottom"/>
            <w:gridSpan w:val="2"/>
            <w:shd w:val="clear" w:color="auto" w:fill="D0D8E8"/>
          </w:tcPr>
          <w:p>
            <w:pPr>
              <w:jc w:val="right"/>
              <w:ind w:right="240"/>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D0D8E8"/>
          </w:tcPr>
          <w:p>
            <w:pPr>
              <w:spacing w:after="0"/>
              <w:rPr>
                <w:sz w:val="18"/>
                <w:szCs w:val="18"/>
                <w:color w:val="auto"/>
              </w:rPr>
            </w:pPr>
          </w:p>
        </w:tc>
        <w:tc>
          <w:tcPr>
            <w:tcW w:w="240" w:type="dxa"/>
            <w:vAlign w:val="bottom"/>
            <w:shd w:val="clear" w:color="auto" w:fill="D0D8E8"/>
          </w:tcPr>
          <w:p>
            <w:pPr>
              <w:spacing w:after="0"/>
              <w:rPr>
                <w:sz w:val="18"/>
                <w:szCs w:val="18"/>
                <w:color w:val="auto"/>
              </w:rPr>
            </w:pPr>
          </w:p>
        </w:tc>
        <w:tc>
          <w:tcPr>
            <w:tcW w:w="920" w:type="dxa"/>
            <w:vAlign w:val="bottom"/>
            <w:gridSpan w:val="2"/>
            <w:shd w:val="clear" w:color="auto" w:fill="D0D8E8"/>
          </w:tcPr>
          <w:p>
            <w:pPr>
              <w:jc w:val="right"/>
              <w:ind w:right="4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00" w:type="dxa"/>
            <w:vAlign w:val="bottom"/>
            <w:shd w:val="clear" w:color="auto" w:fill="D0D8E8"/>
          </w:tcPr>
          <w:p>
            <w:pPr>
              <w:spacing w:after="0" w:line="20" w:lineRule="exact"/>
              <w:rPr>
                <w:sz w:val="1"/>
                <w:szCs w:val="1"/>
                <w:color w:val="auto"/>
              </w:rPr>
            </w:pPr>
          </w:p>
        </w:tc>
        <w:tc>
          <w:tcPr>
            <w:tcW w:w="180" w:type="dxa"/>
            <w:vAlign w:val="bottom"/>
            <w:shd w:val="clear" w:color="auto" w:fill="D0D8E8"/>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D0D8E8"/>
          </w:tcPr>
          <w:p>
            <w:pPr>
              <w:spacing w:after="0" w:line="20" w:lineRule="exact"/>
              <w:rPr>
                <w:sz w:val="1"/>
                <w:szCs w:val="1"/>
                <w:color w:val="auto"/>
              </w:rPr>
            </w:pPr>
          </w:p>
        </w:tc>
        <w:tc>
          <w:tcPr>
            <w:tcW w:w="100" w:type="dxa"/>
            <w:vAlign w:val="bottom"/>
            <w:shd w:val="clear" w:color="auto" w:fill="D0D8E8"/>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D0D8E8"/>
          </w:tcPr>
          <w:p>
            <w:pPr>
              <w:spacing w:after="0" w:line="20" w:lineRule="exact"/>
              <w:rPr>
                <w:sz w:val="1"/>
                <w:szCs w:val="1"/>
                <w:color w:val="auto"/>
              </w:rPr>
            </w:pPr>
          </w:p>
        </w:tc>
        <w:tc>
          <w:tcPr>
            <w:tcW w:w="140" w:type="dxa"/>
            <w:vAlign w:val="bottom"/>
            <w:shd w:val="clear" w:color="auto" w:fill="D0D8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D0D8E8"/>
          </w:tcPr>
          <w:p>
            <w:pPr>
              <w:spacing w:after="0" w:line="20" w:lineRule="exact"/>
              <w:rPr>
                <w:sz w:val="1"/>
                <w:szCs w:val="1"/>
                <w:color w:val="auto"/>
              </w:rPr>
            </w:pPr>
          </w:p>
        </w:tc>
        <w:tc>
          <w:tcPr>
            <w:tcW w:w="100" w:type="dxa"/>
            <w:vAlign w:val="bottom"/>
            <w:shd w:val="clear" w:color="auto" w:fill="D0D8E8"/>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D0D8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100" w:type="dxa"/>
            <w:vAlign w:val="bottom"/>
            <w:shd w:val="clear" w:color="auto" w:fill="E9EDF4"/>
          </w:tcPr>
          <w:p>
            <w:pPr>
              <w:spacing w:after="0"/>
              <w:rPr>
                <w:sz w:val="20"/>
                <w:szCs w:val="20"/>
                <w:color w:val="auto"/>
              </w:rPr>
            </w:pPr>
            <w:r>
              <w:rPr>
                <w:rFonts w:ascii="Times New Roman" w:cs="Times New Roman" w:eastAsia="Times New Roman" w:hAnsi="Times New Roman"/>
                <w:sz w:val="18"/>
                <w:szCs w:val="18"/>
                <w:b w:val="1"/>
                <w:bCs w:val="1"/>
                <w:color w:val="auto"/>
              </w:rPr>
              <w:t>Core commissions and fees</w:t>
            </w:r>
          </w:p>
        </w:tc>
        <w:tc>
          <w:tcPr>
            <w:tcW w:w="960" w:type="dxa"/>
            <w:vAlign w:val="bottom"/>
            <w:gridSpan w:val="2"/>
            <w:shd w:val="clear" w:color="auto" w:fill="E9EDF4"/>
          </w:tcPr>
          <w:p>
            <w:pPr>
              <w:jc w:val="right"/>
              <w:ind w:right="628"/>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1,620</w:t>
            </w:r>
          </w:p>
        </w:tc>
        <w:tc>
          <w:tcPr>
            <w:tcW w:w="280" w:type="dxa"/>
            <w:vAlign w:val="bottom"/>
            <w:shd w:val="clear" w:color="auto" w:fill="E9EDF4"/>
          </w:tcPr>
          <w:p>
            <w:pPr>
              <w:spacing w:after="0"/>
              <w:rPr>
                <w:sz w:val="18"/>
                <w:szCs w:val="18"/>
                <w:color w:val="auto"/>
              </w:rPr>
            </w:pPr>
          </w:p>
        </w:tc>
        <w:tc>
          <w:tcPr>
            <w:tcW w:w="380" w:type="dxa"/>
            <w:vAlign w:val="bottom"/>
            <w:gridSpan w:val="2"/>
            <w:shd w:val="clear" w:color="auto" w:fill="E9EDF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1,477</w:t>
            </w:r>
          </w:p>
        </w:tc>
        <w:tc>
          <w:tcPr>
            <w:tcW w:w="160" w:type="dxa"/>
            <w:vAlign w:val="bottom"/>
            <w:shd w:val="clear" w:color="auto" w:fill="E9EDF4"/>
          </w:tcPr>
          <w:p>
            <w:pPr>
              <w:spacing w:after="0"/>
              <w:rPr>
                <w:sz w:val="18"/>
                <w:szCs w:val="18"/>
                <w:color w:val="auto"/>
              </w:rPr>
            </w:pPr>
          </w:p>
        </w:tc>
        <w:tc>
          <w:tcPr>
            <w:tcW w:w="280" w:type="dxa"/>
            <w:vAlign w:val="bottom"/>
            <w:gridSpan w:val="2"/>
            <w:shd w:val="clear" w:color="auto" w:fill="E9EDF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4,972</w:t>
            </w:r>
          </w:p>
        </w:tc>
        <w:tc>
          <w:tcPr>
            <w:tcW w:w="280" w:type="dxa"/>
            <w:vAlign w:val="bottom"/>
            <w:shd w:val="clear" w:color="auto" w:fill="E9EDF4"/>
          </w:tcPr>
          <w:p>
            <w:pPr>
              <w:spacing w:after="0"/>
              <w:rPr>
                <w:sz w:val="18"/>
                <w:szCs w:val="18"/>
                <w:color w:val="auto"/>
              </w:rPr>
            </w:pPr>
          </w:p>
        </w:tc>
        <w:tc>
          <w:tcPr>
            <w:tcW w:w="340" w:type="dxa"/>
            <w:vAlign w:val="bottom"/>
            <w:gridSpan w:val="2"/>
            <w:shd w:val="clear" w:color="auto" w:fill="E9EDF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4,022</w:t>
            </w:r>
          </w:p>
        </w:tc>
        <w:tc>
          <w:tcPr>
            <w:tcW w:w="100" w:type="dxa"/>
            <w:vAlign w:val="bottom"/>
            <w:shd w:val="clear" w:color="auto" w:fill="E9EDF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D0D8E8"/>
          </w:tcPr>
          <w:p>
            <w:pPr>
              <w:ind w:left="80"/>
              <w:spacing w:after="0"/>
              <w:rPr>
                <w:sz w:val="20"/>
                <w:szCs w:val="20"/>
                <w:color w:val="auto"/>
              </w:rPr>
            </w:pPr>
            <w:r>
              <w:rPr>
                <w:rFonts w:ascii="Times New Roman" w:cs="Times New Roman" w:eastAsia="Times New Roman" w:hAnsi="Times New Roman"/>
                <w:sz w:val="18"/>
                <w:szCs w:val="18"/>
                <w:color w:val="auto"/>
              </w:rPr>
              <w:t>Acquisitions</w:t>
            </w:r>
          </w:p>
        </w:tc>
        <w:tc>
          <w:tcPr>
            <w:tcW w:w="180" w:type="dxa"/>
            <w:vAlign w:val="bottom"/>
            <w:shd w:val="clear" w:color="auto" w:fill="D0D8E8"/>
          </w:tcPr>
          <w:p>
            <w:pPr>
              <w:spacing w:after="0"/>
              <w:rPr>
                <w:sz w:val="18"/>
                <w:szCs w:val="18"/>
                <w:color w:val="auto"/>
              </w:rPr>
            </w:pPr>
          </w:p>
        </w:tc>
        <w:tc>
          <w:tcPr>
            <w:tcW w:w="780" w:type="dxa"/>
            <w:vAlign w:val="bottom"/>
            <w:shd w:val="clear" w:color="auto" w:fill="D0D8E8"/>
          </w:tcPr>
          <w:p>
            <w:pPr>
              <w:spacing w:after="0"/>
              <w:rPr>
                <w:sz w:val="18"/>
                <w:szCs w:val="18"/>
                <w:color w:val="auto"/>
              </w:rPr>
            </w:pPr>
          </w:p>
        </w:tc>
        <w:tc>
          <w:tcPr>
            <w:tcW w:w="740" w:type="dxa"/>
            <w:vAlign w:val="bottom"/>
            <w:gridSpan w:val="2"/>
            <w:shd w:val="clear" w:color="auto" w:fill="D0D8E8"/>
          </w:tcPr>
          <w:p>
            <w:pPr>
              <w:jc w:val="right"/>
              <w:ind w:right="240"/>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D0D8E8"/>
          </w:tcPr>
          <w:p>
            <w:pPr>
              <w:spacing w:after="0"/>
              <w:rPr>
                <w:sz w:val="18"/>
                <w:szCs w:val="18"/>
                <w:color w:val="auto"/>
              </w:rPr>
            </w:pPr>
          </w:p>
        </w:tc>
        <w:tc>
          <w:tcPr>
            <w:tcW w:w="280" w:type="dxa"/>
            <w:vAlign w:val="bottom"/>
            <w:shd w:val="clear" w:color="auto" w:fill="D0D8E8"/>
          </w:tcPr>
          <w:p>
            <w:pPr>
              <w:spacing w:after="0"/>
              <w:rPr>
                <w:sz w:val="18"/>
                <w:szCs w:val="18"/>
                <w:color w:val="auto"/>
              </w:rPr>
            </w:pPr>
          </w:p>
        </w:tc>
        <w:tc>
          <w:tcPr>
            <w:tcW w:w="960" w:type="dxa"/>
            <w:vAlign w:val="bottom"/>
            <w:shd w:val="clear" w:color="auto" w:fill="D0D8E8"/>
          </w:tcPr>
          <w:p>
            <w:pPr>
              <w:spacing w:after="0"/>
              <w:rPr>
                <w:sz w:val="18"/>
                <w:szCs w:val="18"/>
                <w:color w:val="auto"/>
              </w:rPr>
            </w:pPr>
          </w:p>
        </w:tc>
        <w:tc>
          <w:tcPr>
            <w:tcW w:w="160" w:type="dxa"/>
            <w:vAlign w:val="bottom"/>
            <w:shd w:val="clear" w:color="auto" w:fill="D0D8E8"/>
          </w:tcPr>
          <w:p>
            <w:pPr>
              <w:spacing w:after="0"/>
              <w:rPr>
                <w:sz w:val="18"/>
                <w:szCs w:val="18"/>
                <w:color w:val="auto"/>
              </w:rPr>
            </w:pPr>
          </w:p>
        </w:tc>
        <w:tc>
          <w:tcPr>
            <w:tcW w:w="140" w:type="dxa"/>
            <w:vAlign w:val="bottom"/>
            <w:shd w:val="clear" w:color="auto" w:fill="D0D8E8"/>
          </w:tcPr>
          <w:p>
            <w:pPr>
              <w:spacing w:after="0"/>
              <w:rPr>
                <w:sz w:val="18"/>
                <w:szCs w:val="18"/>
                <w:color w:val="auto"/>
              </w:rPr>
            </w:pPr>
          </w:p>
        </w:tc>
        <w:tc>
          <w:tcPr>
            <w:tcW w:w="140" w:type="dxa"/>
            <w:vAlign w:val="bottom"/>
            <w:shd w:val="clear" w:color="auto" w:fill="D0D8E8"/>
          </w:tcPr>
          <w:p>
            <w:pPr>
              <w:spacing w:after="0"/>
              <w:rPr>
                <w:sz w:val="18"/>
                <w:szCs w:val="18"/>
                <w:color w:val="auto"/>
              </w:rPr>
            </w:pPr>
          </w:p>
        </w:tc>
        <w:tc>
          <w:tcPr>
            <w:tcW w:w="1260" w:type="dxa"/>
            <w:vAlign w:val="bottom"/>
            <w:gridSpan w:val="2"/>
            <w:shd w:val="clear" w:color="auto" w:fill="D0D8E8"/>
          </w:tcPr>
          <w:p>
            <w:pPr>
              <w:jc w:val="right"/>
              <w:ind w:right="240"/>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shd w:val="clear" w:color="auto" w:fill="D0D8E8"/>
          </w:tcPr>
          <w:p>
            <w:pPr>
              <w:spacing w:after="0"/>
              <w:rPr>
                <w:sz w:val="18"/>
                <w:szCs w:val="18"/>
                <w:color w:val="auto"/>
              </w:rPr>
            </w:pPr>
          </w:p>
        </w:tc>
        <w:tc>
          <w:tcPr>
            <w:tcW w:w="240" w:type="dxa"/>
            <w:vAlign w:val="bottom"/>
            <w:shd w:val="clear" w:color="auto" w:fill="D0D8E8"/>
          </w:tcPr>
          <w:p>
            <w:pPr>
              <w:spacing w:after="0"/>
              <w:rPr>
                <w:sz w:val="18"/>
                <w:szCs w:val="18"/>
                <w:color w:val="auto"/>
              </w:rPr>
            </w:pPr>
          </w:p>
        </w:tc>
        <w:tc>
          <w:tcPr>
            <w:tcW w:w="820" w:type="dxa"/>
            <w:vAlign w:val="bottom"/>
            <w:shd w:val="clear" w:color="auto" w:fill="D0D8E8"/>
          </w:tcPr>
          <w:p>
            <w:pPr>
              <w:spacing w:after="0"/>
              <w:rPr>
                <w:sz w:val="18"/>
                <w:szCs w:val="18"/>
                <w:color w:val="auto"/>
              </w:rPr>
            </w:pPr>
          </w:p>
        </w:tc>
        <w:tc>
          <w:tcPr>
            <w:tcW w:w="100" w:type="dxa"/>
            <w:vAlign w:val="bottom"/>
            <w:shd w:val="clear" w:color="auto" w:fill="D0D8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E9EDF4"/>
          </w:tcPr>
          <w:p>
            <w:pPr>
              <w:ind w:left="80"/>
              <w:spacing w:after="0"/>
              <w:rPr>
                <w:sz w:val="20"/>
                <w:szCs w:val="20"/>
                <w:color w:val="auto"/>
              </w:rPr>
            </w:pPr>
            <w:r>
              <w:rPr>
                <w:rFonts w:ascii="Times New Roman" w:cs="Times New Roman" w:eastAsia="Times New Roman" w:hAnsi="Times New Roman"/>
                <w:sz w:val="18"/>
                <w:szCs w:val="18"/>
                <w:color w:val="auto"/>
              </w:rPr>
              <w:t>Dispositions</w:t>
            </w:r>
          </w:p>
        </w:tc>
        <w:tc>
          <w:tcPr>
            <w:tcW w:w="180" w:type="dxa"/>
            <w:vAlign w:val="bottom"/>
            <w:shd w:val="clear" w:color="auto" w:fill="E9EDF4"/>
          </w:tcPr>
          <w:p>
            <w:pPr>
              <w:spacing w:after="0"/>
              <w:rPr>
                <w:sz w:val="18"/>
                <w:szCs w:val="18"/>
                <w:color w:val="auto"/>
              </w:rPr>
            </w:pPr>
          </w:p>
        </w:tc>
        <w:tc>
          <w:tcPr>
            <w:tcW w:w="780" w:type="dxa"/>
            <w:vAlign w:val="bottom"/>
            <w:shd w:val="clear" w:color="auto" w:fill="E9EDF4"/>
          </w:tcPr>
          <w:p>
            <w:pPr>
              <w:spacing w:after="0"/>
              <w:rPr>
                <w:sz w:val="18"/>
                <w:szCs w:val="18"/>
                <w:color w:val="auto"/>
              </w:rPr>
            </w:pPr>
          </w:p>
        </w:tc>
        <w:tc>
          <w:tcPr>
            <w:tcW w:w="460" w:type="dxa"/>
            <w:vAlign w:val="bottom"/>
            <w:shd w:val="clear" w:color="auto" w:fill="E9EDF4"/>
          </w:tcPr>
          <w:p>
            <w:pPr>
              <w:spacing w:after="0"/>
              <w:rPr>
                <w:sz w:val="18"/>
                <w:szCs w:val="18"/>
                <w:color w:val="auto"/>
              </w:rPr>
            </w:pPr>
          </w:p>
        </w:tc>
        <w:tc>
          <w:tcPr>
            <w:tcW w:w="280" w:type="dxa"/>
            <w:vAlign w:val="bottom"/>
            <w:shd w:val="clear" w:color="auto" w:fill="E9EDF4"/>
          </w:tcPr>
          <w:p>
            <w:pPr>
              <w:spacing w:after="0"/>
              <w:rPr>
                <w:sz w:val="18"/>
                <w:szCs w:val="18"/>
                <w:color w:val="auto"/>
              </w:rPr>
            </w:pPr>
          </w:p>
        </w:tc>
        <w:tc>
          <w:tcPr>
            <w:tcW w:w="100" w:type="dxa"/>
            <w:vAlign w:val="bottom"/>
            <w:shd w:val="clear" w:color="auto" w:fill="E9EDF4"/>
          </w:tcPr>
          <w:p>
            <w:pPr>
              <w:spacing w:after="0"/>
              <w:rPr>
                <w:sz w:val="18"/>
                <w:szCs w:val="18"/>
                <w:color w:val="auto"/>
              </w:rPr>
            </w:pPr>
          </w:p>
        </w:tc>
        <w:tc>
          <w:tcPr>
            <w:tcW w:w="280" w:type="dxa"/>
            <w:vAlign w:val="bottom"/>
            <w:shd w:val="clear" w:color="auto" w:fill="E9EDF4"/>
          </w:tcPr>
          <w:p>
            <w:pPr>
              <w:spacing w:after="0"/>
              <w:rPr>
                <w:sz w:val="18"/>
                <w:szCs w:val="18"/>
                <w:color w:val="auto"/>
              </w:rPr>
            </w:pPr>
          </w:p>
        </w:tc>
        <w:tc>
          <w:tcPr>
            <w:tcW w:w="1120" w:type="dxa"/>
            <w:vAlign w:val="bottom"/>
            <w:gridSpan w:val="2"/>
            <w:shd w:val="clear" w:color="auto" w:fill="E9EDF4"/>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E9EDF4"/>
          </w:tcPr>
          <w:p>
            <w:pPr>
              <w:spacing w:after="0"/>
              <w:rPr>
                <w:sz w:val="18"/>
                <w:szCs w:val="18"/>
                <w:color w:val="auto"/>
              </w:rPr>
            </w:pPr>
          </w:p>
        </w:tc>
        <w:tc>
          <w:tcPr>
            <w:tcW w:w="140" w:type="dxa"/>
            <w:vAlign w:val="bottom"/>
            <w:shd w:val="clear" w:color="auto" w:fill="E9EDF4"/>
          </w:tcPr>
          <w:p>
            <w:pPr>
              <w:spacing w:after="0"/>
              <w:rPr>
                <w:sz w:val="18"/>
                <w:szCs w:val="18"/>
                <w:color w:val="auto"/>
              </w:rPr>
            </w:pPr>
          </w:p>
        </w:tc>
        <w:tc>
          <w:tcPr>
            <w:tcW w:w="980" w:type="dxa"/>
            <w:vAlign w:val="bottom"/>
            <w:shd w:val="clear" w:color="auto" w:fill="E9EDF4"/>
          </w:tcPr>
          <w:p>
            <w:pPr>
              <w:spacing w:after="0"/>
              <w:rPr>
                <w:sz w:val="18"/>
                <w:szCs w:val="18"/>
                <w:color w:val="auto"/>
              </w:rPr>
            </w:pPr>
          </w:p>
        </w:tc>
        <w:tc>
          <w:tcPr>
            <w:tcW w:w="280" w:type="dxa"/>
            <w:vAlign w:val="bottom"/>
            <w:shd w:val="clear" w:color="auto" w:fill="E9EDF4"/>
          </w:tcPr>
          <w:p>
            <w:pPr>
              <w:spacing w:after="0"/>
              <w:rPr>
                <w:sz w:val="18"/>
                <w:szCs w:val="18"/>
                <w:color w:val="auto"/>
              </w:rPr>
            </w:pPr>
          </w:p>
        </w:tc>
        <w:tc>
          <w:tcPr>
            <w:tcW w:w="100" w:type="dxa"/>
            <w:vAlign w:val="bottom"/>
            <w:shd w:val="clear" w:color="auto" w:fill="E9EDF4"/>
          </w:tcPr>
          <w:p>
            <w:pPr>
              <w:spacing w:after="0"/>
              <w:rPr>
                <w:sz w:val="18"/>
                <w:szCs w:val="18"/>
                <w:color w:val="auto"/>
              </w:rPr>
            </w:pPr>
          </w:p>
        </w:tc>
        <w:tc>
          <w:tcPr>
            <w:tcW w:w="240" w:type="dxa"/>
            <w:vAlign w:val="bottom"/>
            <w:shd w:val="clear" w:color="auto" w:fill="E9EDF4"/>
          </w:tcPr>
          <w:p>
            <w:pPr>
              <w:spacing w:after="0"/>
              <w:rPr>
                <w:sz w:val="18"/>
                <w:szCs w:val="18"/>
                <w:color w:val="auto"/>
              </w:rPr>
            </w:pPr>
          </w:p>
        </w:tc>
        <w:tc>
          <w:tcPr>
            <w:tcW w:w="920" w:type="dxa"/>
            <w:vAlign w:val="bottom"/>
            <w:gridSpan w:val="2"/>
            <w:shd w:val="clear" w:color="auto" w:fill="E9EDF4"/>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D0D8E8"/>
          </w:tcPr>
          <w:p>
            <w:pPr>
              <w:ind w:left="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80" w:type="dxa"/>
            <w:vAlign w:val="bottom"/>
            <w:shd w:val="clear" w:color="auto" w:fill="D0D8E8"/>
          </w:tcPr>
          <w:p>
            <w:pPr>
              <w:spacing w:after="0"/>
              <w:rPr>
                <w:sz w:val="18"/>
                <w:szCs w:val="18"/>
                <w:color w:val="auto"/>
              </w:rPr>
            </w:pPr>
          </w:p>
        </w:tc>
        <w:tc>
          <w:tcPr>
            <w:tcW w:w="780" w:type="dxa"/>
            <w:vAlign w:val="bottom"/>
            <w:shd w:val="clear" w:color="auto" w:fill="D0D8E8"/>
          </w:tcPr>
          <w:p>
            <w:pPr>
              <w:spacing w:after="0"/>
              <w:rPr>
                <w:sz w:val="18"/>
                <w:szCs w:val="18"/>
                <w:color w:val="auto"/>
              </w:rPr>
            </w:pPr>
          </w:p>
        </w:tc>
        <w:tc>
          <w:tcPr>
            <w:tcW w:w="460" w:type="dxa"/>
            <w:vAlign w:val="bottom"/>
            <w:shd w:val="clear" w:color="auto" w:fill="D0D8E8"/>
          </w:tcPr>
          <w:p>
            <w:pPr>
              <w:spacing w:after="0"/>
              <w:rPr>
                <w:sz w:val="18"/>
                <w:szCs w:val="18"/>
                <w:color w:val="auto"/>
              </w:rPr>
            </w:pPr>
          </w:p>
        </w:tc>
        <w:tc>
          <w:tcPr>
            <w:tcW w:w="280" w:type="dxa"/>
            <w:vAlign w:val="bottom"/>
            <w:shd w:val="clear" w:color="auto" w:fill="D0D8E8"/>
          </w:tcPr>
          <w:p>
            <w:pPr>
              <w:spacing w:after="0"/>
              <w:rPr>
                <w:sz w:val="18"/>
                <w:szCs w:val="18"/>
                <w:color w:val="auto"/>
              </w:rPr>
            </w:pPr>
          </w:p>
        </w:tc>
        <w:tc>
          <w:tcPr>
            <w:tcW w:w="100" w:type="dxa"/>
            <w:vAlign w:val="bottom"/>
            <w:shd w:val="clear" w:color="auto" w:fill="D0D8E8"/>
          </w:tcPr>
          <w:p>
            <w:pPr>
              <w:spacing w:after="0"/>
              <w:rPr>
                <w:sz w:val="18"/>
                <w:szCs w:val="18"/>
                <w:color w:val="auto"/>
              </w:rPr>
            </w:pPr>
          </w:p>
        </w:tc>
        <w:tc>
          <w:tcPr>
            <w:tcW w:w="280" w:type="dxa"/>
            <w:vAlign w:val="bottom"/>
            <w:shd w:val="clear" w:color="auto" w:fill="D0D8E8"/>
          </w:tcPr>
          <w:p>
            <w:pPr>
              <w:spacing w:after="0"/>
              <w:rPr>
                <w:sz w:val="18"/>
                <w:szCs w:val="18"/>
                <w:color w:val="auto"/>
              </w:rPr>
            </w:pPr>
          </w:p>
        </w:tc>
        <w:tc>
          <w:tcPr>
            <w:tcW w:w="1120" w:type="dxa"/>
            <w:vAlign w:val="bottom"/>
            <w:gridSpan w:val="2"/>
            <w:shd w:val="clear" w:color="auto" w:fill="D0D8E8"/>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D0D8E8"/>
          </w:tcPr>
          <w:p>
            <w:pPr>
              <w:spacing w:after="0"/>
              <w:rPr>
                <w:sz w:val="18"/>
                <w:szCs w:val="18"/>
                <w:color w:val="auto"/>
              </w:rPr>
            </w:pPr>
          </w:p>
        </w:tc>
        <w:tc>
          <w:tcPr>
            <w:tcW w:w="140" w:type="dxa"/>
            <w:vAlign w:val="bottom"/>
            <w:shd w:val="clear" w:color="auto" w:fill="D0D8E8"/>
          </w:tcPr>
          <w:p>
            <w:pPr>
              <w:spacing w:after="0"/>
              <w:rPr>
                <w:sz w:val="18"/>
                <w:szCs w:val="18"/>
                <w:color w:val="auto"/>
              </w:rPr>
            </w:pPr>
          </w:p>
        </w:tc>
        <w:tc>
          <w:tcPr>
            <w:tcW w:w="980" w:type="dxa"/>
            <w:vAlign w:val="bottom"/>
            <w:shd w:val="clear" w:color="auto" w:fill="D0D8E8"/>
          </w:tcPr>
          <w:p>
            <w:pPr>
              <w:spacing w:after="0"/>
              <w:rPr>
                <w:sz w:val="18"/>
                <w:szCs w:val="18"/>
                <w:color w:val="auto"/>
              </w:rPr>
            </w:pPr>
          </w:p>
        </w:tc>
        <w:tc>
          <w:tcPr>
            <w:tcW w:w="280" w:type="dxa"/>
            <w:vAlign w:val="bottom"/>
            <w:shd w:val="clear" w:color="auto" w:fill="D0D8E8"/>
          </w:tcPr>
          <w:p>
            <w:pPr>
              <w:spacing w:after="0"/>
              <w:rPr>
                <w:sz w:val="18"/>
                <w:szCs w:val="18"/>
                <w:color w:val="auto"/>
              </w:rPr>
            </w:pPr>
          </w:p>
        </w:tc>
        <w:tc>
          <w:tcPr>
            <w:tcW w:w="100" w:type="dxa"/>
            <w:vAlign w:val="bottom"/>
            <w:shd w:val="clear" w:color="auto" w:fill="D0D8E8"/>
          </w:tcPr>
          <w:p>
            <w:pPr>
              <w:spacing w:after="0"/>
              <w:rPr>
                <w:sz w:val="18"/>
                <w:szCs w:val="18"/>
                <w:color w:val="auto"/>
              </w:rPr>
            </w:pPr>
          </w:p>
        </w:tc>
        <w:tc>
          <w:tcPr>
            <w:tcW w:w="240" w:type="dxa"/>
            <w:vAlign w:val="bottom"/>
            <w:shd w:val="clear" w:color="auto" w:fill="D0D8E8"/>
          </w:tcPr>
          <w:p>
            <w:pPr>
              <w:spacing w:after="0"/>
              <w:rPr>
                <w:sz w:val="18"/>
                <w:szCs w:val="18"/>
                <w:color w:val="auto"/>
              </w:rPr>
            </w:pPr>
          </w:p>
        </w:tc>
        <w:tc>
          <w:tcPr>
            <w:tcW w:w="82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D0D8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E9EDF4"/>
          </w:tcPr>
          <w:p>
            <w:pPr>
              <w:ind w:left="80"/>
              <w:spacing w:after="0"/>
              <w:rPr>
                <w:sz w:val="20"/>
                <w:szCs w:val="20"/>
                <w:color w:val="auto"/>
              </w:rPr>
            </w:pPr>
            <w:r>
              <w:rPr>
                <w:rFonts w:ascii="Times New Roman" w:cs="Times New Roman" w:eastAsia="Times New Roman" w:hAnsi="Times New Roman"/>
                <w:sz w:val="18"/>
                <w:szCs w:val="18"/>
                <w:color w:val="auto"/>
              </w:rPr>
              <w:t>Litigation-Related Impact</w:t>
            </w:r>
          </w:p>
        </w:tc>
        <w:tc>
          <w:tcPr>
            <w:tcW w:w="180" w:type="dxa"/>
            <w:vAlign w:val="bottom"/>
            <w:shd w:val="clear" w:color="auto" w:fill="E9EDF4"/>
          </w:tcPr>
          <w:p>
            <w:pPr>
              <w:spacing w:after="0"/>
              <w:rPr>
                <w:sz w:val="18"/>
                <w:szCs w:val="18"/>
                <w:color w:val="auto"/>
              </w:rPr>
            </w:pPr>
          </w:p>
        </w:tc>
        <w:tc>
          <w:tcPr>
            <w:tcW w:w="780" w:type="dxa"/>
            <w:vAlign w:val="bottom"/>
            <w:shd w:val="clear" w:color="auto" w:fill="E9EDF4"/>
          </w:tcPr>
          <w:p>
            <w:pPr>
              <w:spacing w:after="0"/>
              <w:rPr>
                <w:sz w:val="18"/>
                <w:szCs w:val="18"/>
                <w:color w:val="auto"/>
              </w:rPr>
            </w:pPr>
          </w:p>
        </w:tc>
        <w:tc>
          <w:tcPr>
            <w:tcW w:w="460" w:type="dxa"/>
            <w:vAlign w:val="bottom"/>
            <w:shd w:val="clear" w:color="auto" w:fill="E9EDF4"/>
          </w:tcPr>
          <w:p>
            <w:pPr>
              <w:spacing w:after="0"/>
              <w:rPr>
                <w:sz w:val="18"/>
                <w:szCs w:val="18"/>
                <w:color w:val="auto"/>
              </w:rPr>
            </w:pPr>
          </w:p>
        </w:tc>
        <w:tc>
          <w:tcPr>
            <w:tcW w:w="280" w:type="dxa"/>
            <w:vAlign w:val="bottom"/>
            <w:shd w:val="clear" w:color="auto" w:fill="E9EDF4"/>
          </w:tcPr>
          <w:p>
            <w:pPr>
              <w:spacing w:after="0"/>
              <w:rPr>
                <w:sz w:val="18"/>
                <w:szCs w:val="18"/>
                <w:color w:val="auto"/>
              </w:rPr>
            </w:pPr>
          </w:p>
        </w:tc>
        <w:tc>
          <w:tcPr>
            <w:tcW w:w="100" w:type="dxa"/>
            <w:vAlign w:val="bottom"/>
            <w:shd w:val="clear" w:color="auto" w:fill="E9EDF4"/>
          </w:tcPr>
          <w:p>
            <w:pPr>
              <w:spacing w:after="0"/>
              <w:rPr>
                <w:sz w:val="18"/>
                <w:szCs w:val="18"/>
                <w:color w:val="auto"/>
              </w:rPr>
            </w:pPr>
          </w:p>
        </w:tc>
        <w:tc>
          <w:tcPr>
            <w:tcW w:w="280" w:type="dxa"/>
            <w:vAlign w:val="bottom"/>
            <w:shd w:val="clear" w:color="auto" w:fill="E9EDF4"/>
          </w:tcPr>
          <w:p>
            <w:pPr>
              <w:spacing w:after="0"/>
              <w:rPr>
                <w:sz w:val="18"/>
                <w:szCs w:val="18"/>
                <w:color w:val="auto"/>
              </w:rPr>
            </w:pPr>
          </w:p>
        </w:tc>
        <w:tc>
          <w:tcPr>
            <w:tcW w:w="1120" w:type="dxa"/>
            <w:vAlign w:val="bottom"/>
            <w:gridSpan w:val="2"/>
            <w:shd w:val="clear" w:color="auto" w:fill="E9EDF4"/>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E9EDF4"/>
          </w:tcPr>
          <w:p>
            <w:pPr>
              <w:spacing w:after="0"/>
              <w:rPr>
                <w:sz w:val="18"/>
                <w:szCs w:val="18"/>
                <w:color w:val="auto"/>
              </w:rPr>
            </w:pPr>
          </w:p>
        </w:tc>
        <w:tc>
          <w:tcPr>
            <w:tcW w:w="140" w:type="dxa"/>
            <w:vAlign w:val="bottom"/>
            <w:shd w:val="clear" w:color="auto" w:fill="E9EDF4"/>
          </w:tcPr>
          <w:p>
            <w:pPr>
              <w:spacing w:after="0"/>
              <w:rPr>
                <w:sz w:val="18"/>
                <w:szCs w:val="18"/>
                <w:color w:val="auto"/>
              </w:rPr>
            </w:pPr>
          </w:p>
        </w:tc>
        <w:tc>
          <w:tcPr>
            <w:tcW w:w="980" w:type="dxa"/>
            <w:vAlign w:val="bottom"/>
            <w:shd w:val="clear" w:color="auto" w:fill="E9EDF4"/>
          </w:tcPr>
          <w:p>
            <w:pPr>
              <w:spacing w:after="0"/>
              <w:rPr>
                <w:sz w:val="18"/>
                <w:szCs w:val="18"/>
                <w:color w:val="auto"/>
              </w:rPr>
            </w:pPr>
          </w:p>
        </w:tc>
        <w:tc>
          <w:tcPr>
            <w:tcW w:w="280" w:type="dxa"/>
            <w:vAlign w:val="bottom"/>
            <w:shd w:val="clear" w:color="auto" w:fill="E9EDF4"/>
          </w:tcPr>
          <w:p>
            <w:pPr>
              <w:spacing w:after="0"/>
              <w:rPr>
                <w:sz w:val="18"/>
                <w:szCs w:val="18"/>
                <w:color w:val="auto"/>
              </w:rPr>
            </w:pPr>
          </w:p>
        </w:tc>
        <w:tc>
          <w:tcPr>
            <w:tcW w:w="100" w:type="dxa"/>
            <w:vAlign w:val="bottom"/>
            <w:shd w:val="clear" w:color="auto" w:fill="E9EDF4"/>
          </w:tcPr>
          <w:p>
            <w:pPr>
              <w:spacing w:after="0"/>
              <w:rPr>
                <w:sz w:val="18"/>
                <w:szCs w:val="18"/>
                <w:color w:val="auto"/>
              </w:rPr>
            </w:pPr>
          </w:p>
        </w:tc>
        <w:tc>
          <w:tcPr>
            <w:tcW w:w="240" w:type="dxa"/>
            <w:vAlign w:val="bottom"/>
            <w:shd w:val="clear" w:color="auto" w:fill="E9EDF4"/>
          </w:tcPr>
          <w:p>
            <w:pPr>
              <w:spacing w:after="0"/>
              <w:rPr>
                <w:sz w:val="18"/>
                <w:szCs w:val="18"/>
                <w:color w:val="auto"/>
              </w:rPr>
            </w:pPr>
          </w:p>
        </w:tc>
        <w:tc>
          <w:tcPr>
            <w:tcW w:w="920" w:type="dxa"/>
            <w:vAlign w:val="bottom"/>
            <w:gridSpan w:val="2"/>
            <w:shd w:val="clear" w:color="auto" w:fill="E9EDF4"/>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00" w:type="dxa"/>
            <w:vAlign w:val="bottom"/>
            <w:shd w:val="clear" w:color="auto" w:fill="E9EDF4"/>
          </w:tcPr>
          <w:p>
            <w:pPr>
              <w:spacing w:after="0" w:line="20" w:lineRule="exact"/>
              <w:rPr>
                <w:sz w:val="1"/>
                <w:szCs w:val="1"/>
                <w:color w:val="auto"/>
              </w:rPr>
            </w:pPr>
          </w:p>
        </w:tc>
        <w:tc>
          <w:tcPr>
            <w:tcW w:w="180" w:type="dxa"/>
            <w:vAlign w:val="bottom"/>
            <w:shd w:val="clear" w:color="auto" w:fill="E9EDF4"/>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E9EDF4"/>
          </w:tcPr>
          <w:p>
            <w:pPr>
              <w:spacing w:after="0" w:line="20" w:lineRule="exact"/>
              <w:rPr>
                <w:sz w:val="1"/>
                <w:szCs w:val="1"/>
                <w:color w:val="auto"/>
              </w:rPr>
            </w:pPr>
          </w:p>
        </w:tc>
        <w:tc>
          <w:tcPr>
            <w:tcW w:w="100" w:type="dxa"/>
            <w:vAlign w:val="bottom"/>
            <w:shd w:val="clear" w:color="auto" w:fill="E9EDF4"/>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E9EDF4"/>
          </w:tcPr>
          <w:p>
            <w:pPr>
              <w:spacing w:after="0" w:line="20" w:lineRule="exact"/>
              <w:rPr>
                <w:sz w:val="1"/>
                <w:szCs w:val="1"/>
                <w:color w:val="auto"/>
              </w:rPr>
            </w:pPr>
          </w:p>
        </w:tc>
        <w:tc>
          <w:tcPr>
            <w:tcW w:w="140" w:type="dxa"/>
            <w:vAlign w:val="bottom"/>
            <w:shd w:val="clear" w:color="auto" w:fill="E9EDF4"/>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E9EDF4"/>
          </w:tcPr>
          <w:p>
            <w:pPr>
              <w:spacing w:after="0" w:line="20" w:lineRule="exact"/>
              <w:rPr>
                <w:sz w:val="1"/>
                <w:szCs w:val="1"/>
                <w:color w:val="auto"/>
              </w:rPr>
            </w:pPr>
          </w:p>
        </w:tc>
        <w:tc>
          <w:tcPr>
            <w:tcW w:w="100" w:type="dxa"/>
            <w:vAlign w:val="bottom"/>
            <w:shd w:val="clear" w:color="auto" w:fill="E9EDF4"/>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E9EDF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100" w:type="dxa"/>
            <w:vAlign w:val="bottom"/>
            <w:shd w:val="clear" w:color="auto" w:fill="D0D8E8"/>
          </w:tcPr>
          <w:p>
            <w:pPr>
              <w:spacing w:after="0"/>
              <w:rPr>
                <w:sz w:val="20"/>
                <w:szCs w:val="20"/>
                <w:color w:val="auto"/>
              </w:rPr>
            </w:pPr>
            <w:r>
              <w:rPr>
                <w:rFonts w:ascii="Times New Roman" w:cs="Times New Roman" w:eastAsia="Times New Roman" w:hAnsi="Times New Roman"/>
                <w:sz w:val="18"/>
                <w:szCs w:val="18"/>
                <w:b w:val="1"/>
                <w:bCs w:val="1"/>
                <w:color w:val="auto"/>
              </w:rPr>
              <w:t>Organic Revenue</w:t>
            </w:r>
          </w:p>
        </w:tc>
        <w:tc>
          <w:tcPr>
            <w:tcW w:w="960" w:type="dxa"/>
            <w:vAlign w:val="bottom"/>
            <w:gridSpan w:val="2"/>
            <w:shd w:val="clear" w:color="auto" w:fill="D0D8E8"/>
          </w:tcPr>
          <w:p>
            <w:pPr>
              <w:jc w:val="right"/>
              <w:ind w:right="628"/>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b w:val="1"/>
                <w:bCs w:val="1"/>
                <w:color w:val="auto"/>
              </w:rPr>
              <w:t>1,464</w:t>
            </w:r>
          </w:p>
        </w:tc>
        <w:tc>
          <w:tcPr>
            <w:tcW w:w="280" w:type="dxa"/>
            <w:vAlign w:val="bottom"/>
            <w:shd w:val="clear" w:color="auto" w:fill="D0D8E8"/>
          </w:tcPr>
          <w:p>
            <w:pPr>
              <w:spacing w:after="0"/>
              <w:rPr>
                <w:sz w:val="18"/>
                <w:szCs w:val="18"/>
                <w:color w:val="auto"/>
              </w:rPr>
            </w:pPr>
          </w:p>
        </w:tc>
        <w:tc>
          <w:tcPr>
            <w:tcW w:w="380" w:type="dxa"/>
            <w:vAlign w:val="bottom"/>
            <w:gridSpan w:val="2"/>
            <w:shd w:val="clear" w:color="auto" w:fill="D0D8E8"/>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b w:val="1"/>
                <w:bCs w:val="1"/>
                <w:color w:val="auto"/>
              </w:rPr>
              <w:t>1,447</w:t>
            </w:r>
          </w:p>
        </w:tc>
        <w:tc>
          <w:tcPr>
            <w:tcW w:w="160" w:type="dxa"/>
            <w:vAlign w:val="bottom"/>
            <w:shd w:val="clear" w:color="auto" w:fill="D0D8E8"/>
          </w:tcPr>
          <w:p>
            <w:pPr>
              <w:spacing w:after="0"/>
              <w:rPr>
                <w:sz w:val="18"/>
                <w:szCs w:val="18"/>
                <w:color w:val="auto"/>
              </w:rPr>
            </w:pPr>
          </w:p>
        </w:tc>
        <w:tc>
          <w:tcPr>
            <w:tcW w:w="280" w:type="dxa"/>
            <w:vAlign w:val="bottom"/>
            <w:gridSpan w:val="2"/>
            <w:shd w:val="clear" w:color="auto" w:fill="D0D8E8"/>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b w:val="1"/>
                <w:bCs w:val="1"/>
                <w:color w:val="auto"/>
              </w:rPr>
              <w:t>3,987</w:t>
            </w:r>
          </w:p>
        </w:tc>
        <w:tc>
          <w:tcPr>
            <w:tcW w:w="280" w:type="dxa"/>
            <w:vAlign w:val="bottom"/>
            <w:shd w:val="clear" w:color="auto" w:fill="D0D8E8"/>
          </w:tcPr>
          <w:p>
            <w:pPr>
              <w:spacing w:after="0"/>
              <w:rPr>
                <w:sz w:val="18"/>
                <w:szCs w:val="18"/>
                <w:color w:val="auto"/>
              </w:rPr>
            </w:pPr>
          </w:p>
        </w:tc>
        <w:tc>
          <w:tcPr>
            <w:tcW w:w="340" w:type="dxa"/>
            <w:vAlign w:val="bottom"/>
            <w:gridSpan w:val="2"/>
            <w:shd w:val="clear" w:color="auto" w:fill="D0D8E8"/>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b w:val="1"/>
                <w:bCs w:val="1"/>
                <w:color w:val="auto"/>
              </w:rPr>
              <w:t>3,977</w:t>
            </w:r>
          </w:p>
        </w:tc>
        <w:tc>
          <w:tcPr>
            <w:tcW w:w="100" w:type="dxa"/>
            <w:vAlign w:val="bottom"/>
            <w:shd w:val="clear" w:color="auto" w:fill="D0D8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E9EDF4"/>
          </w:tcPr>
          <w:p>
            <w:pPr>
              <w:spacing w:after="0"/>
              <w:rPr>
                <w:sz w:val="20"/>
                <w:szCs w:val="20"/>
                <w:color w:val="auto"/>
              </w:rPr>
            </w:pPr>
            <w:r>
              <w:rPr>
                <w:rFonts w:ascii="Times New Roman" w:cs="Times New Roman" w:eastAsia="Times New Roman" w:hAnsi="Times New Roman"/>
                <w:sz w:val="18"/>
                <w:szCs w:val="18"/>
                <w:b w:val="1"/>
                <w:bCs w:val="1"/>
                <w:color w:val="auto"/>
              </w:rPr>
              <w:t>Organic Revenue growth</w:t>
            </w:r>
          </w:p>
        </w:tc>
        <w:tc>
          <w:tcPr>
            <w:tcW w:w="180" w:type="dxa"/>
            <w:vAlign w:val="bottom"/>
            <w:shd w:val="clear" w:color="auto" w:fill="E9EDF4"/>
          </w:tcPr>
          <w:p>
            <w:pPr>
              <w:spacing w:after="0"/>
              <w:rPr>
                <w:sz w:val="18"/>
                <w:szCs w:val="18"/>
                <w:color w:val="auto"/>
              </w:rPr>
            </w:pPr>
          </w:p>
        </w:tc>
        <w:tc>
          <w:tcPr>
            <w:tcW w:w="780" w:type="dxa"/>
            <w:vAlign w:val="bottom"/>
            <w:shd w:val="clear" w:color="auto" w:fill="E9EDF4"/>
          </w:tcPr>
          <w:p>
            <w:pPr>
              <w:spacing w:after="0"/>
              <w:rPr>
                <w:sz w:val="18"/>
                <w:szCs w:val="18"/>
                <w:color w:val="auto"/>
              </w:rPr>
            </w:pPr>
          </w:p>
        </w:tc>
        <w:tc>
          <w:tcPr>
            <w:tcW w:w="46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shd w:val="clear" w:color="auto" w:fill="E9EDF4"/>
          </w:tcPr>
          <w:p>
            <w:pPr>
              <w:spacing w:after="0"/>
              <w:rPr>
                <w:sz w:val="18"/>
                <w:szCs w:val="18"/>
                <w:color w:val="auto"/>
              </w:rPr>
            </w:pPr>
          </w:p>
        </w:tc>
        <w:tc>
          <w:tcPr>
            <w:tcW w:w="100" w:type="dxa"/>
            <w:vAlign w:val="bottom"/>
            <w:shd w:val="clear" w:color="auto" w:fill="E9EDF4"/>
          </w:tcPr>
          <w:p>
            <w:pPr>
              <w:spacing w:after="0"/>
              <w:rPr>
                <w:sz w:val="18"/>
                <w:szCs w:val="18"/>
                <w:color w:val="auto"/>
              </w:rPr>
            </w:pPr>
          </w:p>
        </w:tc>
        <w:tc>
          <w:tcPr>
            <w:tcW w:w="280" w:type="dxa"/>
            <w:vAlign w:val="bottom"/>
            <w:shd w:val="clear" w:color="auto" w:fill="E9EDF4"/>
          </w:tcPr>
          <w:p>
            <w:pPr>
              <w:spacing w:after="0"/>
              <w:rPr>
                <w:sz w:val="18"/>
                <w:szCs w:val="18"/>
                <w:color w:val="auto"/>
              </w:rPr>
            </w:pPr>
          </w:p>
        </w:tc>
        <w:tc>
          <w:tcPr>
            <w:tcW w:w="960" w:type="dxa"/>
            <w:vAlign w:val="bottom"/>
            <w:shd w:val="clear" w:color="auto" w:fill="E9EDF4"/>
          </w:tcPr>
          <w:p>
            <w:pPr>
              <w:spacing w:after="0"/>
              <w:rPr>
                <w:sz w:val="18"/>
                <w:szCs w:val="18"/>
                <w:color w:val="auto"/>
              </w:rPr>
            </w:pPr>
          </w:p>
        </w:tc>
        <w:tc>
          <w:tcPr>
            <w:tcW w:w="160" w:type="dxa"/>
            <w:vAlign w:val="bottom"/>
            <w:shd w:val="clear" w:color="auto" w:fill="E9EDF4"/>
          </w:tcPr>
          <w:p>
            <w:pPr>
              <w:spacing w:after="0"/>
              <w:rPr>
                <w:sz w:val="18"/>
                <w:szCs w:val="18"/>
                <w:color w:val="auto"/>
              </w:rPr>
            </w:pPr>
          </w:p>
        </w:tc>
        <w:tc>
          <w:tcPr>
            <w:tcW w:w="140" w:type="dxa"/>
            <w:vAlign w:val="bottom"/>
            <w:shd w:val="clear" w:color="auto" w:fill="E9EDF4"/>
          </w:tcPr>
          <w:p>
            <w:pPr>
              <w:spacing w:after="0"/>
              <w:rPr>
                <w:sz w:val="18"/>
                <w:szCs w:val="18"/>
                <w:color w:val="auto"/>
              </w:rPr>
            </w:pPr>
          </w:p>
        </w:tc>
        <w:tc>
          <w:tcPr>
            <w:tcW w:w="140" w:type="dxa"/>
            <w:vAlign w:val="bottom"/>
            <w:shd w:val="clear" w:color="auto" w:fill="E9EDF4"/>
          </w:tcPr>
          <w:p>
            <w:pPr>
              <w:spacing w:after="0"/>
              <w:rPr>
                <w:sz w:val="18"/>
                <w:szCs w:val="18"/>
                <w:color w:val="auto"/>
              </w:rPr>
            </w:pPr>
          </w:p>
        </w:tc>
        <w:tc>
          <w:tcPr>
            <w:tcW w:w="98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E9EDF4"/>
          </w:tcPr>
          <w:p>
            <w:pPr>
              <w:spacing w:after="0"/>
              <w:rPr>
                <w:sz w:val="18"/>
                <w:szCs w:val="18"/>
                <w:color w:val="auto"/>
              </w:rPr>
            </w:pPr>
          </w:p>
        </w:tc>
        <w:tc>
          <w:tcPr>
            <w:tcW w:w="100" w:type="dxa"/>
            <w:vAlign w:val="bottom"/>
            <w:shd w:val="clear" w:color="auto" w:fill="E9EDF4"/>
          </w:tcPr>
          <w:p>
            <w:pPr>
              <w:spacing w:after="0"/>
              <w:rPr>
                <w:sz w:val="18"/>
                <w:szCs w:val="18"/>
                <w:color w:val="auto"/>
              </w:rPr>
            </w:pPr>
          </w:p>
        </w:tc>
        <w:tc>
          <w:tcPr>
            <w:tcW w:w="240" w:type="dxa"/>
            <w:vAlign w:val="bottom"/>
            <w:shd w:val="clear" w:color="auto" w:fill="E9EDF4"/>
          </w:tcPr>
          <w:p>
            <w:pPr>
              <w:spacing w:after="0"/>
              <w:rPr>
                <w:sz w:val="18"/>
                <w:szCs w:val="18"/>
                <w:color w:val="auto"/>
              </w:rPr>
            </w:pPr>
          </w:p>
        </w:tc>
        <w:tc>
          <w:tcPr>
            <w:tcW w:w="820" w:type="dxa"/>
            <w:vAlign w:val="bottom"/>
            <w:shd w:val="clear" w:color="auto" w:fill="E9EDF4"/>
          </w:tcPr>
          <w:p>
            <w:pPr>
              <w:spacing w:after="0"/>
              <w:rPr>
                <w:sz w:val="18"/>
                <w:szCs w:val="18"/>
                <w:color w:val="auto"/>
              </w:rPr>
            </w:pPr>
          </w:p>
        </w:tc>
        <w:tc>
          <w:tcPr>
            <w:tcW w:w="100" w:type="dxa"/>
            <w:vAlign w:val="bottom"/>
            <w:shd w:val="clear" w:color="auto" w:fill="E9EDF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D0D8E8"/>
          </w:tcPr>
          <w:p>
            <w:pPr>
              <w:spacing w:after="0"/>
              <w:rPr>
                <w:sz w:val="20"/>
                <w:szCs w:val="20"/>
                <w:color w:val="auto"/>
              </w:rPr>
            </w:pPr>
            <w:r>
              <w:rPr>
                <w:rFonts w:ascii="Times New Roman" w:cs="Times New Roman" w:eastAsia="Times New Roman" w:hAnsi="Times New Roman"/>
                <w:sz w:val="18"/>
                <w:szCs w:val="18"/>
                <w:b w:val="1"/>
                <w:bCs w:val="1"/>
                <w:color w:val="auto"/>
              </w:rPr>
              <w:t>Organic Revenue growth %</w:t>
            </w:r>
          </w:p>
        </w:tc>
        <w:tc>
          <w:tcPr>
            <w:tcW w:w="180" w:type="dxa"/>
            <w:vAlign w:val="bottom"/>
            <w:shd w:val="clear" w:color="auto" w:fill="D0D8E8"/>
          </w:tcPr>
          <w:p>
            <w:pPr>
              <w:spacing w:after="0"/>
              <w:rPr>
                <w:sz w:val="18"/>
                <w:szCs w:val="18"/>
                <w:color w:val="auto"/>
              </w:rPr>
            </w:pPr>
          </w:p>
        </w:tc>
        <w:tc>
          <w:tcPr>
            <w:tcW w:w="780" w:type="dxa"/>
            <w:vAlign w:val="bottom"/>
            <w:shd w:val="clear" w:color="auto" w:fill="D0D8E8"/>
          </w:tcPr>
          <w:p>
            <w:pPr>
              <w:spacing w:after="0"/>
              <w:rPr>
                <w:sz w:val="18"/>
                <w:szCs w:val="18"/>
                <w:color w:val="auto"/>
              </w:rPr>
            </w:pPr>
          </w:p>
        </w:tc>
        <w:tc>
          <w:tcPr>
            <w:tcW w:w="740" w:type="dxa"/>
            <w:vAlign w:val="bottom"/>
            <w:gridSpan w:val="2"/>
            <w:shd w:val="clear" w:color="auto" w:fill="D0D8E8"/>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shd w:val="clear" w:color="auto" w:fill="D0D8E8"/>
          </w:tcPr>
          <w:p>
            <w:pPr>
              <w:spacing w:after="0"/>
              <w:rPr>
                <w:sz w:val="18"/>
                <w:szCs w:val="18"/>
                <w:color w:val="auto"/>
              </w:rPr>
            </w:pPr>
          </w:p>
        </w:tc>
        <w:tc>
          <w:tcPr>
            <w:tcW w:w="280" w:type="dxa"/>
            <w:vAlign w:val="bottom"/>
            <w:shd w:val="clear" w:color="auto" w:fill="D0D8E8"/>
          </w:tcPr>
          <w:p>
            <w:pPr>
              <w:spacing w:after="0"/>
              <w:rPr>
                <w:sz w:val="18"/>
                <w:szCs w:val="18"/>
                <w:color w:val="auto"/>
              </w:rPr>
            </w:pPr>
          </w:p>
        </w:tc>
        <w:tc>
          <w:tcPr>
            <w:tcW w:w="960" w:type="dxa"/>
            <w:vAlign w:val="bottom"/>
            <w:shd w:val="clear" w:color="auto" w:fill="D0D8E8"/>
          </w:tcPr>
          <w:p>
            <w:pPr>
              <w:spacing w:after="0"/>
              <w:rPr>
                <w:sz w:val="18"/>
                <w:szCs w:val="18"/>
                <w:color w:val="auto"/>
              </w:rPr>
            </w:pPr>
          </w:p>
        </w:tc>
        <w:tc>
          <w:tcPr>
            <w:tcW w:w="160" w:type="dxa"/>
            <w:vAlign w:val="bottom"/>
            <w:shd w:val="clear" w:color="auto" w:fill="D0D8E8"/>
          </w:tcPr>
          <w:p>
            <w:pPr>
              <w:spacing w:after="0"/>
              <w:rPr>
                <w:sz w:val="18"/>
                <w:szCs w:val="18"/>
                <w:color w:val="auto"/>
              </w:rPr>
            </w:pPr>
          </w:p>
        </w:tc>
        <w:tc>
          <w:tcPr>
            <w:tcW w:w="140" w:type="dxa"/>
            <w:vAlign w:val="bottom"/>
            <w:shd w:val="clear" w:color="auto" w:fill="D0D8E8"/>
          </w:tcPr>
          <w:p>
            <w:pPr>
              <w:spacing w:after="0"/>
              <w:rPr>
                <w:sz w:val="18"/>
                <w:szCs w:val="18"/>
                <w:color w:val="auto"/>
              </w:rPr>
            </w:pPr>
          </w:p>
        </w:tc>
        <w:tc>
          <w:tcPr>
            <w:tcW w:w="140" w:type="dxa"/>
            <w:vAlign w:val="bottom"/>
            <w:shd w:val="clear" w:color="auto" w:fill="D0D8E8"/>
          </w:tcPr>
          <w:p>
            <w:pPr>
              <w:spacing w:after="0"/>
              <w:rPr>
                <w:sz w:val="18"/>
                <w:szCs w:val="18"/>
                <w:color w:val="auto"/>
              </w:rPr>
            </w:pPr>
          </w:p>
        </w:tc>
        <w:tc>
          <w:tcPr>
            <w:tcW w:w="1260" w:type="dxa"/>
            <w:vAlign w:val="bottom"/>
            <w:gridSpan w:val="2"/>
            <w:shd w:val="clear" w:color="auto" w:fill="D0D8E8"/>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0.3%</w:t>
            </w:r>
          </w:p>
        </w:tc>
        <w:tc>
          <w:tcPr>
            <w:tcW w:w="100" w:type="dxa"/>
            <w:vAlign w:val="bottom"/>
            <w:shd w:val="clear" w:color="auto" w:fill="D0D8E8"/>
          </w:tcPr>
          <w:p>
            <w:pPr>
              <w:spacing w:after="0"/>
              <w:rPr>
                <w:sz w:val="18"/>
                <w:szCs w:val="18"/>
                <w:color w:val="auto"/>
              </w:rPr>
            </w:pPr>
          </w:p>
        </w:tc>
        <w:tc>
          <w:tcPr>
            <w:tcW w:w="240" w:type="dxa"/>
            <w:vAlign w:val="bottom"/>
            <w:shd w:val="clear" w:color="auto" w:fill="D0D8E8"/>
          </w:tcPr>
          <w:p>
            <w:pPr>
              <w:spacing w:after="0"/>
              <w:rPr>
                <w:sz w:val="18"/>
                <w:szCs w:val="18"/>
                <w:color w:val="auto"/>
              </w:rPr>
            </w:pPr>
          </w:p>
        </w:tc>
        <w:tc>
          <w:tcPr>
            <w:tcW w:w="820" w:type="dxa"/>
            <w:vAlign w:val="bottom"/>
            <w:shd w:val="clear" w:color="auto" w:fill="D0D8E8"/>
          </w:tcPr>
          <w:p>
            <w:pPr>
              <w:spacing w:after="0"/>
              <w:rPr>
                <w:sz w:val="18"/>
                <w:szCs w:val="18"/>
                <w:color w:val="auto"/>
              </w:rPr>
            </w:pPr>
          </w:p>
        </w:tc>
        <w:tc>
          <w:tcPr>
            <w:tcW w:w="100" w:type="dxa"/>
            <w:vAlign w:val="bottom"/>
            <w:shd w:val="clear" w:color="auto" w:fill="D0D8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E9EDF4"/>
          </w:tcPr>
          <w:p>
            <w:pPr>
              <w:spacing w:after="0"/>
              <w:rPr>
                <w:sz w:val="18"/>
                <w:szCs w:val="18"/>
                <w:color w:val="auto"/>
              </w:rPr>
            </w:pPr>
          </w:p>
        </w:tc>
        <w:tc>
          <w:tcPr>
            <w:tcW w:w="180" w:type="dxa"/>
            <w:vAlign w:val="bottom"/>
            <w:shd w:val="clear" w:color="auto" w:fill="E9EDF4"/>
          </w:tcPr>
          <w:p>
            <w:pPr>
              <w:spacing w:after="0"/>
              <w:rPr>
                <w:sz w:val="18"/>
                <w:szCs w:val="18"/>
                <w:color w:val="auto"/>
              </w:rPr>
            </w:pPr>
          </w:p>
        </w:tc>
        <w:tc>
          <w:tcPr>
            <w:tcW w:w="780" w:type="dxa"/>
            <w:vAlign w:val="bottom"/>
            <w:shd w:val="clear" w:color="auto" w:fill="E9EDF4"/>
          </w:tcPr>
          <w:p>
            <w:pPr>
              <w:spacing w:after="0"/>
              <w:rPr>
                <w:sz w:val="18"/>
                <w:szCs w:val="18"/>
                <w:color w:val="auto"/>
              </w:rPr>
            </w:pPr>
          </w:p>
        </w:tc>
        <w:tc>
          <w:tcPr>
            <w:tcW w:w="460" w:type="dxa"/>
            <w:vAlign w:val="bottom"/>
            <w:shd w:val="clear" w:color="auto" w:fill="E9EDF4"/>
          </w:tcPr>
          <w:p>
            <w:pPr>
              <w:spacing w:after="0"/>
              <w:rPr>
                <w:sz w:val="18"/>
                <w:szCs w:val="18"/>
                <w:color w:val="auto"/>
              </w:rPr>
            </w:pPr>
          </w:p>
        </w:tc>
        <w:tc>
          <w:tcPr>
            <w:tcW w:w="280" w:type="dxa"/>
            <w:vAlign w:val="bottom"/>
            <w:shd w:val="clear" w:color="auto" w:fill="E9EDF4"/>
          </w:tcPr>
          <w:p>
            <w:pPr>
              <w:spacing w:after="0"/>
              <w:rPr>
                <w:sz w:val="18"/>
                <w:szCs w:val="18"/>
                <w:color w:val="auto"/>
              </w:rPr>
            </w:pPr>
          </w:p>
        </w:tc>
        <w:tc>
          <w:tcPr>
            <w:tcW w:w="100" w:type="dxa"/>
            <w:vAlign w:val="bottom"/>
            <w:shd w:val="clear" w:color="auto" w:fill="E9EDF4"/>
          </w:tcPr>
          <w:p>
            <w:pPr>
              <w:spacing w:after="0"/>
              <w:rPr>
                <w:sz w:val="18"/>
                <w:szCs w:val="18"/>
                <w:color w:val="auto"/>
              </w:rPr>
            </w:pPr>
          </w:p>
        </w:tc>
        <w:tc>
          <w:tcPr>
            <w:tcW w:w="280" w:type="dxa"/>
            <w:vAlign w:val="bottom"/>
            <w:shd w:val="clear" w:color="auto" w:fill="E9EDF4"/>
          </w:tcPr>
          <w:p>
            <w:pPr>
              <w:spacing w:after="0"/>
              <w:rPr>
                <w:sz w:val="18"/>
                <w:szCs w:val="18"/>
                <w:color w:val="auto"/>
              </w:rPr>
            </w:pPr>
          </w:p>
        </w:tc>
        <w:tc>
          <w:tcPr>
            <w:tcW w:w="960" w:type="dxa"/>
            <w:vAlign w:val="bottom"/>
            <w:shd w:val="clear" w:color="auto" w:fill="E9EDF4"/>
          </w:tcPr>
          <w:p>
            <w:pPr>
              <w:spacing w:after="0"/>
              <w:rPr>
                <w:sz w:val="18"/>
                <w:szCs w:val="18"/>
                <w:color w:val="auto"/>
              </w:rPr>
            </w:pPr>
          </w:p>
        </w:tc>
        <w:tc>
          <w:tcPr>
            <w:tcW w:w="160" w:type="dxa"/>
            <w:vAlign w:val="bottom"/>
            <w:shd w:val="clear" w:color="auto" w:fill="E9EDF4"/>
          </w:tcPr>
          <w:p>
            <w:pPr>
              <w:spacing w:after="0"/>
              <w:rPr>
                <w:sz w:val="18"/>
                <w:szCs w:val="18"/>
                <w:color w:val="auto"/>
              </w:rPr>
            </w:pPr>
          </w:p>
        </w:tc>
        <w:tc>
          <w:tcPr>
            <w:tcW w:w="140" w:type="dxa"/>
            <w:vAlign w:val="bottom"/>
            <w:shd w:val="clear" w:color="auto" w:fill="E9EDF4"/>
          </w:tcPr>
          <w:p>
            <w:pPr>
              <w:spacing w:after="0"/>
              <w:rPr>
                <w:sz w:val="18"/>
                <w:szCs w:val="18"/>
                <w:color w:val="auto"/>
              </w:rPr>
            </w:pPr>
          </w:p>
        </w:tc>
        <w:tc>
          <w:tcPr>
            <w:tcW w:w="140" w:type="dxa"/>
            <w:vAlign w:val="bottom"/>
            <w:shd w:val="clear" w:color="auto" w:fill="E9EDF4"/>
          </w:tcPr>
          <w:p>
            <w:pPr>
              <w:spacing w:after="0"/>
              <w:rPr>
                <w:sz w:val="18"/>
                <w:szCs w:val="18"/>
                <w:color w:val="auto"/>
              </w:rPr>
            </w:pPr>
          </w:p>
        </w:tc>
        <w:tc>
          <w:tcPr>
            <w:tcW w:w="980" w:type="dxa"/>
            <w:vAlign w:val="bottom"/>
            <w:shd w:val="clear" w:color="auto" w:fill="E9EDF4"/>
          </w:tcPr>
          <w:p>
            <w:pPr>
              <w:spacing w:after="0"/>
              <w:rPr>
                <w:sz w:val="18"/>
                <w:szCs w:val="18"/>
                <w:color w:val="auto"/>
              </w:rPr>
            </w:pPr>
          </w:p>
        </w:tc>
        <w:tc>
          <w:tcPr>
            <w:tcW w:w="280" w:type="dxa"/>
            <w:vAlign w:val="bottom"/>
            <w:shd w:val="clear" w:color="auto" w:fill="E9EDF4"/>
          </w:tcPr>
          <w:p>
            <w:pPr>
              <w:spacing w:after="0"/>
              <w:rPr>
                <w:sz w:val="18"/>
                <w:szCs w:val="18"/>
                <w:color w:val="auto"/>
              </w:rPr>
            </w:pPr>
          </w:p>
        </w:tc>
        <w:tc>
          <w:tcPr>
            <w:tcW w:w="100" w:type="dxa"/>
            <w:vAlign w:val="bottom"/>
            <w:shd w:val="clear" w:color="auto" w:fill="E9EDF4"/>
          </w:tcPr>
          <w:p>
            <w:pPr>
              <w:spacing w:after="0"/>
              <w:rPr>
                <w:sz w:val="18"/>
                <w:szCs w:val="18"/>
                <w:color w:val="auto"/>
              </w:rPr>
            </w:pPr>
          </w:p>
        </w:tc>
        <w:tc>
          <w:tcPr>
            <w:tcW w:w="240" w:type="dxa"/>
            <w:vAlign w:val="bottom"/>
            <w:shd w:val="clear" w:color="auto" w:fill="E9EDF4"/>
          </w:tcPr>
          <w:p>
            <w:pPr>
              <w:spacing w:after="0"/>
              <w:rPr>
                <w:sz w:val="18"/>
                <w:szCs w:val="18"/>
                <w:color w:val="auto"/>
              </w:rPr>
            </w:pPr>
          </w:p>
        </w:tc>
        <w:tc>
          <w:tcPr>
            <w:tcW w:w="820" w:type="dxa"/>
            <w:vAlign w:val="bottom"/>
            <w:shd w:val="clear" w:color="auto" w:fill="E9EDF4"/>
          </w:tcPr>
          <w:p>
            <w:pPr>
              <w:spacing w:after="0"/>
              <w:rPr>
                <w:sz w:val="18"/>
                <w:szCs w:val="18"/>
                <w:color w:val="auto"/>
              </w:rPr>
            </w:pPr>
          </w:p>
        </w:tc>
        <w:tc>
          <w:tcPr>
            <w:tcW w:w="100" w:type="dxa"/>
            <w:vAlign w:val="bottom"/>
            <w:shd w:val="clear" w:color="auto" w:fill="E9EDF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D0D8E8"/>
          </w:tcPr>
          <w:p>
            <w:pPr>
              <w:ind w:left="40"/>
              <w:spacing w:after="0"/>
              <w:rPr>
                <w:sz w:val="20"/>
                <w:szCs w:val="20"/>
                <w:color w:val="auto"/>
              </w:rPr>
            </w:pPr>
            <w:r>
              <w:rPr>
                <w:rFonts w:ascii="Times New Roman" w:cs="Times New Roman" w:eastAsia="Times New Roman" w:hAnsi="Times New Roman"/>
                <w:sz w:val="18"/>
                <w:szCs w:val="18"/>
                <w:color w:val="auto"/>
              </w:rPr>
              <w:t>Organic Contingents</w:t>
            </w:r>
          </w:p>
        </w:tc>
        <w:tc>
          <w:tcPr>
            <w:tcW w:w="960" w:type="dxa"/>
            <w:vAlign w:val="bottom"/>
            <w:gridSpan w:val="2"/>
            <w:shd w:val="clear" w:color="auto" w:fill="D0D8E8"/>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80" w:type="dxa"/>
            <w:vAlign w:val="bottom"/>
            <w:shd w:val="clear" w:color="auto" w:fill="D0D8E8"/>
          </w:tcPr>
          <w:p>
            <w:pPr>
              <w:spacing w:after="0"/>
              <w:rPr>
                <w:sz w:val="18"/>
                <w:szCs w:val="18"/>
                <w:color w:val="auto"/>
              </w:rPr>
            </w:pPr>
          </w:p>
        </w:tc>
        <w:tc>
          <w:tcPr>
            <w:tcW w:w="380" w:type="dxa"/>
            <w:vAlign w:val="bottom"/>
            <w:gridSpan w:val="2"/>
            <w:shd w:val="clear" w:color="auto" w:fill="D0D8E8"/>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shd w:val="clear" w:color="auto" w:fill="D0D8E8"/>
          </w:tcPr>
          <w:p>
            <w:pPr>
              <w:spacing w:after="0"/>
              <w:rPr>
                <w:sz w:val="18"/>
                <w:szCs w:val="18"/>
                <w:color w:val="auto"/>
              </w:rPr>
            </w:pPr>
          </w:p>
        </w:tc>
        <w:tc>
          <w:tcPr>
            <w:tcW w:w="280" w:type="dxa"/>
            <w:vAlign w:val="bottom"/>
            <w:gridSpan w:val="2"/>
            <w:shd w:val="clear" w:color="auto" w:fill="D0D8E8"/>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80" w:type="dxa"/>
            <w:vAlign w:val="bottom"/>
            <w:shd w:val="clear" w:color="auto" w:fill="D0D8E8"/>
          </w:tcPr>
          <w:p>
            <w:pPr>
              <w:spacing w:after="0"/>
              <w:rPr>
                <w:sz w:val="18"/>
                <w:szCs w:val="18"/>
                <w:color w:val="auto"/>
              </w:rPr>
            </w:pPr>
          </w:p>
        </w:tc>
        <w:tc>
          <w:tcPr>
            <w:tcW w:w="340" w:type="dxa"/>
            <w:vAlign w:val="bottom"/>
            <w:gridSpan w:val="2"/>
            <w:shd w:val="clear" w:color="auto" w:fill="D0D8E8"/>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D0D8E8"/>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00" w:type="dxa"/>
            <w:vAlign w:val="bottom"/>
            <w:tcBorders>
              <w:top w:val="single" w:sz="8" w:color="D0D8E8"/>
              <w:bottom w:val="single" w:sz="8" w:color="E9EDF4"/>
            </w:tcBorders>
            <w:shd w:val="clear" w:color="auto" w:fill="E9EDF4"/>
          </w:tcPr>
          <w:p>
            <w:pPr>
              <w:spacing w:after="0"/>
              <w:rPr>
                <w:sz w:val="20"/>
                <w:szCs w:val="20"/>
                <w:color w:val="auto"/>
              </w:rPr>
            </w:pPr>
            <w:r>
              <w:rPr>
                <w:rFonts w:ascii="Times New Roman" w:cs="Times New Roman" w:eastAsia="Times New Roman" w:hAnsi="Times New Roman"/>
                <w:sz w:val="18"/>
                <w:szCs w:val="18"/>
                <w:b w:val="1"/>
                <w:bCs w:val="1"/>
                <w:color w:val="auto"/>
              </w:rPr>
              <w:t>Organic Revenue with Contingents</w:t>
            </w:r>
          </w:p>
        </w:tc>
        <w:tc>
          <w:tcPr>
            <w:tcW w:w="180" w:type="dxa"/>
            <w:vAlign w:val="bottom"/>
            <w:tcBorders>
              <w:top w:val="single" w:sz="8" w:color="D0D8E8"/>
              <w:bottom w:val="single" w:sz="8" w:color="E9EDF4"/>
            </w:tcBorders>
            <w:shd w:val="clear" w:color="auto" w:fill="E9EDF4"/>
          </w:tcPr>
          <w:p>
            <w:pPr>
              <w:spacing w:after="0"/>
              <w:rPr>
                <w:sz w:val="18"/>
                <w:szCs w:val="18"/>
                <w:color w:val="auto"/>
              </w:rPr>
            </w:pPr>
          </w:p>
        </w:tc>
        <w:tc>
          <w:tcPr>
            <w:tcW w:w="780" w:type="dxa"/>
            <w:vAlign w:val="bottom"/>
            <w:tcBorders>
              <w:top w:val="single" w:sz="8" w:color="auto"/>
              <w:bottom w:val="single" w:sz="8" w:color="auto"/>
            </w:tcBorders>
            <w:shd w:val="clear" w:color="auto" w:fill="E9EDF4"/>
          </w:tcPr>
          <w:p>
            <w:pPr>
              <w:spacing w:after="0"/>
              <w:rPr>
                <w:sz w:val="18"/>
                <w:szCs w:val="18"/>
                <w:color w:val="auto"/>
              </w:rPr>
            </w:pPr>
          </w:p>
        </w:tc>
        <w:tc>
          <w:tcPr>
            <w:tcW w:w="460" w:type="dxa"/>
            <w:vAlign w:val="bottom"/>
            <w:tcBorders>
              <w:top w:val="single" w:sz="8" w:color="auto"/>
              <w:bottom w:val="single" w:sz="8" w:color="auto"/>
            </w:tcBorders>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1,543</w:t>
            </w:r>
          </w:p>
        </w:tc>
        <w:tc>
          <w:tcPr>
            <w:tcW w:w="280" w:type="dxa"/>
            <w:vAlign w:val="bottom"/>
            <w:tcBorders>
              <w:top w:val="single" w:sz="8" w:color="D0D8E8"/>
              <w:bottom w:val="single" w:sz="8" w:color="E9EDF4"/>
            </w:tcBorders>
            <w:shd w:val="clear" w:color="auto" w:fill="E9EDF4"/>
          </w:tcPr>
          <w:p>
            <w:pPr>
              <w:spacing w:after="0"/>
              <w:rPr>
                <w:sz w:val="18"/>
                <w:szCs w:val="18"/>
                <w:color w:val="auto"/>
              </w:rPr>
            </w:pPr>
          </w:p>
        </w:tc>
        <w:tc>
          <w:tcPr>
            <w:tcW w:w="100" w:type="dxa"/>
            <w:vAlign w:val="bottom"/>
            <w:tcBorders>
              <w:top w:val="single" w:sz="8" w:color="D0D8E8"/>
              <w:bottom w:val="single" w:sz="8" w:color="E9EDF4"/>
            </w:tcBorders>
            <w:shd w:val="clear" w:color="auto" w:fill="E9EDF4"/>
          </w:tcPr>
          <w:p>
            <w:pPr>
              <w:spacing w:after="0"/>
              <w:rPr>
                <w:sz w:val="18"/>
                <w:szCs w:val="18"/>
                <w:color w:val="auto"/>
              </w:rPr>
            </w:pPr>
          </w:p>
        </w:tc>
        <w:tc>
          <w:tcPr>
            <w:tcW w:w="280" w:type="dxa"/>
            <w:vAlign w:val="bottom"/>
            <w:tcBorders>
              <w:top w:val="single" w:sz="8" w:color="auto"/>
              <w:bottom w:val="single" w:sz="8" w:color="E9EDF4"/>
            </w:tcBorders>
            <w:shd w:val="clear" w:color="auto" w:fill="E9EDF4"/>
          </w:tcPr>
          <w:p>
            <w:pPr>
              <w:spacing w:after="0"/>
              <w:rPr>
                <w:sz w:val="18"/>
                <w:szCs w:val="18"/>
                <w:color w:val="auto"/>
              </w:rPr>
            </w:pPr>
          </w:p>
        </w:tc>
        <w:tc>
          <w:tcPr>
            <w:tcW w:w="960" w:type="dxa"/>
            <w:vAlign w:val="bottom"/>
            <w:tcBorders>
              <w:top w:val="single" w:sz="8" w:color="auto"/>
              <w:bottom w:val="single" w:sz="8" w:color="E9EDF4"/>
            </w:tcBorders>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1,520</w:t>
            </w:r>
          </w:p>
        </w:tc>
        <w:tc>
          <w:tcPr>
            <w:tcW w:w="160" w:type="dxa"/>
            <w:vAlign w:val="bottom"/>
            <w:tcBorders>
              <w:top w:val="single" w:sz="8" w:color="D0D8E8"/>
              <w:bottom w:val="single" w:sz="8" w:color="E9EDF4"/>
            </w:tcBorders>
            <w:shd w:val="clear" w:color="auto" w:fill="E9EDF4"/>
          </w:tcPr>
          <w:p>
            <w:pPr>
              <w:spacing w:after="0"/>
              <w:rPr>
                <w:sz w:val="18"/>
                <w:szCs w:val="18"/>
                <w:color w:val="auto"/>
              </w:rPr>
            </w:pPr>
          </w:p>
        </w:tc>
        <w:tc>
          <w:tcPr>
            <w:tcW w:w="140" w:type="dxa"/>
            <w:vAlign w:val="bottom"/>
            <w:tcBorders>
              <w:top w:val="single" w:sz="8" w:color="D0D8E8"/>
              <w:bottom w:val="single" w:sz="8" w:color="E9EDF4"/>
            </w:tcBorders>
            <w:shd w:val="clear" w:color="auto" w:fill="E9EDF4"/>
          </w:tcPr>
          <w:p>
            <w:pPr>
              <w:spacing w:after="0"/>
              <w:rPr>
                <w:sz w:val="18"/>
                <w:szCs w:val="18"/>
                <w:color w:val="auto"/>
              </w:rPr>
            </w:pPr>
          </w:p>
        </w:tc>
        <w:tc>
          <w:tcPr>
            <w:tcW w:w="140" w:type="dxa"/>
            <w:vAlign w:val="bottom"/>
            <w:tcBorders>
              <w:top w:val="single" w:sz="8" w:color="auto"/>
              <w:bottom w:val="single" w:sz="8" w:color="auto"/>
            </w:tcBorders>
            <w:shd w:val="clear" w:color="auto" w:fill="E9EDF4"/>
          </w:tcPr>
          <w:p>
            <w:pPr>
              <w:spacing w:after="0"/>
              <w:rPr>
                <w:sz w:val="18"/>
                <w:szCs w:val="18"/>
                <w:color w:val="auto"/>
              </w:rPr>
            </w:pPr>
          </w:p>
        </w:tc>
        <w:tc>
          <w:tcPr>
            <w:tcW w:w="980" w:type="dxa"/>
            <w:vAlign w:val="bottom"/>
            <w:tcBorders>
              <w:top w:val="single" w:sz="8" w:color="auto"/>
              <w:bottom w:val="single" w:sz="8" w:color="auto"/>
            </w:tcBorders>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4,200</w:t>
            </w:r>
          </w:p>
        </w:tc>
        <w:tc>
          <w:tcPr>
            <w:tcW w:w="280" w:type="dxa"/>
            <w:vAlign w:val="bottom"/>
            <w:tcBorders>
              <w:top w:val="single" w:sz="8" w:color="D0D8E8"/>
              <w:bottom w:val="single" w:sz="8" w:color="E9EDF4"/>
            </w:tcBorders>
            <w:shd w:val="clear" w:color="auto" w:fill="E9EDF4"/>
          </w:tcPr>
          <w:p>
            <w:pPr>
              <w:spacing w:after="0"/>
              <w:rPr>
                <w:sz w:val="18"/>
                <w:szCs w:val="18"/>
                <w:color w:val="auto"/>
              </w:rPr>
            </w:pPr>
          </w:p>
        </w:tc>
        <w:tc>
          <w:tcPr>
            <w:tcW w:w="100" w:type="dxa"/>
            <w:vAlign w:val="bottom"/>
            <w:tcBorders>
              <w:top w:val="single" w:sz="8" w:color="D0D8E8"/>
              <w:bottom w:val="single" w:sz="8" w:color="E9EDF4"/>
            </w:tcBorders>
            <w:shd w:val="clear" w:color="auto" w:fill="E9EDF4"/>
          </w:tcPr>
          <w:p>
            <w:pPr>
              <w:spacing w:after="0"/>
              <w:rPr>
                <w:sz w:val="18"/>
                <w:szCs w:val="18"/>
                <w:color w:val="auto"/>
              </w:rPr>
            </w:pPr>
          </w:p>
        </w:tc>
        <w:tc>
          <w:tcPr>
            <w:tcW w:w="240" w:type="dxa"/>
            <w:vAlign w:val="bottom"/>
            <w:tcBorders>
              <w:top w:val="single" w:sz="8" w:color="auto"/>
              <w:bottom w:val="single" w:sz="8" w:color="E9EDF4"/>
            </w:tcBorders>
            <w:shd w:val="clear" w:color="auto" w:fill="E9EDF4"/>
          </w:tcPr>
          <w:p>
            <w:pPr>
              <w:spacing w:after="0"/>
              <w:rPr>
                <w:sz w:val="18"/>
                <w:szCs w:val="18"/>
                <w:color w:val="auto"/>
              </w:rPr>
            </w:pPr>
          </w:p>
        </w:tc>
        <w:tc>
          <w:tcPr>
            <w:tcW w:w="820" w:type="dxa"/>
            <w:vAlign w:val="bottom"/>
            <w:tcBorders>
              <w:top w:val="single" w:sz="8" w:color="auto"/>
              <w:bottom w:val="single" w:sz="8" w:color="E9EDF4"/>
            </w:tcBorders>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4,138</w:t>
            </w:r>
          </w:p>
        </w:tc>
        <w:tc>
          <w:tcPr>
            <w:tcW w:w="100" w:type="dxa"/>
            <w:vAlign w:val="bottom"/>
            <w:tcBorders>
              <w:top w:val="single" w:sz="8" w:color="D0D8E8"/>
              <w:bottom w:val="single" w:sz="8" w:color="E9EDF4"/>
            </w:tcBorders>
            <w:shd w:val="clear" w:color="auto" w:fill="E9EDF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D0D8E8"/>
          </w:tcPr>
          <w:p>
            <w:pPr>
              <w:spacing w:after="0"/>
              <w:rPr>
                <w:sz w:val="20"/>
                <w:szCs w:val="20"/>
                <w:color w:val="auto"/>
              </w:rPr>
            </w:pPr>
            <w:r>
              <w:rPr>
                <w:rFonts w:ascii="Times New Roman" w:cs="Times New Roman" w:eastAsia="Times New Roman" w:hAnsi="Times New Roman"/>
                <w:sz w:val="18"/>
                <w:szCs w:val="18"/>
                <w:b w:val="1"/>
                <w:bCs w:val="1"/>
                <w:color w:val="auto"/>
              </w:rPr>
              <w:t>Organic Revenue with Contingents growth</w:t>
            </w:r>
          </w:p>
        </w:tc>
        <w:tc>
          <w:tcPr>
            <w:tcW w:w="960" w:type="dxa"/>
            <w:vAlign w:val="bottom"/>
            <w:gridSpan w:val="2"/>
            <w:shd w:val="clear" w:color="auto" w:fill="D0D8E8"/>
          </w:tcPr>
          <w:p>
            <w:pPr>
              <w:jc w:val="right"/>
              <w:ind w:right="628"/>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80" w:type="dxa"/>
            <w:vAlign w:val="bottom"/>
            <w:shd w:val="clear" w:color="auto" w:fill="D0D8E8"/>
          </w:tcPr>
          <w:p>
            <w:pPr>
              <w:spacing w:after="0"/>
              <w:rPr>
                <w:sz w:val="18"/>
                <w:szCs w:val="18"/>
                <w:color w:val="auto"/>
              </w:rPr>
            </w:pPr>
          </w:p>
        </w:tc>
        <w:tc>
          <w:tcPr>
            <w:tcW w:w="100" w:type="dxa"/>
            <w:vAlign w:val="bottom"/>
            <w:shd w:val="clear" w:color="auto" w:fill="D0D8E8"/>
          </w:tcPr>
          <w:p>
            <w:pPr>
              <w:spacing w:after="0"/>
              <w:rPr>
                <w:sz w:val="18"/>
                <w:szCs w:val="18"/>
                <w:color w:val="auto"/>
              </w:rPr>
            </w:pPr>
          </w:p>
        </w:tc>
        <w:tc>
          <w:tcPr>
            <w:tcW w:w="280" w:type="dxa"/>
            <w:vAlign w:val="bottom"/>
            <w:shd w:val="clear" w:color="auto" w:fill="D0D8E8"/>
          </w:tcPr>
          <w:p>
            <w:pPr>
              <w:spacing w:after="0"/>
              <w:rPr>
                <w:sz w:val="18"/>
                <w:szCs w:val="18"/>
                <w:color w:val="auto"/>
              </w:rPr>
            </w:pPr>
          </w:p>
        </w:tc>
        <w:tc>
          <w:tcPr>
            <w:tcW w:w="960" w:type="dxa"/>
            <w:vAlign w:val="bottom"/>
            <w:shd w:val="clear" w:color="auto" w:fill="D0D8E8"/>
          </w:tcPr>
          <w:p>
            <w:pPr>
              <w:spacing w:after="0"/>
              <w:rPr>
                <w:sz w:val="18"/>
                <w:szCs w:val="18"/>
                <w:color w:val="auto"/>
              </w:rPr>
            </w:pPr>
          </w:p>
        </w:tc>
        <w:tc>
          <w:tcPr>
            <w:tcW w:w="160" w:type="dxa"/>
            <w:vAlign w:val="bottom"/>
            <w:shd w:val="clear" w:color="auto" w:fill="D0D8E8"/>
          </w:tcPr>
          <w:p>
            <w:pPr>
              <w:spacing w:after="0"/>
              <w:rPr>
                <w:sz w:val="18"/>
                <w:szCs w:val="18"/>
                <w:color w:val="auto"/>
              </w:rPr>
            </w:pPr>
          </w:p>
        </w:tc>
        <w:tc>
          <w:tcPr>
            <w:tcW w:w="280" w:type="dxa"/>
            <w:vAlign w:val="bottom"/>
            <w:gridSpan w:val="2"/>
            <w:shd w:val="clear" w:color="auto" w:fill="D0D8E8"/>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280" w:type="dxa"/>
            <w:vAlign w:val="bottom"/>
            <w:shd w:val="clear" w:color="auto" w:fill="D0D8E8"/>
          </w:tcPr>
          <w:p>
            <w:pPr>
              <w:spacing w:after="0"/>
              <w:rPr>
                <w:sz w:val="18"/>
                <w:szCs w:val="18"/>
                <w:color w:val="auto"/>
              </w:rPr>
            </w:pPr>
          </w:p>
        </w:tc>
        <w:tc>
          <w:tcPr>
            <w:tcW w:w="100" w:type="dxa"/>
            <w:vAlign w:val="bottom"/>
            <w:shd w:val="clear" w:color="auto" w:fill="D0D8E8"/>
          </w:tcPr>
          <w:p>
            <w:pPr>
              <w:spacing w:after="0"/>
              <w:rPr>
                <w:sz w:val="18"/>
                <w:szCs w:val="18"/>
                <w:color w:val="auto"/>
              </w:rPr>
            </w:pPr>
          </w:p>
        </w:tc>
        <w:tc>
          <w:tcPr>
            <w:tcW w:w="240" w:type="dxa"/>
            <w:vAlign w:val="bottom"/>
            <w:shd w:val="clear" w:color="auto" w:fill="D0D8E8"/>
          </w:tcPr>
          <w:p>
            <w:pPr>
              <w:spacing w:after="0"/>
              <w:rPr>
                <w:sz w:val="18"/>
                <w:szCs w:val="18"/>
                <w:color w:val="auto"/>
              </w:rPr>
            </w:pPr>
          </w:p>
        </w:tc>
        <w:tc>
          <w:tcPr>
            <w:tcW w:w="820" w:type="dxa"/>
            <w:vAlign w:val="bottom"/>
            <w:shd w:val="clear" w:color="auto" w:fill="D0D8E8"/>
          </w:tcPr>
          <w:p>
            <w:pPr>
              <w:spacing w:after="0"/>
              <w:rPr>
                <w:sz w:val="18"/>
                <w:szCs w:val="18"/>
                <w:color w:val="auto"/>
              </w:rPr>
            </w:pPr>
          </w:p>
        </w:tc>
        <w:tc>
          <w:tcPr>
            <w:tcW w:w="100" w:type="dxa"/>
            <w:vAlign w:val="bottom"/>
            <w:shd w:val="clear" w:color="auto" w:fill="D0D8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E9EDF4"/>
          </w:tcPr>
          <w:p>
            <w:pPr>
              <w:spacing w:after="0"/>
              <w:rPr>
                <w:sz w:val="20"/>
                <w:szCs w:val="20"/>
                <w:color w:val="auto"/>
              </w:rPr>
            </w:pPr>
            <w:r>
              <w:rPr>
                <w:rFonts w:ascii="Times New Roman" w:cs="Times New Roman" w:eastAsia="Times New Roman" w:hAnsi="Times New Roman"/>
                <w:sz w:val="18"/>
                <w:szCs w:val="18"/>
                <w:b w:val="1"/>
                <w:bCs w:val="1"/>
                <w:color w:val="auto"/>
              </w:rPr>
              <w:t>Organic Revenue with Contingents growth %</w:t>
            </w:r>
          </w:p>
        </w:tc>
        <w:tc>
          <w:tcPr>
            <w:tcW w:w="180" w:type="dxa"/>
            <w:vAlign w:val="bottom"/>
            <w:shd w:val="clear" w:color="auto" w:fill="E9EDF4"/>
          </w:tcPr>
          <w:p>
            <w:pPr>
              <w:spacing w:after="0"/>
              <w:rPr>
                <w:sz w:val="18"/>
                <w:szCs w:val="18"/>
                <w:color w:val="auto"/>
              </w:rPr>
            </w:pPr>
          </w:p>
        </w:tc>
        <w:tc>
          <w:tcPr>
            <w:tcW w:w="780" w:type="dxa"/>
            <w:vAlign w:val="bottom"/>
            <w:shd w:val="clear" w:color="auto" w:fill="E9EDF4"/>
          </w:tcPr>
          <w:p>
            <w:pPr>
              <w:spacing w:after="0"/>
              <w:rPr>
                <w:sz w:val="18"/>
                <w:szCs w:val="18"/>
                <w:color w:val="auto"/>
              </w:rPr>
            </w:pPr>
          </w:p>
        </w:tc>
        <w:tc>
          <w:tcPr>
            <w:tcW w:w="740" w:type="dxa"/>
            <w:vAlign w:val="bottom"/>
            <w:gridSpan w:val="2"/>
            <w:shd w:val="clear" w:color="auto" w:fill="E9EDF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shd w:val="clear" w:color="auto" w:fill="E9EDF4"/>
          </w:tcPr>
          <w:p>
            <w:pPr>
              <w:spacing w:after="0"/>
              <w:rPr>
                <w:sz w:val="18"/>
                <w:szCs w:val="18"/>
                <w:color w:val="auto"/>
              </w:rPr>
            </w:pPr>
          </w:p>
        </w:tc>
        <w:tc>
          <w:tcPr>
            <w:tcW w:w="280" w:type="dxa"/>
            <w:vAlign w:val="bottom"/>
            <w:shd w:val="clear" w:color="auto" w:fill="E9EDF4"/>
          </w:tcPr>
          <w:p>
            <w:pPr>
              <w:spacing w:after="0"/>
              <w:rPr>
                <w:sz w:val="18"/>
                <w:szCs w:val="18"/>
                <w:color w:val="auto"/>
              </w:rPr>
            </w:pPr>
          </w:p>
        </w:tc>
        <w:tc>
          <w:tcPr>
            <w:tcW w:w="960" w:type="dxa"/>
            <w:vAlign w:val="bottom"/>
            <w:shd w:val="clear" w:color="auto" w:fill="E9EDF4"/>
          </w:tcPr>
          <w:p>
            <w:pPr>
              <w:spacing w:after="0"/>
              <w:rPr>
                <w:sz w:val="18"/>
                <w:szCs w:val="18"/>
                <w:color w:val="auto"/>
              </w:rPr>
            </w:pPr>
          </w:p>
        </w:tc>
        <w:tc>
          <w:tcPr>
            <w:tcW w:w="160" w:type="dxa"/>
            <w:vAlign w:val="bottom"/>
            <w:shd w:val="clear" w:color="auto" w:fill="E9EDF4"/>
          </w:tcPr>
          <w:p>
            <w:pPr>
              <w:spacing w:after="0"/>
              <w:rPr>
                <w:sz w:val="18"/>
                <w:szCs w:val="18"/>
                <w:color w:val="auto"/>
              </w:rPr>
            </w:pPr>
          </w:p>
        </w:tc>
        <w:tc>
          <w:tcPr>
            <w:tcW w:w="140" w:type="dxa"/>
            <w:vAlign w:val="bottom"/>
            <w:shd w:val="clear" w:color="auto" w:fill="E9EDF4"/>
          </w:tcPr>
          <w:p>
            <w:pPr>
              <w:spacing w:after="0"/>
              <w:rPr>
                <w:sz w:val="18"/>
                <w:szCs w:val="18"/>
                <w:color w:val="auto"/>
              </w:rPr>
            </w:pPr>
          </w:p>
        </w:tc>
        <w:tc>
          <w:tcPr>
            <w:tcW w:w="140" w:type="dxa"/>
            <w:vAlign w:val="bottom"/>
            <w:shd w:val="clear" w:color="auto" w:fill="E9EDF4"/>
          </w:tcPr>
          <w:p>
            <w:pPr>
              <w:spacing w:after="0"/>
              <w:rPr>
                <w:sz w:val="18"/>
                <w:szCs w:val="18"/>
                <w:color w:val="auto"/>
              </w:rPr>
            </w:pPr>
          </w:p>
        </w:tc>
        <w:tc>
          <w:tcPr>
            <w:tcW w:w="1260" w:type="dxa"/>
            <w:vAlign w:val="bottom"/>
            <w:gridSpan w:val="2"/>
            <w:shd w:val="clear" w:color="auto" w:fill="E9EDF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shd w:val="clear" w:color="auto" w:fill="E9EDF4"/>
          </w:tcPr>
          <w:p>
            <w:pPr>
              <w:spacing w:after="0"/>
              <w:rPr>
                <w:sz w:val="18"/>
                <w:szCs w:val="18"/>
                <w:color w:val="auto"/>
              </w:rPr>
            </w:pPr>
          </w:p>
        </w:tc>
        <w:tc>
          <w:tcPr>
            <w:tcW w:w="240" w:type="dxa"/>
            <w:vAlign w:val="bottom"/>
            <w:shd w:val="clear" w:color="auto" w:fill="E9EDF4"/>
          </w:tcPr>
          <w:p>
            <w:pPr>
              <w:spacing w:after="0"/>
              <w:rPr>
                <w:sz w:val="18"/>
                <w:szCs w:val="18"/>
                <w:color w:val="auto"/>
              </w:rPr>
            </w:pPr>
          </w:p>
        </w:tc>
        <w:tc>
          <w:tcPr>
            <w:tcW w:w="820" w:type="dxa"/>
            <w:vAlign w:val="bottom"/>
            <w:shd w:val="clear" w:color="auto" w:fill="E9EDF4"/>
          </w:tcPr>
          <w:p>
            <w:pPr>
              <w:spacing w:after="0"/>
              <w:rPr>
                <w:sz w:val="18"/>
                <w:szCs w:val="18"/>
                <w:color w:val="auto"/>
              </w:rPr>
            </w:pPr>
          </w:p>
        </w:tc>
        <w:tc>
          <w:tcPr>
            <w:tcW w:w="100" w:type="dxa"/>
            <w:vAlign w:val="bottom"/>
            <w:shd w:val="clear" w:color="auto" w:fill="E9EDF4"/>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-2202180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-2202180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-2099945</wp:posOffset>
            </wp:positionV>
            <wp:extent cx="1289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-2099945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-2099945</wp:posOffset>
            </wp:positionV>
            <wp:extent cx="1289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-2099945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-1816735</wp:posOffset>
            </wp:positionV>
            <wp:extent cx="1289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-1816735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-1816735</wp:posOffset>
            </wp:positionV>
            <wp:extent cx="1289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-1816735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-1122045</wp:posOffset>
            </wp:positionV>
            <wp:extent cx="1289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-1122045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-1122045</wp:posOffset>
            </wp:positionV>
            <wp:extent cx="1289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-1122045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-427990</wp:posOffset>
            </wp:positionV>
            <wp:extent cx="1289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-427990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-427990</wp:posOffset>
            </wp:positionV>
            <wp:extent cx="1289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-427990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-282575</wp:posOffset>
            </wp:positionV>
            <wp:extent cx="1289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-282575</wp:posOffset>
            </wp:positionV>
            <wp:extent cx="1289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information regarding non-GAAP measures presented later in this press release.</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Diluted Net Income Per Share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Diluted Net Income Per Share - Adjusted</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shd w:val="clear" w:color="auto" w:fill="95B3D7"/>
          </w:tcPr>
          <w:p>
            <w:pPr>
              <w:spacing w:after="0"/>
              <w:rPr>
                <w:sz w:val="13"/>
                <w:szCs w:val="13"/>
                <w:color w:val="auto"/>
              </w:rPr>
            </w:pPr>
          </w:p>
        </w:tc>
        <w:tc>
          <w:tcPr>
            <w:tcW w:w="100" w:type="dxa"/>
            <w:vAlign w:val="bottom"/>
            <w:shd w:val="clear" w:color="auto" w:fill="95B3D7"/>
          </w:tcPr>
          <w:p>
            <w:pPr>
              <w:spacing w:after="0"/>
              <w:rPr>
                <w:sz w:val="13"/>
                <w:szCs w:val="13"/>
                <w:color w:val="auto"/>
              </w:rPr>
            </w:pPr>
          </w:p>
        </w:tc>
        <w:tc>
          <w:tcPr>
            <w:tcW w:w="160" w:type="dxa"/>
            <w:vAlign w:val="bottom"/>
            <w:shd w:val="clear" w:color="auto" w:fill="95B3D7"/>
          </w:tcPr>
          <w:p>
            <w:pPr>
              <w:spacing w:after="0"/>
              <w:rPr>
                <w:sz w:val="13"/>
                <w:szCs w:val="13"/>
                <w:color w:val="auto"/>
              </w:rPr>
            </w:pPr>
          </w:p>
        </w:tc>
        <w:tc>
          <w:tcPr>
            <w:tcW w:w="1640" w:type="dxa"/>
            <w:vAlign w:val="bottom"/>
            <w:gridSpan w:val="4"/>
            <w:shd w:val="clear" w:color="auto" w:fill="95B3D7"/>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shd w:val="clear" w:color="auto" w:fill="95B3D7"/>
          </w:tcPr>
          <w:p>
            <w:pPr>
              <w:spacing w:after="0"/>
              <w:rPr>
                <w:sz w:val="13"/>
                <w:szCs w:val="13"/>
                <w:color w:val="auto"/>
              </w:rPr>
            </w:pPr>
          </w:p>
        </w:tc>
        <w:tc>
          <w:tcPr>
            <w:tcW w:w="180" w:type="dxa"/>
            <w:vAlign w:val="bottom"/>
            <w:shd w:val="clear" w:color="auto" w:fill="95B3D7"/>
          </w:tcPr>
          <w:p>
            <w:pPr>
              <w:spacing w:after="0"/>
              <w:rPr>
                <w:sz w:val="13"/>
                <w:szCs w:val="13"/>
                <w:color w:val="auto"/>
              </w:rPr>
            </w:pPr>
          </w:p>
        </w:tc>
        <w:tc>
          <w:tcPr>
            <w:tcW w:w="900" w:type="dxa"/>
            <w:vAlign w:val="bottom"/>
            <w:gridSpan w:val="3"/>
            <w:vMerge w:val="restart"/>
            <w:shd w:val="clear" w:color="auto" w:fill="95B3D7"/>
          </w:tcPr>
          <w:p>
            <w:pPr>
              <w:ind w:lef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shd w:val="clear" w:color="auto" w:fill="95B3D7"/>
          </w:tcPr>
          <w:p>
            <w:pPr>
              <w:spacing w:after="0"/>
              <w:rPr>
                <w:sz w:val="13"/>
                <w:szCs w:val="13"/>
                <w:color w:val="auto"/>
              </w:rPr>
            </w:pPr>
          </w:p>
        </w:tc>
        <w:tc>
          <w:tcPr>
            <w:tcW w:w="380" w:type="dxa"/>
            <w:vAlign w:val="bottom"/>
            <w:shd w:val="clear" w:color="auto" w:fill="95B3D7"/>
          </w:tcPr>
          <w:p>
            <w:pPr>
              <w:spacing w:after="0"/>
              <w:rPr>
                <w:sz w:val="13"/>
                <w:szCs w:val="13"/>
                <w:color w:val="auto"/>
              </w:rPr>
            </w:pPr>
          </w:p>
        </w:tc>
        <w:tc>
          <w:tcPr>
            <w:tcW w:w="160" w:type="dxa"/>
            <w:vAlign w:val="bottom"/>
            <w:shd w:val="clear" w:color="auto" w:fill="95B3D7"/>
          </w:tcPr>
          <w:p>
            <w:pPr>
              <w:spacing w:after="0"/>
              <w:rPr>
                <w:sz w:val="13"/>
                <w:szCs w:val="13"/>
                <w:color w:val="auto"/>
              </w:rPr>
            </w:pPr>
          </w:p>
        </w:tc>
        <w:tc>
          <w:tcPr>
            <w:tcW w:w="1640" w:type="dxa"/>
            <w:vAlign w:val="bottom"/>
            <w:gridSpan w:val="5"/>
            <w:shd w:val="clear" w:color="auto" w:fill="95B3D7"/>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shd w:val="clear" w:color="auto" w:fill="95B3D7"/>
          </w:tcPr>
          <w:p>
            <w:pPr>
              <w:spacing w:after="0"/>
              <w:rPr>
                <w:sz w:val="13"/>
                <w:szCs w:val="13"/>
                <w:color w:val="auto"/>
              </w:rPr>
            </w:pPr>
          </w:p>
        </w:tc>
        <w:tc>
          <w:tcPr>
            <w:tcW w:w="160" w:type="dxa"/>
            <w:vAlign w:val="bottom"/>
            <w:shd w:val="clear" w:color="auto" w:fill="95B3D7"/>
          </w:tcPr>
          <w:p>
            <w:pPr>
              <w:spacing w:after="0"/>
              <w:rPr>
                <w:sz w:val="13"/>
                <w:szCs w:val="13"/>
                <w:color w:val="auto"/>
              </w:rPr>
            </w:pPr>
          </w:p>
        </w:tc>
        <w:tc>
          <w:tcPr>
            <w:tcW w:w="920" w:type="dxa"/>
            <w:vAlign w:val="bottom"/>
            <w:gridSpan w:val="3"/>
            <w:vMerge w:val="restart"/>
            <w:shd w:val="clear" w:color="auto" w:fill="95B3D7"/>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20" w:type="dxa"/>
            <w:vAlign w:val="bottom"/>
            <w:shd w:val="clear" w:color="auto" w:fill="95B3D7"/>
          </w:tcPr>
          <w:p>
            <w:pPr>
              <w:spacing w:after="0"/>
              <w:rPr>
                <w:sz w:val="13"/>
                <w:szCs w:val="13"/>
                <w:color w:val="auto"/>
              </w:rPr>
            </w:pPr>
          </w:p>
        </w:tc>
        <w:tc>
          <w:tcPr>
            <w:tcW w:w="260" w:type="dxa"/>
            <w:vAlign w:val="bottom"/>
            <w:shd w:val="clear" w:color="auto" w:fill="95B3D7"/>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300" w:type="dxa"/>
            <w:vAlign w:val="bottom"/>
            <w:tcBorders>
              <w:bottom w:val="single" w:sz="8" w:color="95B3D7"/>
            </w:tcBorders>
            <w:shd w:val="clear" w:color="auto" w:fill="95B3D7"/>
          </w:tcPr>
          <w:p>
            <w:pPr>
              <w:spacing w:after="0"/>
              <w:rPr>
                <w:sz w:val="15"/>
                <w:szCs w:val="15"/>
                <w:color w:val="auto"/>
              </w:rPr>
            </w:pPr>
          </w:p>
        </w:tc>
        <w:tc>
          <w:tcPr>
            <w:tcW w:w="100" w:type="dxa"/>
            <w:vAlign w:val="bottom"/>
            <w:tcBorders>
              <w:bottom w:val="single" w:sz="8" w:color="95B3D7"/>
            </w:tcBorders>
            <w:shd w:val="clear" w:color="auto" w:fill="95B3D7"/>
          </w:tcPr>
          <w:p>
            <w:pPr>
              <w:spacing w:after="0"/>
              <w:rPr>
                <w:sz w:val="15"/>
                <w:szCs w:val="15"/>
                <w:color w:val="auto"/>
              </w:rPr>
            </w:pPr>
          </w:p>
        </w:tc>
        <w:tc>
          <w:tcPr>
            <w:tcW w:w="160" w:type="dxa"/>
            <w:vAlign w:val="bottom"/>
            <w:tcBorders>
              <w:bottom w:val="single" w:sz="8" w:color="auto"/>
            </w:tcBorders>
            <w:shd w:val="clear" w:color="auto" w:fill="95B3D7"/>
          </w:tcPr>
          <w:p>
            <w:pPr>
              <w:spacing w:after="0"/>
              <w:rPr>
                <w:sz w:val="15"/>
                <w:szCs w:val="15"/>
                <w:color w:val="auto"/>
              </w:rPr>
            </w:pPr>
          </w:p>
        </w:tc>
        <w:tc>
          <w:tcPr>
            <w:tcW w:w="1640" w:type="dxa"/>
            <w:vAlign w:val="bottom"/>
            <w:tcBorders>
              <w:bottom w:val="single" w:sz="8" w:color="auto"/>
            </w:tcBorders>
            <w:gridSpan w:val="4"/>
            <w:shd w:val="clear" w:color="auto" w:fill="95B3D7"/>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Borders>
              <w:bottom w:val="single" w:sz="8" w:color="95B3D7"/>
            </w:tcBorders>
            <w:shd w:val="clear" w:color="auto" w:fill="95B3D7"/>
          </w:tcPr>
          <w:p>
            <w:pPr>
              <w:spacing w:after="0"/>
              <w:rPr>
                <w:sz w:val="15"/>
                <w:szCs w:val="15"/>
                <w:color w:val="auto"/>
              </w:rPr>
            </w:pPr>
          </w:p>
        </w:tc>
        <w:tc>
          <w:tcPr>
            <w:tcW w:w="180" w:type="dxa"/>
            <w:vAlign w:val="bottom"/>
            <w:tcBorders>
              <w:bottom w:val="single" w:sz="8" w:color="auto"/>
            </w:tcBorders>
            <w:shd w:val="clear" w:color="auto" w:fill="95B3D7"/>
          </w:tcPr>
          <w:p>
            <w:pPr>
              <w:spacing w:after="0"/>
              <w:rPr>
                <w:sz w:val="15"/>
                <w:szCs w:val="15"/>
                <w:color w:val="auto"/>
              </w:rPr>
            </w:pPr>
          </w:p>
        </w:tc>
        <w:tc>
          <w:tcPr>
            <w:tcW w:w="900" w:type="dxa"/>
            <w:vAlign w:val="bottom"/>
            <w:tcBorders>
              <w:bottom w:val="single" w:sz="8" w:color="auto"/>
            </w:tcBorders>
            <w:gridSpan w:val="3"/>
            <w:vMerge w:val="continue"/>
            <w:shd w:val="clear" w:color="auto" w:fill="95B3D7"/>
          </w:tcPr>
          <w:p>
            <w:pPr>
              <w:spacing w:after="0"/>
              <w:rPr>
                <w:sz w:val="15"/>
                <w:szCs w:val="15"/>
                <w:color w:val="auto"/>
              </w:rPr>
            </w:pPr>
          </w:p>
        </w:tc>
        <w:tc>
          <w:tcPr>
            <w:tcW w:w="500" w:type="dxa"/>
            <w:vAlign w:val="bottom"/>
            <w:tcBorders>
              <w:bottom w:val="single" w:sz="8" w:color="auto"/>
            </w:tcBorders>
            <w:shd w:val="clear" w:color="auto" w:fill="95B3D7"/>
          </w:tcPr>
          <w:p>
            <w:pPr>
              <w:spacing w:after="0"/>
              <w:rPr>
                <w:sz w:val="15"/>
                <w:szCs w:val="15"/>
                <w:color w:val="auto"/>
              </w:rPr>
            </w:pPr>
          </w:p>
        </w:tc>
        <w:tc>
          <w:tcPr>
            <w:tcW w:w="380" w:type="dxa"/>
            <w:vAlign w:val="bottom"/>
            <w:tcBorders>
              <w:bottom w:val="single" w:sz="8" w:color="95B3D7"/>
            </w:tcBorders>
            <w:shd w:val="clear" w:color="auto" w:fill="95B3D7"/>
          </w:tcPr>
          <w:p>
            <w:pPr>
              <w:spacing w:after="0"/>
              <w:rPr>
                <w:sz w:val="15"/>
                <w:szCs w:val="15"/>
                <w:color w:val="auto"/>
              </w:rPr>
            </w:pPr>
          </w:p>
        </w:tc>
        <w:tc>
          <w:tcPr>
            <w:tcW w:w="160" w:type="dxa"/>
            <w:vAlign w:val="bottom"/>
            <w:tcBorders>
              <w:bottom w:val="single" w:sz="8" w:color="auto"/>
            </w:tcBorders>
            <w:shd w:val="clear" w:color="auto" w:fill="95B3D7"/>
          </w:tcPr>
          <w:p>
            <w:pPr>
              <w:spacing w:after="0"/>
              <w:rPr>
                <w:sz w:val="15"/>
                <w:szCs w:val="15"/>
                <w:color w:val="auto"/>
              </w:rPr>
            </w:pPr>
          </w:p>
        </w:tc>
        <w:tc>
          <w:tcPr>
            <w:tcW w:w="1640" w:type="dxa"/>
            <w:vAlign w:val="bottom"/>
            <w:tcBorders>
              <w:bottom w:val="single" w:sz="8" w:color="auto"/>
            </w:tcBorders>
            <w:gridSpan w:val="5"/>
            <w:shd w:val="clear" w:color="auto" w:fill="95B3D7"/>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Borders>
              <w:bottom w:val="single" w:sz="8" w:color="95B3D7"/>
            </w:tcBorders>
            <w:shd w:val="clear" w:color="auto" w:fill="95B3D7"/>
          </w:tcPr>
          <w:p>
            <w:pPr>
              <w:spacing w:after="0"/>
              <w:rPr>
                <w:sz w:val="15"/>
                <w:szCs w:val="15"/>
                <w:color w:val="auto"/>
              </w:rPr>
            </w:pPr>
          </w:p>
        </w:tc>
        <w:tc>
          <w:tcPr>
            <w:tcW w:w="160" w:type="dxa"/>
            <w:vAlign w:val="bottom"/>
            <w:tcBorders>
              <w:bottom w:val="single" w:sz="8" w:color="auto"/>
            </w:tcBorders>
            <w:shd w:val="clear" w:color="auto" w:fill="95B3D7"/>
          </w:tcPr>
          <w:p>
            <w:pPr>
              <w:spacing w:after="0"/>
              <w:rPr>
                <w:sz w:val="15"/>
                <w:szCs w:val="15"/>
                <w:color w:val="auto"/>
              </w:rPr>
            </w:pPr>
          </w:p>
        </w:tc>
        <w:tc>
          <w:tcPr>
            <w:tcW w:w="920" w:type="dxa"/>
            <w:vAlign w:val="bottom"/>
            <w:tcBorders>
              <w:bottom w:val="single" w:sz="8" w:color="auto"/>
            </w:tcBorders>
            <w:gridSpan w:val="3"/>
            <w:vMerge w:val="continue"/>
            <w:shd w:val="clear" w:color="auto" w:fill="95B3D7"/>
          </w:tcPr>
          <w:p>
            <w:pPr>
              <w:spacing w:after="0"/>
              <w:rPr>
                <w:sz w:val="15"/>
                <w:szCs w:val="15"/>
                <w:color w:val="auto"/>
              </w:rPr>
            </w:pPr>
          </w:p>
        </w:tc>
        <w:tc>
          <w:tcPr>
            <w:tcW w:w="520" w:type="dxa"/>
            <w:vAlign w:val="bottom"/>
            <w:tcBorders>
              <w:bottom w:val="single" w:sz="8" w:color="auto"/>
            </w:tcBorders>
            <w:shd w:val="clear" w:color="auto" w:fill="95B3D7"/>
          </w:tcPr>
          <w:p>
            <w:pPr>
              <w:spacing w:after="0"/>
              <w:rPr>
                <w:sz w:val="15"/>
                <w:szCs w:val="15"/>
                <w:color w:val="auto"/>
              </w:rPr>
            </w:pPr>
          </w:p>
        </w:tc>
        <w:tc>
          <w:tcPr>
            <w:tcW w:w="260" w:type="dxa"/>
            <w:vAlign w:val="bottom"/>
            <w:tcBorders>
              <w:bottom w:val="single" w:sz="8" w:color="95B3D7"/>
            </w:tcBorders>
            <w:shd w:val="clear" w:color="auto" w:fill="95B3D7"/>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00" w:type="dxa"/>
            <w:vAlign w:val="bottom"/>
            <w:tcBorders>
              <w:bottom w:val="single" w:sz="8" w:color="95B3D7"/>
            </w:tcBorders>
            <w:shd w:val="clear" w:color="auto" w:fill="95B3D7"/>
          </w:tcPr>
          <w:p>
            <w:pPr>
              <w:spacing w:after="0"/>
              <w:rPr>
                <w:sz w:val="12"/>
                <w:szCs w:val="12"/>
                <w:color w:val="auto"/>
              </w:rPr>
            </w:pPr>
          </w:p>
        </w:tc>
        <w:tc>
          <w:tcPr>
            <w:tcW w:w="100" w:type="dxa"/>
            <w:vAlign w:val="bottom"/>
            <w:tcBorders>
              <w:bottom w:val="single" w:sz="8" w:color="95B3D7"/>
            </w:tcBorders>
            <w:shd w:val="clear" w:color="auto" w:fill="95B3D7"/>
          </w:tcPr>
          <w:p>
            <w:pPr>
              <w:spacing w:after="0"/>
              <w:rPr>
                <w:sz w:val="12"/>
                <w:szCs w:val="12"/>
                <w:color w:val="auto"/>
              </w:rPr>
            </w:pPr>
          </w:p>
        </w:tc>
        <w:tc>
          <w:tcPr>
            <w:tcW w:w="160" w:type="dxa"/>
            <w:vAlign w:val="bottom"/>
            <w:tcBorders>
              <w:bottom w:val="single" w:sz="8" w:color="auto"/>
            </w:tcBorders>
            <w:shd w:val="clear" w:color="auto" w:fill="95B3D7"/>
          </w:tcPr>
          <w:p>
            <w:pPr>
              <w:spacing w:after="0"/>
              <w:rPr>
                <w:sz w:val="12"/>
                <w:szCs w:val="12"/>
                <w:color w:val="auto"/>
              </w:rPr>
            </w:pPr>
          </w:p>
        </w:tc>
        <w:tc>
          <w:tcPr>
            <w:tcW w:w="640" w:type="dxa"/>
            <w:vAlign w:val="bottom"/>
            <w:tcBorders>
              <w:bottom w:val="single" w:sz="8" w:color="auto"/>
            </w:tcBorders>
            <w:shd w:val="clear" w:color="auto" w:fill="95B3D7"/>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bottom w:val="single" w:sz="8" w:color="95B3D7"/>
            </w:tcBorders>
            <w:shd w:val="clear" w:color="auto" w:fill="95B3D7"/>
          </w:tcPr>
          <w:p>
            <w:pPr>
              <w:spacing w:after="0"/>
              <w:rPr>
                <w:sz w:val="12"/>
                <w:szCs w:val="12"/>
                <w:color w:val="auto"/>
              </w:rPr>
            </w:pPr>
          </w:p>
        </w:tc>
        <w:tc>
          <w:tcPr>
            <w:tcW w:w="180" w:type="dxa"/>
            <w:vAlign w:val="bottom"/>
            <w:tcBorders>
              <w:bottom w:val="single" w:sz="8" w:color="auto"/>
            </w:tcBorders>
            <w:shd w:val="clear" w:color="auto" w:fill="95B3D7"/>
          </w:tcPr>
          <w:p>
            <w:pPr>
              <w:spacing w:after="0"/>
              <w:rPr>
                <w:sz w:val="12"/>
                <w:szCs w:val="12"/>
                <w:color w:val="auto"/>
              </w:rPr>
            </w:pPr>
          </w:p>
        </w:tc>
        <w:tc>
          <w:tcPr>
            <w:tcW w:w="620" w:type="dxa"/>
            <w:vAlign w:val="bottom"/>
            <w:tcBorders>
              <w:bottom w:val="single" w:sz="8" w:color="auto"/>
            </w:tcBorders>
            <w:shd w:val="clear" w:color="auto" w:fill="95B3D7"/>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95B3D7"/>
            </w:tcBorders>
            <w:shd w:val="clear" w:color="auto" w:fill="95B3D7"/>
          </w:tcPr>
          <w:p>
            <w:pPr>
              <w:spacing w:after="0"/>
              <w:rPr>
                <w:sz w:val="12"/>
                <w:szCs w:val="12"/>
                <w:color w:val="auto"/>
              </w:rPr>
            </w:pPr>
          </w:p>
        </w:tc>
        <w:tc>
          <w:tcPr>
            <w:tcW w:w="180" w:type="dxa"/>
            <w:vAlign w:val="bottom"/>
            <w:tcBorders>
              <w:bottom w:val="single" w:sz="8" w:color="auto"/>
            </w:tcBorders>
            <w:shd w:val="clear" w:color="auto" w:fill="95B3D7"/>
          </w:tcPr>
          <w:p>
            <w:pPr>
              <w:spacing w:after="0"/>
              <w:rPr>
                <w:sz w:val="12"/>
                <w:szCs w:val="12"/>
                <w:color w:val="auto"/>
              </w:rPr>
            </w:pPr>
          </w:p>
        </w:tc>
        <w:tc>
          <w:tcPr>
            <w:tcW w:w="460" w:type="dxa"/>
            <w:vAlign w:val="bottom"/>
            <w:tcBorders>
              <w:bottom w:val="single" w:sz="8" w:color="auto"/>
            </w:tcBorders>
            <w:shd w:val="clear" w:color="auto" w:fill="95B3D7"/>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95B3D7"/>
            </w:tcBorders>
            <w:shd w:val="clear" w:color="auto" w:fill="95B3D7"/>
          </w:tcPr>
          <w:p>
            <w:pPr>
              <w:spacing w:after="0"/>
              <w:rPr>
                <w:sz w:val="12"/>
                <w:szCs w:val="12"/>
                <w:color w:val="auto"/>
              </w:rPr>
            </w:pPr>
          </w:p>
        </w:tc>
        <w:tc>
          <w:tcPr>
            <w:tcW w:w="220" w:type="dxa"/>
            <w:vAlign w:val="bottom"/>
            <w:tcBorders>
              <w:bottom w:val="single" w:sz="8" w:color="auto"/>
            </w:tcBorders>
            <w:shd w:val="clear" w:color="auto" w:fill="95B3D7"/>
          </w:tcPr>
          <w:p>
            <w:pPr>
              <w:spacing w:after="0"/>
              <w:rPr>
                <w:sz w:val="12"/>
                <w:szCs w:val="12"/>
                <w:color w:val="auto"/>
              </w:rPr>
            </w:pPr>
          </w:p>
        </w:tc>
        <w:tc>
          <w:tcPr>
            <w:tcW w:w="500" w:type="dxa"/>
            <w:vAlign w:val="bottom"/>
            <w:tcBorders>
              <w:bottom w:val="single" w:sz="8" w:color="auto"/>
            </w:tcBorders>
            <w:shd w:val="clear" w:color="auto" w:fill="95B3D7"/>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Borders>
              <w:bottom w:val="single" w:sz="8" w:color="95B3D7"/>
            </w:tcBorders>
            <w:shd w:val="clear" w:color="auto" w:fill="95B3D7"/>
          </w:tcPr>
          <w:p>
            <w:pPr>
              <w:spacing w:after="0"/>
              <w:rPr>
                <w:sz w:val="12"/>
                <w:szCs w:val="12"/>
                <w:color w:val="auto"/>
              </w:rPr>
            </w:pPr>
          </w:p>
        </w:tc>
        <w:tc>
          <w:tcPr>
            <w:tcW w:w="160" w:type="dxa"/>
            <w:vAlign w:val="bottom"/>
            <w:tcBorders>
              <w:bottom w:val="single" w:sz="8" w:color="auto"/>
            </w:tcBorders>
            <w:shd w:val="clear" w:color="auto" w:fill="95B3D7"/>
          </w:tcPr>
          <w:p>
            <w:pPr>
              <w:spacing w:after="0"/>
              <w:rPr>
                <w:sz w:val="12"/>
                <w:szCs w:val="12"/>
                <w:color w:val="auto"/>
              </w:rPr>
            </w:pPr>
          </w:p>
        </w:tc>
        <w:tc>
          <w:tcPr>
            <w:tcW w:w="620" w:type="dxa"/>
            <w:vAlign w:val="bottom"/>
            <w:tcBorders>
              <w:bottom w:val="single" w:sz="8" w:color="auto"/>
            </w:tcBorders>
            <w:shd w:val="clear" w:color="auto" w:fill="95B3D7"/>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95B3D7"/>
            </w:tcBorders>
            <w:shd w:val="clear" w:color="auto" w:fill="95B3D7"/>
          </w:tcPr>
          <w:p>
            <w:pPr>
              <w:spacing w:after="0"/>
              <w:rPr>
                <w:sz w:val="12"/>
                <w:szCs w:val="12"/>
                <w:color w:val="auto"/>
              </w:rPr>
            </w:pPr>
          </w:p>
        </w:tc>
        <w:tc>
          <w:tcPr>
            <w:tcW w:w="80" w:type="dxa"/>
            <w:vAlign w:val="bottom"/>
            <w:tcBorders>
              <w:bottom w:val="single" w:sz="8" w:color="95B3D7"/>
            </w:tcBorders>
            <w:shd w:val="clear" w:color="auto" w:fill="95B3D7"/>
          </w:tcPr>
          <w:p>
            <w:pPr>
              <w:spacing w:after="0"/>
              <w:rPr>
                <w:sz w:val="12"/>
                <w:szCs w:val="12"/>
                <w:color w:val="auto"/>
              </w:rPr>
            </w:pPr>
          </w:p>
        </w:tc>
        <w:tc>
          <w:tcPr>
            <w:tcW w:w="180" w:type="dxa"/>
            <w:vAlign w:val="bottom"/>
            <w:tcBorders>
              <w:bottom w:val="single" w:sz="8" w:color="auto"/>
            </w:tcBorders>
            <w:shd w:val="clear" w:color="auto" w:fill="95B3D7"/>
          </w:tcPr>
          <w:p>
            <w:pPr>
              <w:spacing w:after="0"/>
              <w:rPr>
                <w:sz w:val="12"/>
                <w:szCs w:val="12"/>
                <w:color w:val="auto"/>
              </w:rPr>
            </w:pPr>
          </w:p>
        </w:tc>
        <w:tc>
          <w:tcPr>
            <w:tcW w:w="620" w:type="dxa"/>
            <w:vAlign w:val="bottom"/>
            <w:tcBorders>
              <w:bottom w:val="single" w:sz="8" w:color="auto"/>
            </w:tcBorders>
            <w:shd w:val="clear" w:color="auto" w:fill="95B3D7"/>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95B3D7"/>
            </w:tcBorders>
            <w:shd w:val="clear" w:color="auto" w:fill="95B3D7"/>
          </w:tcPr>
          <w:p>
            <w:pPr>
              <w:spacing w:after="0"/>
              <w:rPr>
                <w:sz w:val="12"/>
                <w:szCs w:val="12"/>
                <w:color w:val="auto"/>
              </w:rPr>
            </w:pPr>
          </w:p>
        </w:tc>
        <w:tc>
          <w:tcPr>
            <w:tcW w:w="160" w:type="dxa"/>
            <w:vAlign w:val="bottom"/>
            <w:tcBorders>
              <w:bottom w:val="single" w:sz="8" w:color="auto"/>
            </w:tcBorders>
            <w:shd w:val="clear" w:color="auto" w:fill="95B3D7"/>
          </w:tcPr>
          <w:p>
            <w:pPr>
              <w:spacing w:after="0"/>
              <w:rPr>
                <w:sz w:val="12"/>
                <w:szCs w:val="12"/>
                <w:color w:val="auto"/>
              </w:rPr>
            </w:pPr>
          </w:p>
        </w:tc>
        <w:tc>
          <w:tcPr>
            <w:tcW w:w="480" w:type="dxa"/>
            <w:vAlign w:val="bottom"/>
            <w:tcBorders>
              <w:bottom w:val="single" w:sz="8" w:color="auto"/>
            </w:tcBorders>
            <w:shd w:val="clear" w:color="auto" w:fill="95B3D7"/>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95B3D7"/>
            </w:tcBorders>
            <w:shd w:val="clear" w:color="auto" w:fill="95B3D7"/>
          </w:tcPr>
          <w:p>
            <w:pPr>
              <w:spacing w:after="0"/>
              <w:rPr>
                <w:sz w:val="12"/>
                <w:szCs w:val="12"/>
                <w:color w:val="auto"/>
              </w:rPr>
            </w:pPr>
          </w:p>
        </w:tc>
        <w:tc>
          <w:tcPr>
            <w:tcW w:w="240" w:type="dxa"/>
            <w:vAlign w:val="bottom"/>
            <w:tcBorders>
              <w:bottom w:val="single" w:sz="8" w:color="auto"/>
            </w:tcBorders>
            <w:shd w:val="clear" w:color="auto" w:fill="95B3D7"/>
          </w:tcPr>
          <w:p>
            <w:pPr>
              <w:spacing w:after="0"/>
              <w:rPr>
                <w:sz w:val="12"/>
                <w:szCs w:val="12"/>
                <w:color w:val="auto"/>
              </w:rPr>
            </w:pPr>
          </w:p>
        </w:tc>
        <w:tc>
          <w:tcPr>
            <w:tcW w:w="520" w:type="dxa"/>
            <w:vAlign w:val="bottom"/>
            <w:tcBorders>
              <w:bottom w:val="single" w:sz="8" w:color="auto"/>
            </w:tcBorders>
            <w:shd w:val="clear" w:color="auto" w:fill="95B3D7"/>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95B3D7"/>
            </w:tcBorders>
            <w:shd w:val="clear" w:color="auto" w:fill="95B3D7"/>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00" w:type="dxa"/>
            <w:vAlign w:val="bottom"/>
            <w:shd w:val="clear" w:color="auto" w:fill="E9EDF4"/>
          </w:tcPr>
          <w:p>
            <w:pPr>
              <w:spacing w:after="0" w:line="210" w:lineRule="exact"/>
              <w:rPr>
                <w:sz w:val="20"/>
                <w:szCs w:val="20"/>
                <w:color w:val="auto"/>
              </w:rPr>
            </w:pPr>
            <w:r>
              <w:rPr>
                <w:rFonts w:ascii="Times New Roman" w:cs="Times New Roman" w:eastAsia="Times New Roman" w:hAnsi="Times New Roman"/>
                <w:sz w:val="18"/>
                <w:szCs w:val="18"/>
                <w:b w:val="1"/>
                <w:bCs w:val="1"/>
                <w:color w:val="auto"/>
              </w:rPr>
              <w:t>Diluted net income per share</w:t>
            </w:r>
            <w:r>
              <w:rPr>
                <w:rFonts w:ascii="Times New Roman" w:cs="Times New Roman" w:eastAsia="Times New Roman" w:hAnsi="Times New Roman"/>
                <w:sz w:val="24"/>
                <w:szCs w:val="24"/>
                <w:b w:val="1"/>
                <w:bCs w:val="1"/>
                <w:color w:val="auto"/>
                <w:vertAlign w:val="superscript"/>
              </w:rPr>
              <w:t>(1)</w:t>
            </w:r>
          </w:p>
        </w:tc>
        <w:tc>
          <w:tcPr>
            <w:tcW w:w="260" w:type="dxa"/>
            <w:vAlign w:val="bottom"/>
            <w:gridSpan w:val="2"/>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0.67</w:t>
            </w:r>
          </w:p>
        </w:tc>
        <w:tc>
          <w:tcPr>
            <w:tcW w:w="380" w:type="dxa"/>
            <w:vAlign w:val="bottom"/>
            <w:gridSpan w:val="2"/>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0.68</w:t>
            </w:r>
          </w:p>
        </w:tc>
        <w:tc>
          <w:tcPr>
            <w:tcW w:w="380" w:type="dxa"/>
            <w:vAlign w:val="bottom"/>
            <w:gridSpan w:val="2"/>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shd w:val="clear" w:color="auto" w:fill="E9EDF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(0.01)</w:t>
            </w:r>
          </w:p>
        </w:tc>
        <w:tc>
          <w:tcPr>
            <w:tcW w:w="220" w:type="dxa"/>
            <w:vAlign w:val="bottom"/>
            <w:shd w:val="clear" w:color="auto" w:fill="E9EDF4"/>
          </w:tcPr>
          <w:p>
            <w:pPr>
              <w:spacing w:after="0"/>
              <w:rPr>
                <w:sz w:val="18"/>
                <w:szCs w:val="18"/>
                <w:color w:val="auto"/>
              </w:rPr>
            </w:pPr>
          </w:p>
        </w:tc>
        <w:tc>
          <w:tcPr>
            <w:tcW w:w="880" w:type="dxa"/>
            <w:vAlign w:val="bottom"/>
            <w:gridSpan w:val="2"/>
            <w:shd w:val="clear" w:color="auto" w:fill="E9EDF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w:t>
            </w:r>
          </w:p>
        </w:tc>
        <w:tc>
          <w:tcPr>
            <w:tcW w:w="16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2.57</w:t>
            </w:r>
          </w:p>
        </w:tc>
        <w:tc>
          <w:tcPr>
            <w:tcW w:w="140" w:type="dxa"/>
            <w:vAlign w:val="bottom"/>
            <w:shd w:val="clear" w:color="auto" w:fill="E9EDF4"/>
          </w:tcPr>
          <w:p>
            <w:pPr>
              <w:spacing w:after="0"/>
              <w:rPr>
                <w:sz w:val="18"/>
                <w:szCs w:val="18"/>
                <w:color w:val="auto"/>
              </w:rPr>
            </w:pPr>
          </w:p>
        </w:tc>
        <w:tc>
          <w:tcPr>
            <w:tcW w:w="260" w:type="dxa"/>
            <w:vAlign w:val="bottom"/>
            <w:gridSpan w:val="2"/>
            <w:shd w:val="clear" w:color="auto" w:fill="E9EDF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2.57</w:t>
            </w:r>
          </w:p>
        </w:tc>
        <w:tc>
          <w:tcPr>
            <w:tcW w:w="380" w:type="dxa"/>
            <w:vAlign w:val="bottom"/>
            <w:gridSpan w:val="2"/>
            <w:shd w:val="clear" w:color="auto" w:fill="E9EDF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3"/>
            <w:shd w:val="clear" w:color="auto" w:fill="E9EDF4"/>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E9EDF4"/>
          </w:tcPr>
          <w:p>
            <w:pPr>
              <w:ind w:left="28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198"/>
        </w:trPr>
        <w:tc>
          <w:tcPr>
            <w:tcW w:w="3300" w:type="dxa"/>
            <w:vAlign w:val="bottom"/>
            <w:shd w:val="clear" w:color="auto" w:fill="D0D8E8"/>
          </w:tcPr>
          <w:p>
            <w:pPr>
              <w:ind w:left="60"/>
              <w:spacing w:after="0" w:line="198" w:lineRule="exact"/>
              <w:rPr>
                <w:sz w:val="20"/>
                <w:szCs w:val="20"/>
                <w:color w:val="auto"/>
              </w:rPr>
            </w:pPr>
            <w:r>
              <w:rPr>
                <w:rFonts w:ascii="Times New Roman" w:cs="Times New Roman" w:eastAsia="Times New Roman" w:hAnsi="Times New Roman"/>
                <w:sz w:val="18"/>
                <w:szCs w:val="18"/>
                <w:color w:val="auto"/>
              </w:rPr>
              <w:t>Change in estimated acquisition earn-out</w:t>
            </w:r>
          </w:p>
        </w:tc>
        <w:tc>
          <w:tcPr>
            <w:tcW w:w="100" w:type="dxa"/>
            <w:vAlign w:val="bottom"/>
            <w:shd w:val="clear" w:color="auto" w:fill="D0D8E8"/>
          </w:tcPr>
          <w:p>
            <w:pPr>
              <w:spacing w:after="0"/>
              <w:rPr>
                <w:sz w:val="17"/>
                <w:szCs w:val="17"/>
                <w:color w:val="auto"/>
              </w:rPr>
            </w:pPr>
          </w:p>
        </w:tc>
        <w:tc>
          <w:tcPr>
            <w:tcW w:w="160" w:type="dxa"/>
            <w:vAlign w:val="bottom"/>
            <w:shd w:val="clear" w:color="auto" w:fill="D0D8E8"/>
          </w:tcPr>
          <w:p>
            <w:pPr>
              <w:spacing w:after="0"/>
              <w:rPr>
                <w:sz w:val="17"/>
                <w:szCs w:val="17"/>
                <w:color w:val="auto"/>
              </w:rPr>
            </w:pPr>
          </w:p>
        </w:tc>
        <w:tc>
          <w:tcPr>
            <w:tcW w:w="640" w:type="dxa"/>
            <w:vAlign w:val="bottom"/>
            <w:shd w:val="clear" w:color="auto" w:fill="D0D8E8"/>
          </w:tcPr>
          <w:p>
            <w:pPr>
              <w:spacing w:after="0"/>
              <w:rPr>
                <w:sz w:val="17"/>
                <w:szCs w:val="17"/>
                <w:color w:val="auto"/>
              </w:rPr>
            </w:pPr>
          </w:p>
        </w:tc>
        <w:tc>
          <w:tcPr>
            <w:tcW w:w="200" w:type="dxa"/>
            <w:vAlign w:val="bottom"/>
            <w:shd w:val="clear" w:color="auto" w:fill="D0D8E8"/>
          </w:tcPr>
          <w:p>
            <w:pPr>
              <w:spacing w:after="0"/>
              <w:rPr>
                <w:sz w:val="17"/>
                <w:szCs w:val="17"/>
                <w:color w:val="auto"/>
              </w:rPr>
            </w:pPr>
          </w:p>
        </w:tc>
        <w:tc>
          <w:tcPr>
            <w:tcW w:w="180" w:type="dxa"/>
            <w:vAlign w:val="bottom"/>
            <w:shd w:val="clear" w:color="auto" w:fill="D0D8E8"/>
          </w:tcPr>
          <w:p>
            <w:pPr>
              <w:spacing w:after="0"/>
              <w:rPr>
                <w:sz w:val="17"/>
                <w:szCs w:val="17"/>
                <w:color w:val="auto"/>
              </w:rPr>
            </w:pPr>
          </w:p>
        </w:tc>
        <w:tc>
          <w:tcPr>
            <w:tcW w:w="620" w:type="dxa"/>
            <w:vAlign w:val="bottom"/>
            <w:shd w:val="clear" w:color="auto" w:fill="D0D8E8"/>
          </w:tcPr>
          <w:p>
            <w:pPr>
              <w:spacing w:after="0"/>
              <w:rPr>
                <w:sz w:val="17"/>
                <w:szCs w:val="17"/>
                <w:color w:val="auto"/>
              </w:rPr>
            </w:pPr>
          </w:p>
        </w:tc>
        <w:tc>
          <w:tcPr>
            <w:tcW w:w="200" w:type="dxa"/>
            <w:vAlign w:val="bottom"/>
            <w:shd w:val="clear" w:color="auto" w:fill="D0D8E8"/>
          </w:tcPr>
          <w:p>
            <w:pPr>
              <w:spacing w:after="0"/>
              <w:rPr>
                <w:sz w:val="17"/>
                <w:szCs w:val="17"/>
                <w:color w:val="auto"/>
              </w:rPr>
            </w:pPr>
          </w:p>
        </w:tc>
        <w:tc>
          <w:tcPr>
            <w:tcW w:w="180" w:type="dxa"/>
            <w:vAlign w:val="bottom"/>
            <w:shd w:val="clear" w:color="auto" w:fill="D0D8E8"/>
          </w:tcPr>
          <w:p>
            <w:pPr>
              <w:spacing w:after="0"/>
              <w:rPr>
                <w:sz w:val="17"/>
                <w:szCs w:val="17"/>
                <w:color w:val="auto"/>
              </w:rPr>
            </w:pPr>
          </w:p>
        </w:tc>
        <w:tc>
          <w:tcPr>
            <w:tcW w:w="460" w:type="dxa"/>
            <w:vAlign w:val="bottom"/>
            <w:shd w:val="clear" w:color="auto" w:fill="D0D8E8"/>
          </w:tcPr>
          <w:p>
            <w:pPr>
              <w:spacing w:after="0"/>
              <w:rPr>
                <w:sz w:val="17"/>
                <w:szCs w:val="17"/>
                <w:color w:val="auto"/>
              </w:rPr>
            </w:pPr>
          </w:p>
        </w:tc>
        <w:tc>
          <w:tcPr>
            <w:tcW w:w="220" w:type="dxa"/>
            <w:vAlign w:val="bottom"/>
            <w:shd w:val="clear" w:color="auto" w:fill="D0D8E8"/>
          </w:tcPr>
          <w:p>
            <w:pPr>
              <w:spacing w:after="0"/>
              <w:rPr>
                <w:sz w:val="17"/>
                <w:szCs w:val="17"/>
                <w:color w:val="auto"/>
              </w:rPr>
            </w:pPr>
          </w:p>
        </w:tc>
        <w:tc>
          <w:tcPr>
            <w:tcW w:w="220" w:type="dxa"/>
            <w:vAlign w:val="bottom"/>
            <w:shd w:val="clear" w:color="auto" w:fill="D0D8E8"/>
          </w:tcPr>
          <w:p>
            <w:pPr>
              <w:spacing w:after="0"/>
              <w:rPr>
                <w:sz w:val="17"/>
                <w:szCs w:val="17"/>
                <w:color w:val="auto"/>
              </w:rPr>
            </w:pPr>
          </w:p>
        </w:tc>
        <w:tc>
          <w:tcPr>
            <w:tcW w:w="500" w:type="dxa"/>
            <w:vAlign w:val="bottom"/>
            <w:shd w:val="clear" w:color="auto" w:fill="D0D8E8"/>
          </w:tcPr>
          <w:p>
            <w:pPr>
              <w:spacing w:after="0"/>
              <w:rPr>
                <w:sz w:val="17"/>
                <w:szCs w:val="17"/>
                <w:color w:val="auto"/>
              </w:rPr>
            </w:pPr>
          </w:p>
        </w:tc>
        <w:tc>
          <w:tcPr>
            <w:tcW w:w="380" w:type="dxa"/>
            <w:vAlign w:val="bottom"/>
            <w:shd w:val="clear" w:color="auto" w:fill="D0D8E8"/>
          </w:tcPr>
          <w:p>
            <w:pPr>
              <w:spacing w:after="0"/>
              <w:rPr>
                <w:sz w:val="17"/>
                <w:szCs w:val="17"/>
                <w:color w:val="auto"/>
              </w:rPr>
            </w:pPr>
          </w:p>
        </w:tc>
        <w:tc>
          <w:tcPr>
            <w:tcW w:w="160" w:type="dxa"/>
            <w:vAlign w:val="bottom"/>
            <w:shd w:val="clear" w:color="auto" w:fill="D0D8E8"/>
          </w:tcPr>
          <w:p>
            <w:pPr>
              <w:spacing w:after="0"/>
              <w:rPr>
                <w:sz w:val="17"/>
                <w:szCs w:val="17"/>
                <w:color w:val="auto"/>
              </w:rPr>
            </w:pPr>
          </w:p>
        </w:tc>
        <w:tc>
          <w:tcPr>
            <w:tcW w:w="620" w:type="dxa"/>
            <w:vAlign w:val="bottom"/>
            <w:shd w:val="clear" w:color="auto" w:fill="D0D8E8"/>
          </w:tcPr>
          <w:p>
            <w:pPr>
              <w:spacing w:after="0"/>
              <w:rPr>
                <w:sz w:val="17"/>
                <w:szCs w:val="17"/>
                <w:color w:val="auto"/>
              </w:rPr>
            </w:pPr>
          </w:p>
        </w:tc>
        <w:tc>
          <w:tcPr>
            <w:tcW w:w="140" w:type="dxa"/>
            <w:vAlign w:val="bottom"/>
            <w:shd w:val="clear" w:color="auto" w:fill="D0D8E8"/>
          </w:tcPr>
          <w:p>
            <w:pPr>
              <w:spacing w:after="0"/>
              <w:rPr>
                <w:sz w:val="17"/>
                <w:szCs w:val="17"/>
                <w:color w:val="auto"/>
              </w:rPr>
            </w:pPr>
          </w:p>
        </w:tc>
        <w:tc>
          <w:tcPr>
            <w:tcW w:w="80" w:type="dxa"/>
            <w:vAlign w:val="bottom"/>
            <w:shd w:val="clear" w:color="auto" w:fill="D0D8E8"/>
          </w:tcPr>
          <w:p>
            <w:pPr>
              <w:spacing w:after="0"/>
              <w:rPr>
                <w:sz w:val="17"/>
                <w:szCs w:val="17"/>
                <w:color w:val="auto"/>
              </w:rPr>
            </w:pPr>
          </w:p>
        </w:tc>
        <w:tc>
          <w:tcPr>
            <w:tcW w:w="180" w:type="dxa"/>
            <w:vAlign w:val="bottom"/>
            <w:shd w:val="clear" w:color="auto" w:fill="D0D8E8"/>
          </w:tcPr>
          <w:p>
            <w:pPr>
              <w:spacing w:after="0"/>
              <w:rPr>
                <w:sz w:val="17"/>
                <w:szCs w:val="17"/>
                <w:color w:val="auto"/>
              </w:rPr>
            </w:pPr>
          </w:p>
        </w:tc>
        <w:tc>
          <w:tcPr>
            <w:tcW w:w="620" w:type="dxa"/>
            <w:vAlign w:val="bottom"/>
            <w:shd w:val="clear" w:color="auto" w:fill="D0D8E8"/>
          </w:tcPr>
          <w:p>
            <w:pPr>
              <w:spacing w:after="0"/>
              <w:rPr>
                <w:sz w:val="17"/>
                <w:szCs w:val="17"/>
                <w:color w:val="auto"/>
              </w:rPr>
            </w:pPr>
          </w:p>
        </w:tc>
        <w:tc>
          <w:tcPr>
            <w:tcW w:w="220" w:type="dxa"/>
            <w:vAlign w:val="bottom"/>
            <w:shd w:val="clear" w:color="auto" w:fill="D0D8E8"/>
          </w:tcPr>
          <w:p>
            <w:pPr>
              <w:spacing w:after="0"/>
              <w:rPr>
                <w:sz w:val="17"/>
                <w:szCs w:val="17"/>
                <w:color w:val="auto"/>
              </w:rPr>
            </w:pPr>
          </w:p>
        </w:tc>
        <w:tc>
          <w:tcPr>
            <w:tcW w:w="160" w:type="dxa"/>
            <w:vAlign w:val="bottom"/>
            <w:shd w:val="clear" w:color="auto" w:fill="D0D8E8"/>
          </w:tcPr>
          <w:p>
            <w:pPr>
              <w:spacing w:after="0"/>
              <w:rPr>
                <w:sz w:val="17"/>
                <w:szCs w:val="17"/>
                <w:color w:val="auto"/>
              </w:rPr>
            </w:pPr>
          </w:p>
        </w:tc>
        <w:tc>
          <w:tcPr>
            <w:tcW w:w="480" w:type="dxa"/>
            <w:vAlign w:val="bottom"/>
            <w:shd w:val="clear" w:color="auto" w:fill="D0D8E8"/>
          </w:tcPr>
          <w:p>
            <w:pPr>
              <w:spacing w:after="0"/>
              <w:rPr>
                <w:sz w:val="17"/>
                <w:szCs w:val="17"/>
                <w:color w:val="auto"/>
              </w:rPr>
            </w:pPr>
          </w:p>
        </w:tc>
        <w:tc>
          <w:tcPr>
            <w:tcW w:w="200" w:type="dxa"/>
            <w:vAlign w:val="bottom"/>
            <w:shd w:val="clear" w:color="auto" w:fill="D0D8E8"/>
          </w:tcPr>
          <w:p>
            <w:pPr>
              <w:spacing w:after="0"/>
              <w:rPr>
                <w:sz w:val="17"/>
                <w:szCs w:val="17"/>
                <w:color w:val="auto"/>
              </w:rPr>
            </w:pPr>
          </w:p>
        </w:tc>
        <w:tc>
          <w:tcPr>
            <w:tcW w:w="240" w:type="dxa"/>
            <w:vAlign w:val="bottom"/>
            <w:shd w:val="clear" w:color="auto" w:fill="D0D8E8"/>
          </w:tcPr>
          <w:p>
            <w:pPr>
              <w:spacing w:after="0"/>
              <w:rPr>
                <w:sz w:val="17"/>
                <w:szCs w:val="17"/>
                <w:color w:val="auto"/>
              </w:rPr>
            </w:pPr>
          </w:p>
        </w:tc>
        <w:tc>
          <w:tcPr>
            <w:tcW w:w="520" w:type="dxa"/>
            <w:vAlign w:val="bottom"/>
            <w:shd w:val="clear" w:color="auto" w:fill="D0D8E8"/>
          </w:tcPr>
          <w:p>
            <w:pPr>
              <w:spacing w:after="0"/>
              <w:rPr>
                <w:sz w:val="17"/>
                <w:szCs w:val="17"/>
                <w:color w:val="auto"/>
              </w:rPr>
            </w:pPr>
          </w:p>
        </w:tc>
        <w:tc>
          <w:tcPr>
            <w:tcW w:w="260" w:type="dxa"/>
            <w:vAlign w:val="bottom"/>
            <w:shd w:val="clear" w:color="auto" w:fill="D0D8E8"/>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00" w:type="dxa"/>
            <w:vAlign w:val="bottom"/>
            <w:shd w:val="clear" w:color="auto" w:fill="D0D8E8"/>
          </w:tcPr>
          <w:p>
            <w:pPr>
              <w:ind w:left="60"/>
              <w:spacing w:after="0"/>
              <w:rPr>
                <w:sz w:val="20"/>
                <w:szCs w:val="20"/>
                <w:color w:val="auto"/>
              </w:rPr>
            </w:pPr>
            <w:r>
              <w:rPr>
                <w:rFonts w:ascii="Times New Roman" w:cs="Times New Roman" w:eastAsia="Times New Roman" w:hAnsi="Times New Roman"/>
                <w:sz w:val="18"/>
                <w:szCs w:val="18"/>
                <w:color w:val="auto"/>
              </w:rPr>
              <w:t>payables</w:t>
            </w:r>
          </w:p>
        </w:tc>
        <w:tc>
          <w:tcPr>
            <w:tcW w:w="100" w:type="dxa"/>
            <w:vAlign w:val="bottom"/>
            <w:shd w:val="clear" w:color="auto" w:fill="D0D8E8"/>
          </w:tcPr>
          <w:p>
            <w:pPr>
              <w:spacing w:after="0"/>
              <w:rPr>
                <w:sz w:val="20"/>
                <w:szCs w:val="20"/>
                <w:color w:val="auto"/>
              </w:rPr>
            </w:pPr>
          </w:p>
        </w:tc>
        <w:tc>
          <w:tcPr>
            <w:tcW w:w="160" w:type="dxa"/>
            <w:vAlign w:val="bottom"/>
            <w:shd w:val="clear" w:color="auto" w:fill="D0D8E8"/>
          </w:tcPr>
          <w:p>
            <w:pPr>
              <w:spacing w:after="0"/>
              <w:rPr>
                <w:sz w:val="20"/>
                <w:szCs w:val="20"/>
                <w:color w:val="auto"/>
              </w:rPr>
            </w:pPr>
          </w:p>
        </w:tc>
        <w:tc>
          <w:tcPr>
            <w:tcW w:w="64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00" w:type="dxa"/>
            <w:vAlign w:val="bottom"/>
            <w:shd w:val="clear" w:color="auto" w:fill="D0D8E8"/>
          </w:tcPr>
          <w:p>
            <w:pPr>
              <w:spacing w:after="0"/>
              <w:rPr>
                <w:sz w:val="20"/>
                <w:szCs w:val="20"/>
                <w:color w:val="auto"/>
              </w:rPr>
            </w:pPr>
          </w:p>
        </w:tc>
        <w:tc>
          <w:tcPr>
            <w:tcW w:w="180" w:type="dxa"/>
            <w:vAlign w:val="bottom"/>
            <w:shd w:val="clear" w:color="auto" w:fill="D0D8E8"/>
          </w:tcPr>
          <w:p>
            <w:pPr>
              <w:spacing w:after="0"/>
              <w:rPr>
                <w:sz w:val="20"/>
                <w:szCs w:val="20"/>
                <w:color w:val="auto"/>
              </w:rPr>
            </w:pPr>
          </w:p>
        </w:tc>
        <w:tc>
          <w:tcPr>
            <w:tcW w:w="62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0" w:type="dxa"/>
            <w:vAlign w:val="bottom"/>
            <w:shd w:val="clear" w:color="auto" w:fill="D0D8E8"/>
          </w:tcPr>
          <w:p>
            <w:pPr>
              <w:spacing w:after="0"/>
              <w:rPr>
                <w:sz w:val="20"/>
                <w:szCs w:val="20"/>
                <w:color w:val="auto"/>
              </w:rPr>
            </w:pPr>
          </w:p>
        </w:tc>
        <w:tc>
          <w:tcPr>
            <w:tcW w:w="180" w:type="dxa"/>
            <w:vAlign w:val="bottom"/>
            <w:shd w:val="clear" w:color="auto" w:fill="D0D8E8"/>
          </w:tcPr>
          <w:p>
            <w:pPr>
              <w:spacing w:after="0"/>
              <w:rPr>
                <w:sz w:val="20"/>
                <w:szCs w:val="20"/>
                <w:color w:val="auto"/>
              </w:rPr>
            </w:pPr>
          </w:p>
        </w:tc>
        <w:tc>
          <w:tcPr>
            <w:tcW w:w="46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20" w:type="dxa"/>
            <w:vAlign w:val="bottom"/>
            <w:shd w:val="clear" w:color="auto" w:fill="D0D8E8"/>
          </w:tcPr>
          <w:p>
            <w:pPr>
              <w:spacing w:after="0"/>
              <w:rPr>
                <w:sz w:val="20"/>
                <w:szCs w:val="20"/>
                <w:color w:val="auto"/>
              </w:rPr>
            </w:pPr>
          </w:p>
        </w:tc>
        <w:tc>
          <w:tcPr>
            <w:tcW w:w="220" w:type="dxa"/>
            <w:vAlign w:val="bottom"/>
            <w:shd w:val="clear" w:color="auto" w:fill="D0D8E8"/>
          </w:tcPr>
          <w:p>
            <w:pPr>
              <w:spacing w:after="0"/>
              <w:rPr>
                <w:sz w:val="20"/>
                <w:szCs w:val="20"/>
                <w:color w:val="auto"/>
              </w:rPr>
            </w:pPr>
          </w:p>
        </w:tc>
        <w:tc>
          <w:tcPr>
            <w:tcW w:w="500" w:type="dxa"/>
            <w:vAlign w:val="bottom"/>
            <w:shd w:val="clear" w:color="auto" w:fill="D0D8E8"/>
          </w:tcPr>
          <w:p>
            <w:pPr>
              <w:spacing w:after="0"/>
              <w:rPr>
                <w:sz w:val="20"/>
                <w:szCs w:val="20"/>
                <w:color w:val="auto"/>
              </w:rPr>
            </w:pPr>
          </w:p>
        </w:tc>
        <w:tc>
          <w:tcPr>
            <w:tcW w:w="380" w:type="dxa"/>
            <w:vAlign w:val="bottom"/>
            <w:shd w:val="clear" w:color="auto" w:fill="D0D8E8"/>
          </w:tcPr>
          <w:p>
            <w:pPr>
              <w:spacing w:after="0"/>
              <w:rPr>
                <w:sz w:val="20"/>
                <w:szCs w:val="20"/>
                <w:color w:val="auto"/>
              </w:rPr>
            </w:pPr>
          </w:p>
        </w:tc>
        <w:tc>
          <w:tcPr>
            <w:tcW w:w="160" w:type="dxa"/>
            <w:vAlign w:val="bottom"/>
            <w:shd w:val="clear" w:color="auto" w:fill="D0D8E8"/>
          </w:tcPr>
          <w:p>
            <w:pPr>
              <w:spacing w:after="0"/>
              <w:rPr>
                <w:sz w:val="20"/>
                <w:szCs w:val="20"/>
                <w:color w:val="auto"/>
              </w:rPr>
            </w:pPr>
          </w:p>
        </w:tc>
        <w:tc>
          <w:tcPr>
            <w:tcW w:w="760" w:type="dxa"/>
            <w:vAlign w:val="bottom"/>
            <w:gridSpan w:val="2"/>
            <w:shd w:val="clear" w:color="auto" w:fill="D0D8E8"/>
          </w:tcPr>
          <w:p>
            <w:pPr>
              <w:jc w:val="right"/>
              <w:ind w:right="80"/>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shd w:val="clear" w:color="auto" w:fill="D0D8E8"/>
          </w:tcPr>
          <w:p>
            <w:pPr>
              <w:spacing w:after="0"/>
              <w:rPr>
                <w:sz w:val="20"/>
                <w:szCs w:val="20"/>
                <w:color w:val="auto"/>
              </w:rPr>
            </w:pPr>
          </w:p>
        </w:tc>
        <w:tc>
          <w:tcPr>
            <w:tcW w:w="180" w:type="dxa"/>
            <w:vAlign w:val="bottom"/>
            <w:shd w:val="clear" w:color="auto" w:fill="D0D8E8"/>
          </w:tcPr>
          <w:p>
            <w:pPr>
              <w:spacing w:after="0"/>
              <w:rPr>
                <w:sz w:val="20"/>
                <w:szCs w:val="20"/>
                <w:color w:val="auto"/>
              </w:rPr>
            </w:pPr>
          </w:p>
        </w:tc>
        <w:tc>
          <w:tcPr>
            <w:tcW w:w="62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20" w:type="dxa"/>
            <w:vAlign w:val="bottom"/>
            <w:shd w:val="clear" w:color="auto" w:fill="D0D8E8"/>
          </w:tcPr>
          <w:p>
            <w:pPr>
              <w:spacing w:after="0"/>
              <w:rPr>
                <w:sz w:val="20"/>
                <w:szCs w:val="20"/>
                <w:color w:val="auto"/>
              </w:rPr>
            </w:pPr>
          </w:p>
        </w:tc>
        <w:tc>
          <w:tcPr>
            <w:tcW w:w="160" w:type="dxa"/>
            <w:vAlign w:val="bottom"/>
            <w:shd w:val="clear" w:color="auto" w:fill="D0D8E8"/>
          </w:tcPr>
          <w:p>
            <w:pPr>
              <w:spacing w:after="0"/>
              <w:rPr>
                <w:sz w:val="20"/>
                <w:szCs w:val="20"/>
                <w:color w:val="auto"/>
              </w:rPr>
            </w:pPr>
          </w:p>
        </w:tc>
        <w:tc>
          <w:tcPr>
            <w:tcW w:w="680" w:type="dxa"/>
            <w:vAlign w:val="bottom"/>
            <w:gridSpan w:val="2"/>
            <w:shd w:val="clear" w:color="auto" w:fill="D0D8E8"/>
          </w:tcPr>
          <w:p>
            <w:pPr>
              <w:jc w:val="right"/>
              <w:ind w:right="140"/>
              <w:spacing w:after="0"/>
              <w:rPr>
                <w:sz w:val="20"/>
                <w:szCs w:val="20"/>
                <w:color w:val="auto"/>
              </w:rPr>
            </w:pPr>
            <w:r>
              <w:rPr>
                <w:rFonts w:ascii="Times New Roman" w:cs="Times New Roman" w:eastAsia="Times New Roman" w:hAnsi="Times New Roman"/>
                <w:sz w:val="18"/>
                <w:szCs w:val="18"/>
                <w:color w:val="auto"/>
              </w:rPr>
              <w:t>(0.06)</w:t>
            </w:r>
          </w:p>
        </w:tc>
        <w:tc>
          <w:tcPr>
            <w:tcW w:w="240" w:type="dxa"/>
            <w:vAlign w:val="bottom"/>
            <w:shd w:val="clear" w:color="auto" w:fill="D0D8E8"/>
          </w:tcPr>
          <w:p>
            <w:pPr>
              <w:spacing w:after="0"/>
              <w:rPr>
                <w:sz w:val="20"/>
                <w:szCs w:val="20"/>
                <w:color w:val="auto"/>
              </w:rPr>
            </w:pPr>
          </w:p>
        </w:tc>
        <w:tc>
          <w:tcPr>
            <w:tcW w:w="520" w:type="dxa"/>
            <w:vAlign w:val="bottom"/>
            <w:shd w:val="clear" w:color="auto" w:fill="D0D8E8"/>
          </w:tcPr>
          <w:p>
            <w:pPr>
              <w:spacing w:after="0"/>
              <w:rPr>
                <w:sz w:val="20"/>
                <w:szCs w:val="20"/>
                <w:color w:val="auto"/>
              </w:rPr>
            </w:pPr>
          </w:p>
        </w:tc>
        <w:tc>
          <w:tcPr>
            <w:tcW w:w="260" w:type="dxa"/>
            <w:vAlign w:val="bottom"/>
            <w:shd w:val="clear" w:color="auto" w:fill="D0D8E8"/>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E9EDF4"/>
          </w:tcPr>
          <w:p>
            <w:pPr>
              <w:ind w:left="60"/>
              <w:spacing w:after="0"/>
              <w:rPr>
                <w:sz w:val="20"/>
                <w:szCs w:val="20"/>
                <w:color w:val="auto"/>
              </w:rPr>
            </w:pPr>
            <w:r>
              <w:rPr>
                <w:rFonts w:ascii="Times New Roman" w:cs="Times New Roman" w:eastAsia="Times New Roman" w:hAnsi="Times New Roman"/>
                <w:sz w:val="18"/>
                <w:szCs w:val="18"/>
                <w:color w:val="auto"/>
              </w:rPr>
              <w:t>(Gain)/loss on disposal</w:t>
            </w:r>
          </w:p>
        </w:tc>
        <w:tc>
          <w:tcPr>
            <w:tcW w:w="100" w:type="dxa"/>
            <w:vAlign w:val="bottom"/>
            <w:shd w:val="clear" w:color="auto" w:fill="E9EDF4"/>
          </w:tcPr>
          <w:p>
            <w:pPr>
              <w:spacing w:after="0"/>
              <w:rPr>
                <w:sz w:val="18"/>
                <w:szCs w:val="18"/>
                <w:color w:val="auto"/>
              </w:rPr>
            </w:pPr>
          </w:p>
        </w:tc>
        <w:tc>
          <w:tcPr>
            <w:tcW w:w="160" w:type="dxa"/>
            <w:vAlign w:val="bottom"/>
            <w:shd w:val="clear" w:color="auto" w:fill="E9EDF4"/>
          </w:tcPr>
          <w:p>
            <w:pPr>
              <w:spacing w:after="0"/>
              <w:rPr>
                <w:sz w:val="18"/>
                <w:szCs w:val="18"/>
                <w:color w:val="auto"/>
              </w:rPr>
            </w:pPr>
          </w:p>
        </w:tc>
        <w:tc>
          <w:tcPr>
            <w:tcW w:w="64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9EDF4"/>
          </w:tcPr>
          <w:p>
            <w:pPr>
              <w:spacing w:after="0"/>
              <w:rPr>
                <w:sz w:val="18"/>
                <w:szCs w:val="18"/>
                <w:color w:val="auto"/>
              </w:rPr>
            </w:pPr>
          </w:p>
        </w:tc>
        <w:tc>
          <w:tcPr>
            <w:tcW w:w="180" w:type="dxa"/>
            <w:vAlign w:val="bottom"/>
            <w:shd w:val="clear" w:color="auto" w:fill="E9EDF4"/>
          </w:tcPr>
          <w:p>
            <w:pPr>
              <w:spacing w:after="0"/>
              <w:rPr>
                <w:sz w:val="18"/>
                <w:szCs w:val="18"/>
                <w:color w:val="auto"/>
              </w:rPr>
            </w:pPr>
          </w:p>
        </w:tc>
        <w:tc>
          <w:tcPr>
            <w:tcW w:w="62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9EDF4"/>
          </w:tcPr>
          <w:p>
            <w:pPr>
              <w:spacing w:after="0"/>
              <w:rPr>
                <w:sz w:val="18"/>
                <w:szCs w:val="18"/>
                <w:color w:val="auto"/>
              </w:rPr>
            </w:pPr>
          </w:p>
        </w:tc>
        <w:tc>
          <w:tcPr>
            <w:tcW w:w="180" w:type="dxa"/>
            <w:vAlign w:val="bottom"/>
            <w:shd w:val="clear" w:color="auto" w:fill="E9EDF4"/>
          </w:tcPr>
          <w:p>
            <w:pPr>
              <w:spacing w:after="0"/>
              <w:rPr>
                <w:sz w:val="18"/>
                <w:szCs w:val="18"/>
                <w:color w:val="auto"/>
              </w:rPr>
            </w:pPr>
          </w:p>
        </w:tc>
        <w:tc>
          <w:tcPr>
            <w:tcW w:w="900" w:type="dxa"/>
            <w:vAlign w:val="bottom"/>
            <w:gridSpan w:val="3"/>
            <w:shd w:val="clear" w:color="auto" w:fill="E9EDF4"/>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E9EDF4"/>
          </w:tcPr>
          <w:p>
            <w:pPr>
              <w:spacing w:after="0"/>
              <w:rPr>
                <w:sz w:val="18"/>
                <w:szCs w:val="18"/>
                <w:color w:val="auto"/>
              </w:rPr>
            </w:pPr>
          </w:p>
        </w:tc>
        <w:tc>
          <w:tcPr>
            <w:tcW w:w="380" w:type="dxa"/>
            <w:vAlign w:val="bottom"/>
            <w:shd w:val="clear" w:color="auto" w:fill="E9EDF4"/>
          </w:tcPr>
          <w:p>
            <w:pPr>
              <w:spacing w:after="0"/>
              <w:rPr>
                <w:sz w:val="18"/>
                <w:szCs w:val="18"/>
                <w:color w:val="auto"/>
              </w:rPr>
            </w:pPr>
          </w:p>
        </w:tc>
        <w:tc>
          <w:tcPr>
            <w:tcW w:w="160" w:type="dxa"/>
            <w:vAlign w:val="bottom"/>
            <w:shd w:val="clear" w:color="auto" w:fill="E9EDF4"/>
          </w:tcPr>
          <w:p>
            <w:pPr>
              <w:spacing w:after="0"/>
              <w:rPr>
                <w:sz w:val="18"/>
                <w:szCs w:val="18"/>
                <w:color w:val="auto"/>
              </w:rPr>
            </w:pPr>
          </w:p>
        </w:tc>
        <w:tc>
          <w:tcPr>
            <w:tcW w:w="760" w:type="dxa"/>
            <w:vAlign w:val="bottom"/>
            <w:gridSpan w:val="2"/>
            <w:shd w:val="clear" w:color="auto" w:fill="E9EDF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E9EDF4"/>
          </w:tcPr>
          <w:p>
            <w:pPr>
              <w:spacing w:after="0"/>
              <w:rPr>
                <w:sz w:val="18"/>
                <w:szCs w:val="18"/>
                <w:color w:val="auto"/>
              </w:rPr>
            </w:pPr>
          </w:p>
        </w:tc>
        <w:tc>
          <w:tcPr>
            <w:tcW w:w="180" w:type="dxa"/>
            <w:vAlign w:val="bottom"/>
            <w:shd w:val="clear" w:color="auto" w:fill="E9EDF4"/>
          </w:tcPr>
          <w:p>
            <w:pPr>
              <w:spacing w:after="0"/>
              <w:rPr>
                <w:sz w:val="18"/>
                <w:szCs w:val="18"/>
                <w:color w:val="auto"/>
              </w:rPr>
            </w:pPr>
          </w:p>
        </w:tc>
        <w:tc>
          <w:tcPr>
            <w:tcW w:w="62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9EDF4"/>
          </w:tcPr>
          <w:p>
            <w:pPr>
              <w:spacing w:after="0"/>
              <w:rPr>
                <w:sz w:val="18"/>
                <w:szCs w:val="18"/>
                <w:color w:val="auto"/>
              </w:rPr>
            </w:pPr>
          </w:p>
        </w:tc>
        <w:tc>
          <w:tcPr>
            <w:tcW w:w="160" w:type="dxa"/>
            <w:vAlign w:val="bottom"/>
            <w:shd w:val="clear" w:color="auto" w:fill="E9EDF4"/>
          </w:tcPr>
          <w:p>
            <w:pPr>
              <w:spacing w:after="0"/>
              <w:rPr>
                <w:sz w:val="18"/>
                <w:szCs w:val="18"/>
                <w:color w:val="auto"/>
              </w:rPr>
            </w:pPr>
          </w:p>
        </w:tc>
        <w:tc>
          <w:tcPr>
            <w:tcW w:w="920" w:type="dxa"/>
            <w:vAlign w:val="bottom"/>
            <w:gridSpan w:val="3"/>
            <w:shd w:val="clear" w:color="auto" w:fill="E9EDF4"/>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E9EDF4"/>
          </w:tcPr>
          <w:p>
            <w:pPr>
              <w:spacing w:after="0"/>
              <w:rPr>
                <w:sz w:val="18"/>
                <w:szCs w:val="18"/>
                <w:color w:val="auto"/>
              </w:rPr>
            </w:pPr>
          </w:p>
        </w:tc>
        <w:tc>
          <w:tcPr>
            <w:tcW w:w="260" w:type="dxa"/>
            <w:vAlign w:val="bottom"/>
            <w:shd w:val="clear" w:color="auto" w:fill="E9EDF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D0D8E8"/>
          </w:tcPr>
          <w:p>
            <w:pPr>
              <w:ind w:left="60"/>
              <w:spacing w:after="0"/>
              <w:rPr>
                <w:sz w:val="20"/>
                <w:szCs w:val="20"/>
                <w:color w:val="auto"/>
              </w:rPr>
            </w:pPr>
            <w:r>
              <w:rPr>
                <w:rFonts w:ascii="Times New Roman" w:cs="Times New Roman" w:eastAsia="Times New Roman" w:hAnsi="Times New Roman"/>
                <w:sz w:val="18"/>
                <w:szCs w:val="18"/>
                <w:color w:val="auto"/>
              </w:rPr>
              <w:t>Acquisition/Integration Costs</w:t>
            </w:r>
          </w:p>
        </w:tc>
        <w:tc>
          <w:tcPr>
            <w:tcW w:w="100" w:type="dxa"/>
            <w:vAlign w:val="bottom"/>
            <w:shd w:val="clear" w:color="auto" w:fill="D0D8E8"/>
          </w:tcPr>
          <w:p>
            <w:pPr>
              <w:spacing w:after="0"/>
              <w:rPr>
                <w:sz w:val="18"/>
                <w:szCs w:val="18"/>
                <w:color w:val="auto"/>
              </w:rPr>
            </w:pPr>
          </w:p>
        </w:tc>
        <w:tc>
          <w:tcPr>
            <w:tcW w:w="160" w:type="dxa"/>
            <w:vAlign w:val="bottom"/>
            <w:shd w:val="clear" w:color="auto" w:fill="D0D8E8"/>
          </w:tcPr>
          <w:p>
            <w:pPr>
              <w:spacing w:after="0"/>
              <w:rPr>
                <w:sz w:val="18"/>
                <w:szCs w:val="18"/>
                <w:color w:val="auto"/>
              </w:rPr>
            </w:pPr>
          </w:p>
        </w:tc>
        <w:tc>
          <w:tcPr>
            <w:tcW w:w="64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00" w:type="dxa"/>
            <w:vAlign w:val="bottom"/>
            <w:shd w:val="clear" w:color="auto" w:fill="D0D8E8"/>
          </w:tcPr>
          <w:p>
            <w:pPr>
              <w:spacing w:after="0"/>
              <w:rPr>
                <w:sz w:val="18"/>
                <w:szCs w:val="18"/>
                <w:color w:val="auto"/>
              </w:rPr>
            </w:pPr>
          </w:p>
        </w:tc>
        <w:tc>
          <w:tcPr>
            <w:tcW w:w="180" w:type="dxa"/>
            <w:vAlign w:val="bottom"/>
            <w:shd w:val="clear" w:color="auto" w:fill="D0D8E8"/>
          </w:tcPr>
          <w:p>
            <w:pPr>
              <w:spacing w:after="0"/>
              <w:rPr>
                <w:sz w:val="18"/>
                <w:szCs w:val="18"/>
                <w:color w:val="auto"/>
              </w:rPr>
            </w:pPr>
          </w:p>
        </w:tc>
        <w:tc>
          <w:tcPr>
            <w:tcW w:w="62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00" w:type="dxa"/>
            <w:vAlign w:val="bottom"/>
            <w:shd w:val="clear" w:color="auto" w:fill="D0D8E8"/>
          </w:tcPr>
          <w:p>
            <w:pPr>
              <w:spacing w:after="0"/>
              <w:rPr>
                <w:sz w:val="18"/>
                <w:szCs w:val="18"/>
                <w:color w:val="auto"/>
              </w:rPr>
            </w:pPr>
          </w:p>
        </w:tc>
        <w:tc>
          <w:tcPr>
            <w:tcW w:w="180" w:type="dxa"/>
            <w:vAlign w:val="bottom"/>
            <w:shd w:val="clear" w:color="auto" w:fill="D0D8E8"/>
          </w:tcPr>
          <w:p>
            <w:pPr>
              <w:spacing w:after="0"/>
              <w:rPr>
                <w:sz w:val="18"/>
                <w:szCs w:val="18"/>
                <w:color w:val="auto"/>
              </w:rPr>
            </w:pPr>
          </w:p>
        </w:tc>
        <w:tc>
          <w:tcPr>
            <w:tcW w:w="680" w:type="dxa"/>
            <w:vAlign w:val="bottom"/>
            <w:gridSpan w:val="2"/>
            <w:shd w:val="clear" w:color="auto" w:fill="D0D8E8"/>
          </w:tcPr>
          <w:p>
            <w:pPr>
              <w:jc w:val="right"/>
              <w:ind w:right="160"/>
              <w:spacing w:after="0"/>
              <w:rPr>
                <w:sz w:val="20"/>
                <w:szCs w:val="20"/>
                <w:color w:val="auto"/>
              </w:rPr>
            </w:pPr>
            <w:r>
              <w:rPr>
                <w:rFonts w:ascii="Times New Roman" w:cs="Times New Roman" w:eastAsia="Times New Roman" w:hAnsi="Times New Roman"/>
                <w:sz w:val="18"/>
                <w:szCs w:val="18"/>
                <w:color w:val="auto"/>
              </w:rPr>
              <w:t>(0.04)</w:t>
            </w:r>
          </w:p>
        </w:tc>
        <w:tc>
          <w:tcPr>
            <w:tcW w:w="220" w:type="dxa"/>
            <w:vAlign w:val="bottom"/>
            <w:shd w:val="clear" w:color="auto" w:fill="D0D8E8"/>
          </w:tcPr>
          <w:p>
            <w:pPr>
              <w:spacing w:after="0"/>
              <w:rPr>
                <w:sz w:val="18"/>
                <w:szCs w:val="18"/>
                <w:color w:val="auto"/>
              </w:rPr>
            </w:pPr>
          </w:p>
        </w:tc>
        <w:tc>
          <w:tcPr>
            <w:tcW w:w="500" w:type="dxa"/>
            <w:vAlign w:val="bottom"/>
            <w:shd w:val="clear" w:color="auto" w:fill="D0D8E8"/>
          </w:tcPr>
          <w:p>
            <w:pPr>
              <w:spacing w:after="0"/>
              <w:rPr>
                <w:sz w:val="18"/>
                <w:szCs w:val="18"/>
                <w:color w:val="auto"/>
              </w:rPr>
            </w:pPr>
          </w:p>
        </w:tc>
        <w:tc>
          <w:tcPr>
            <w:tcW w:w="380" w:type="dxa"/>
            <w:vAlign w:val="bottom"/>
            <w:shd w:val="clear" w:color="auto" w:fill="D0D8E8"/>
          </w:tcPr>
          <w:p>
            <w:pPr>
              <w:spacing w:after="0"/>
              <w:rPr>
                <w:sz w:val="18"/>
                <w:szCs w:val="18"/>
                <w:color w:val="auto"/>
              </w:rPr>
            </w:pPr>
          </w:p>
        </w:tc>
        <w:tc>
          <w:tcPr>
            <w:tcW w:w="160" w:type="dxa"/>
            <w:vAlign w:val="bottom"/>
            <w:shd w:val="clear" w:color="auto" w:fill="D0D8E8"/>
          </w:tcPr>
          <w:p>
            <w:pPr>
              <w:spacing w:after="0"/>
              <w:rPr>
                <w:sz w:val="18"/>
                <w:szCs w:val="18"/>
                <w:color w:val="auto"/>
              </w:rPr>
            </w:pPr>
          </w:p>
        </w:tc>
        <w:tc>
          <w:tcPr>
            <w:tcW w:w="62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40" w:type="dxa"/>
            <w:vAlign w:val="bottom"/>
            <w:shd w:val="clear" w:color="auto" w:fill="D0D8E8"/>
          </w:tcPr>
          <w:p>
            <w:pPr>
              <w:spacing w:after="0"/>
              <w:rPr>
                <w:sz w:val="18"/>
                <w:szCs w:val="18"/>
                <w:color w:val="auto"/>
              </w:rPr>
            </w:pPr>
          </w:p>
        </w:tc>
        <w:tc>
          <w:tcPr>
            <w:tcW w:w="80" w:type="dxa"/>
            <w:vAlign w:val="bottom"/>
            <w:shd w:val="clear" w:color="auto" w:fill="D0D8E8"/>
          </w:tcPr>
          <w:p>
            <w:pPr>
              <w:spacing w:after="0"/>
              <w:rPr>
                <w:sz w:val="18"/>
                <w:szCs w:val="18"/>
                <w:color w:val="auto"/>
              </w:rPr>
            </w:pPr>
          </w:p>
        </w:tc>
        <w:tc>
          <w:tcPr>
            <w:tcW w:w="180" w:type="dxa"/>
            <w:vAlign w:val="bottom"/>
            <w:shd w:val="clear" w:color="auto" w:fill="D0D8E8"/>
          </w:tcPr>
          <w:p>
            <w:pPr>
              <w:spacing w:after="0"/>
              <w:rPr>
                <w:sz w:val="18"/>
                <w:szCs w:val="18"/>
                <w:color w:val="auto"/>
              </w:rPr>
            </w:pPr>
          </w:p>
        </w:tc>
        <w:tc>
          <w:tcPr>
            <w:tcW w:w="62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220" w:type="dxa"/>
            <w:vAlign w:val="bottom"/>
            <w:shd w:val="clear" w:color="auto" w:fill="D0D8E8"/>
          </w:tcPr>
          <w:p>
            <w:pPr>
              <w:spacing w:after="0"/>
              <w:rPr>
                <w:sz w:val="18"/>
                <w:szCs w:val="18"/>
                <w:color w:val="auto"/>
              </w:rPr>
            </w:pPr>
          </w:p>
        </w:tc>
        <w:tc>
          <w:tcPr>
            <w:tcW w:w="160" w:type="dxa"/>
            <w:vAlign w:val="bottom"/>
            <w:shd w:val="clear" w:color="auto" w:fill="D0D8E8"/>
          </w:tcPr>
          <w:p>
            <w:pPr>
              <w:spacing w:after="0"/>
              <w:rPr>
                <w:sz w:val="18"/>
                <w:szCs w:val="18"/>
                <w:color w:val="auto"/>
              </w:rPr>
            </w:pPr>
          </w:p>
        </w:tc>
        <w:tc>
          <w:tcPr>
            <w:tcW w:w="680" w:type="dxa"/>
            <w:vAlign w:val="bottom"/>
            <w:gridSpan w:val="2"/>
            <w:shd w:val="clear" w:color="auto" w:fill="D0D8E8"/>
          </w:tcPr>
          <w:p>
            <w:pPr>
              <w:jc w:val="right"/>
              <w:ind w:right="140"/>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shd w:val="clear" w:color="auto" w:fill="D0D8E8"/>
          </w:tcPr>
          <w:p>
            <w:pPr>
              <w:spacing w:after="0"/>
              <w:rPr>
                <w:sz w:val="18"/>
                <w:szCs w:val="18"/>
                <w:color w:val="auto"/>
              </w:rPr>
            </w:pPr>
          </w:p>
        </w:tc>
        <w:tc>
          <w:tcPr>
            <w:tcW w:w="520" w:type="dxa"/>
            <w:vAlign w:val="bottom"/>
            <w:shd w:val="clear" w:color="auto" w:fill="D0D8E8"/>
          </w:tcPr>
          <w:p>
            <w:pPr>
              <w:spacing w:after="0"/>
              <w:rPr>
                <w:sz w:val="18"/>
                <w:szCs w:val="18"/>
                <w:color w:val="auto"/>
              </w:rPr>
            </w:pPr>
          </w:p>
        </w:tc>
        <w:tc>
          <w:tcPr>
            <w:tcW w:w="260" w:type="dxa"/>
            <w:vAlign w:val="bottom"/>
            <w:shd w:val="clear" w:color="auto" w:fill="D0D8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E9EDF4"/>
          </w:tcPr>
          <w:p>
            <w:pPr>
              <w:ind w:left="60"/>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shd w:val="clear" w:color="auto" w:fill="E9EDF4"/>
          </w:tcPr>
          <w:p>
            <w:pPr>
              <w:spacing w:after="0"/>
              <w:rPr>
                <w:sz w:val="18"/>
                <w:szCs w:val="18"/>
                <w:color w:val="auto"/>
              </w:rPr>
            </w:pPr>
          </w:p>
        </w:tc>
        <w:tc>
          <w:tcPr>
            <w:tcW w:w="160" w:type="dxa"/>
            <w:vAlign w:val="bottom"/>
            <w:shd w:val="clear" w:color="auto" w:fill="E9EDF4"/>
          </w:tcPr>
          <w:p>
            <w:pPr>
              <w:spacing w:after="0"/>
              <w:rPr>
                <w:sz w:val="18"/>
                <w:szCs w:val="18"/>
                <w:color w:val="auto"/>
              </w:rPr>
            </w:pPr>
          </w:p>
        </w:tc>
        <w:tc>
          <w:tcPr>
            <w:tcW w:w="64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00" w:type="dxa"/>
            <w:vAlign w:val="bottom"/>
            <w:shd w:val="clear" w:color="auto" w:fill="E9EDF4"/>
          </w:tcPr>
          <w:p>
            <w:pPr>
              <w:spacing w:after="0"/>
              <w:rPr>
                <w:sz w:val="18"/>
                <w:szCs w:val="18"/>
                <w:color w:val="auto"/>
              </w:rPr>
            </w:pPr>
          </w:p>
        </w:tc>
        <w:tc>
          <w:tcPr>
            <w:tcW w:w="180" w:type="dxa"/>
            <w:vAlign w:val="bottom"/>
            <w:shd w:val="clear" w:color="auto" w:fill="E9EDF4"/>
          </w:tcPr>
          <w:p>
            <w:pPr>
              <w:spacing w:after="0"/>
              <w:rPr>
                <w:sz w:val="18"/>
                <w:szCs w:val="18"/>
                <w:color w:val="auto"/>
              </w:rPr>
            </w:pPr>
          </w:p>
        </w:tc>
        <w:tc>
          <w:tcPr>
            <w:tcW w:w="62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00" w:type="dxa"/>
            <w:vAlign w:val="bottom"/>
            <w:shd w:val="clear" w:color="auto" w:fill="E9EDF4"/>
          </w:tcPr>
          <w:p>
            <w:pPr>
              <w:spacing w:after="0"/>
              <w:rPr>
                <w:sz w:val="18"/>
                <w:szCs w:val="18"/>
                <w:color w:val="auto"/>
              </w:rPr>
            </w:pPr>
          </w:p>
        </w:tc>
        <w:tc>
          <w:tcPr>
            <w:tcW w:w="180" w:type="dxa"/>
            <w:vAlign w:val="bottom"/>
            <w:shd w:val="clear" w:color="auto" w:fill="E9EDF4"/>
          </w:tcPr>
          <w:p>
            <w:pPr>
              <w:spacing w:after="0"/>
              <w:rPr>
                <w:sz w:val="18"/>
                <w:szCs w:val="18"/>
                <w:color w:val="auto"/>
              </w:rPr>
            </w:pPr>
          </w:p>
        </w:tc>
        <w:tc>
          <w:tcPr>
            <w:tcW w:w="46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20" w:type="dxa"/>
            <w:vAlign w:val="bottom"/>
            <w:shd w:val="clear" w:color="auto" w:fill="E9EDF4"/>
          </w:tcPr>
          <w:p>
            <w:pPr>
              <w:spacing w:after="0"/>
              <w:rPr>
                <w:sz w:val="18"/>
                <w:szCs w:val="18"/>
                <w:color w:val="auto"/>
              </w:rPr>
            </w:pPr>
          </w:p>
        </w:tc>
        <w:tc>
          <w:tcPr>
            <w:tcW w:w="220" w:type="dxa"/>
            <w:vAlign w:val="bottom"/>
            <w:shd w:val="clear" w:color="auto" w:fill="E9EDF4"/>
          </w:tcPr>
          <w:p>
            <w:pPr>
              <w:spacing w:after="0"/>
              <w:rPr>
                <w:sz w:val="18"/>
                <w:szCs w:val="18"/>
                <w:color w:val="auto"/>
              </w:rPr>
            </w:pPr>
          </w:p>
        </w:tc>
        <w:tc>
          <w:tcPr>
            <w:tcW w:w="500" w:type="dxa"/>
            <w:vAlign w:val="bottom"/>
            <w:shd w:val="clear" w:color="auto" w:fill="E9EDF4"/>
          </w:tcPr>
          <w:p>
            <w:pPr>
              <w:spacing w:after="0"/>
              <w:rPr>
                <w:sz w:val="18"/>
                <w:szCs w:val="18"/>
                <w:color w:val="auto"/>
              </w:rPr>
            </w:pPr>
          </w:p>
        </w:tc>
        <w:tc>
          <w:tcPr>
            <w:tcW w:w="380" w:type="dxa"/>
            <w:vAlign w:val="bottom"/>
            <w:shd w:val="clear" w:color="auto" w:fill="E9EDF4"/>
          </w:tcPr>
          <w:p>
            <w:pPr>
              <w:spacing w:after="0"/>
              <w:rPr>
                <w:sz w:val="18"/>
                <w:szCs w:val="18"/>
                <w:color w:val="auto"/>
              </w:rPr>
            </w:pPr>
          </w:p>
        </w:tc>
        <w:tc>
          <w:tcPr>
            <w:tcW w:w="160" w:type="dxa"/>
            <w:vAlign w:val="bottom"/>
            <w:shd w:val="clear" w:color="auto" w:fill="E9EDF4"/>
          </w:tcPr>
          <w:p>
            <w:pPr>
              <w:spacing w:after="0"/>
              <w:rPr>
                <w:sz w:val="18"/>
                <w:szCs w:val="18"/>
                <w:color w:val="auto"/>
              </w:rPr>
            </w:pPr>
          </w:p>
        </w:tc>
        <w:tc>
          <w:tcPr>
            <w:tcW w:w="62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40" w:type="dxa"/>
            <w:vAlign w:val="bottom"/>
            <w:shd w:val="clear" w:color="auto" w:fill="E9EDF4"/>
          </w:tcPr>
          <w:p>
            <w:pPr>
              <w:spacing w:after="0"/>
              <w:rPr>
                <w:sz w:val="18"/>
                <w:szCs w:val="18"/>
                <w:color w:val="auto"/>
              </w:rPr>
            </w:pPr>
          </w:p>
        </w:tc>
        <w:tc>
          <w:tcPr>
            <w:tcW w:w="80" w:type="dxa"/>
            <w:vAlign w:val="bottom"/>
            <w:shd w:val="clear" w:color="auto" w:fill="E9EDF4"/>
          </w:tcPr>
          <w:p>
            <w:pPr>
              <w:spacing w:after="0"/>
              <w:rPr>
                <w:sz w:val="18"/>
                <w:szCs w:val="18"/>
                <w:color w:val="auto"/>
              </w:rPr>
            </w:pPr>
          </w:p>
        </w:tc>
        <w:tc>
          <w:tcPr>
            <w:tcW w:w="180" w:type="dxa"/>
            <w:vAlign w:val="bottom"/>
            <w:shd w:val="clear" w:color="auto" w:fill="E9EDF4"/>
          </w:tcPr>
          <w:p>
            <w:pPr>
              <w:spacing w:after="0"/>
              <w:rPr>
                <w:sz w:val="18"/>
                <w:szCs w:val="18"/>
                <w:color w:val="auto"/>
              </w:rPr>
            </w:pPr>
          </w:p>
        </w:tc>
        <w:tc>
          <w:tcPr>
            <w:tcW w:w="62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220" w:type="dxa"/>
            <w:vAlign w:val="bottom"/>
            <w:shd w:val="clear" w:color="auto" w:fill="E9EDF4"/>
          </w:tcPr>
          <w:p>
            <w:pPr>
              <w:spacing w:after="0"/>
              <w:rPr>
                <w:sz w:val="18"/>
                <w:szCs w:val="18"/>
                <w:color w:val="auto"/>
              </w:rPr>
            </w:pPr>
          </w:p>
        </w:tc>
        <w:tc>
          <w:tcPr>
            <w:tcW w:w="160" w:type="dxa"/>
            <w:vAlign w:val="bottom"/>
            <w:shd w:val="clear" w:color="auto" w:fill="E9EDF4"/>
          </w:tcPr>
          <w:p>
            <w:pPr>
              <w:spacing w:after="0"/>
              <w:rPr>
                <w:sz w:val="18"/>
                <w:szCs w:val="18"/>
                <w:color w:val="auto"/>
              </w:rPr>
            </w:pPr>
          </w:p>
        </w:tc>
        <w:tc>
          <w:tcPr>
            <w:tcW w:w="48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200" w:type="dxa"/>
            <w:vAlign w:val="bottom"/>
            <w:shd w:val="clear" w:color="auto" w:fill="E9EDF4"/>
          </w:tcPr>
          <w:p>
            <w:pPr>
              <w:spacing w:after="0"/>
              <w:rPr>
                <w:sz w:val="18"/>
                <w:szCs w:val="18"/>
                <w:color w:val="auto"/>
              </w:rPr>
            </w:pPr>
          </w:p>
        </w:tc>
        <w:tc>
          <w:tcPr>
            <w:tcW w:w="240" w:type="dxa"/>
            <w:vAlign w:val="bottom"/>
            <w:shd w:val="clear" w:color="auto" w:fill="E9EDF4"/>
          </w:tcPr>
          <w:p>
            <w:pPr>
              <w:spacing w:after="0"/>
              <w:rPr>
                <w:sz w:val="18"/>
                <w:szCs w:val="18"/>
                <w:color w:val="auto"/>
              </w:rPr>
            </w:pPr>
          </w:p>
        </w:tc>
        <w:tc>
          <w:tcPr>
            <w:tcW w:w="520" w:type="dxa"/>
            <w:vAlign w:val="bottom"/>
            <w:shd w:val="clear" w:color="auto" w:fill="E9EDF4"/>
          </w:tcPr>
          <w:p>
            <w:pPr>
              <w:spacing w:after="0"/>
              <w:rPr>
                <w:sz w:val="18"/>
                <w:szCs w:val="18"/>
                <w:color w:val="auto"/>
              </w:rPr>
            </w:pPr>
          </w:p>
        </w:tc>
        <w:tc>
          <w:tcPr>
            <w:tcW w:w="260" w:type="dxa"/>
            <w:vAlign w:val="bottom"/>
            <w:shd w:val="clear" w:color="auto" w:fill="E9EDF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D0D8E8"/>
          </w:tcPr>
          <w:p>
            <w:pPr>
              <w:ind w:left="60"/>
              <w:spacing w:after="0" w:line="216" w:lineRule="exact"/>
              <w:rPr>
                <w:sz w:val="20"/>
                <w:szCs w:val="20"/>
                <w:color w:val="auto"/>
              </w:rPr>
            </w:pPr>
            <w:r>
              <w:rPr>
                <w:rFonts w:ascii="Times New Roman" w:cs="Times New Roman" w:eastAsia="Times New Roman" w:hAnsi="Times New Roman"/>
                <w:sz w:val="18"/>
                <w:szCs w:val="18"/>
                <w:color w:val="auto"/>
              </w:rPr>
              <w:t>Mark-to-market of escrow liability</w:t>
            </w:r>
            <w:r>
              <w:rPr>
                <w:rFonts w:ascii="Times New Roman" w:cs="Times New Roman" w:eastAsia="Times New Roman" w:hAnsi="Times New Roman"/>
                <w:sz w:val="24"/>
                <w:szCs w:val="24"/>
                <w:color w:val="auto"/>
                <w:vertAlign w:val="superscript"/>
              </w:rPr>
              <w:t>(2)</w:t>
            </w:r>
          </w:p>
        </w:tc>
        <w:tc>
          <w:tcPr>
            <w:tcW w:w="100" w:type="dxa"/>
            <w:vAlign w:val="bottom"/>
            <w:shd w:val="clear" w:color="auto" w:fill="D0D8E8"/>
          </w:tcPr>
          <w:p>
            <w:pPr>
              <w:spacing w:after="0"/>
              <w:rPr>
                <w:sz w:val="18"/>
                <w:szCs w:val="18"/>
                <w:color w:val="auto"/>
              </w:rPr>
            </w:pPr>
          </w:p>
        </w:tc>
        <w:tc>
          <w:tcPr>
            <w:tcW w:w="160" w:type="dxa"/>
            <w:vAlign w:val="bottom"/>
            <w:shd w:val="clear" w:color="auto" w:fill="D0D8E8"/>
          </w:tcPr>
          <w:p>
            <w:pPr>
              <w:spacing w:after="0"/>
              <w:rPr>
                <w:sz w:val="18"/>
                <w:szCs w:val="18"/>
                <w:color w:val="auto"/>
              </w:rPr>
            </w:pPr>
          </w:p>
        </w:tc>
        <w:tc>
          <w:tcPr>
            <w:tcW w:w="64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D0D8E8"/>
          </w:tcPr>
          <w:p>
            <w:pPr>
              <w:spacing w:after="0"/>
              <w:rPr>
                <w:sz w:val="18"/>
                <w:szCs w:val="18"/>
                <w:color w:val="auto"/>
              </w:rPr>
            </w:pPr>
          </w:p>
        </w:tc>
        <w:tc>
          <w:tcPr>
            <w:tcW w:w="180" w:type="dxa"/>
            <w:vAlign w:val="bottom"/>
            <w:shd w:val="clear" w:color="auto" w:fill="D0D8E8"/>
          </w:tcPr>
          <w:p>
            <w:pPr>
              <w:spacing w:after="0"/>
              <w:rPr>
                <w:sz w:val="18"/>
                <w:szCs w:val="18"/>
                <w:color w:val="auto"/>
              </w:rPr>
            </w:pPr>
          </w:p>
        </w:tc>
        <w:tc>
          <w:tcPr>
            <w:tcW w:w="62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0" w:type="dxa"/>
            <w:vAlign w:val="bottom"/>
            <w:shd w:val="clear" w:color="auto" w:fill="D0D8E8"/>
          </w:tcPr>
          <w:p>
            <w:pPr>
              <w:spacing w:after="0"/>
              <w:rPr>
                <w:sz w:val="18"/>
                <w:szCs w:val="18"/>
                <w:color w:val="auto"/>
              </w:rPr>
            </w:pPr>
          </w:p>
        </w:tc>
        <w:tc>
          <w:tcPr>
            <w:tcW w:w="180" w:type="dxa"/>
            <w:vAlign w:val="bottom"/>
            <w:shd w:val="clear" w:color="auto" w:fill="D0D8E8"/>
          </w:tcPr>
          <w:p>
            <w:pPr>
              <w:spacing w:after="0"/>
              <w:rPr>
                <w:sz w:val="18"/>
                <w:szCs w:val="18"/>
                <w:color w:val="auto"/>
              </w:rPr>
            </w:pPr>
          </w:p>
        </w:tc>
        <w:tc>
          <w:tcPr>
            <w:tcW w:w="680" w:type="dxa"/>
            <w:vAlign w:val="bottom"/>
            <w:gridSpan w:val="2"/>
            <w:shd w:val="clear" w:color="auto" w:fill="D0D8E8"/>
          </w:tcPr>
          <w:p>
            <w:pPr>
              <w:jc w:val="right"/>
              <w:ind w:right="160"/>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shd w:val="clear" w:color="auto" w:fill="D0D8E8"/>
          </w:tcPr>
          <w:p>
            <w:pPr>
              <w:spacing w:after="0"/>
              <w:rPr>
                <w:sz w:val="18"/>
                <w:szCs w:val="18"/>
                <w:color w:val="auto"/>
              </w:rPr>
            </w:pPr>
          </w:p>
        </w:tc>
        <w:tc>
          <w:tcPr>
            <w:tcW w:w="500" w:type="dxa"/>
            <w:vAlign w:val="bottom"/>
            <w:shd w:val="clear" w:color="auto" w:fill="D0D8E8"/>
          </w:tcPr>
          <w:p>
            <w:pPr>
              <w:spacing w:after="0"/>
              <w:rPr>
                <w:sz w:val="18"/>
                <w:szCs w:val="18"/>
                <w:color w:val="auto"/>
              </w:rPr>
            </w:pPr>
          </w:p>
        </w:tc>
        <w:tc>
          <w:tcPr>
            <w:tcW w:w="380" w:type="dxa"/>
            <w:vAlign w:val="bottom"/>
            <w:shd w:val="clear" w:color="auto" w:fill="D0D8E8"/>
          </w:tcPr>
          <w:p>
            <w:pPr>
              <w:spacing w:after="0"/>
              <w:rPr>
                <w:sz w:val="18"/>
                <w:szCs w:val="18"/>
                <w:color w:val="auto"/>
              </w:rPr>
            </w:pPr>
          </w:p>
        </w:tc>
        <w:tc>
          <w:tcPr>
            <w:tcW w:w="160" w:type="dxa"/>
            <w:vAlign w:val="bottom"/>
            <w:shd w:val="clear" w:color="auto" w:fill="D0D8E8"/>
          </w:tcPr>
          <w:p>
            <w:pPr>
              <w:spacing w:after="0"/>
              <w:rPr>
                <w:sz w:val="18"/>
                <w:szCs w:val="18"/>
                <w:color w:val="auto"/>
              </w:rPr>
            </w:pPr>
          </w:p>
        </w:tc>
        <w:tc>
          <w:tcPr>
            <w:tcW w:w="760" w:type="dxa"/>
            <w:vAlign w:val="bottom"/>
            <w:gridSpan w:val="2"/>
            <w:shd w:val="clear" w:color="auto" w:fill="D0D8E8"/>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D0D8E8"/>
          </w:tcPr>
          <w:p>
            <w:pPr>
              <w:spacing w:after="0"/>
              <w:rPr>
                <w:sz w:val="18"/>
                <w:szCs w:val="18"/>
                <w:color w:val="auto"/>
              </w:rPr>
            </w:pPr>
          </w:p>
        </w:tc>
        <w:tc>
          <w:tcPr>
            <w:tcW w:w="180" w:type="dxa"/>
            <w:vAlign w:val="bottom"/>
            <w:shd w:val="clear" w:color="auto" w:fill="D0D8E8"/>
          </w:tcPr>
          <w:p>
            <w:pPr>
              <w:spacing w:after="0"/>
              <w:rPr>
                <w:sz w:val="18"/>
                <w:szCs w:val="18"/>
                <w:color w:val="auto"/>
              </w:rPr>
            </w:pPr>
          </w:p>
        </w:tc>
        <w:tc>
          <w:tcPr>
            <w:tcW w:w="62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shd w:val="clear" w:color="auto" w:fill="D0D8E8"/>
          </w:tcPr>
          <w:p>
            <w:pPr>
              <w:spacing w:after="0"/>
              <w:rPr>
                <w:sz w:val="18"/>
                <w:szCs w:val="18"/>
                <w:color w:val="auto"/>
              </w:rPr>
            </w:pPr>
          </w:p>
        </w:tc>
        <w:tc>
          <w:tcPr>
            <w:tcW w:w="160" w:type="dxa"/>
            <w:vAlign w:val="bottom"/>
            <w:shd w:val="clear" w:color="auto" w:fill="D0D8E8"/>
          </w:tcPr>
          <w:p>
            <w:pPr>
              <w:spacing w:after="0"/>
              <w:rPr>
                <w:sz w:val="18"/>
                <w:szCs w:val="18"/>
                <w:color w:val="auto"/>
              </w:rPr>
            </w:pPr>
          </w:p>
        </w:tc>
        <w:tc>
          <w:tcPr>
            <w:tcW w:w="680" w:type="dxa"/>
            <w:vAlign w:val="bottom"/>
            <w:gridSpan w:val="2"/>
            <w:shd w:val="clear" w:color="auto" w:fill="D0D8E8"/>
          </w:tcPr>
          <w:p>
            <w:pPr>
              <w:jc w:val="right"/>
              <w:ind w:right="140"/>
              <w:spacing w:after="0"/>
              <w:rPr>
                <w:sz w:val="20"/>
                <w:szCs w:val="20"/>
                <w:color w:val="auto"/>
              </w:rPr>
            </w:pPr>
            <w:r>
              <w:rPr>
                <w:rFonts w:ascii="Times New Roman" w:cs="Times New Roman" w:eastAsia="Times New Roman" w:hAnsi="Times New Roman"/>
                <w:sz w:val="18"/>
                <w:szCs w:val="18"/>
                <w:color w:val="auto"/>
              </w:rPr>
              <w:t>(0.02)</w:t>
            </w:r>
          </w:p>
        </w:tc>
        <w:tc>
          <w:tcPr>
            <w:tcW w:w="240" w:type="dxa"/>
            <w:vAlign w:val="bottom"/>
            <w:shd w:val="clear" w:color="auto" w:fill="D0D8E8"/>
          </w:tcPr>
          <w:p>
            <w:pPr>
              <w:spacing w:after="0"/>
              <w:rPr>
                <w:sz w:val="18"/>
                <w:szCs w:val="18"/>
                <w:color w:val="auto"/>
              </w:rPr>
            </w:pPr>
          </w:p>
        </w:tc>
        <w:tc>
          <w:tcPr>
            <w:tcW w:w="520" w:type="dxa"/>
            <w:vAlign w:val="bottom"/>
            <w:shd w:val="clear" w:color="auto" w:fill="D0D8E8"/>
          </w:tcPr>
          <w:p>
            <w:pPr>
              <w:spacing w:after="0"/>
              <w:rPr>
                <w:sz w:val="18"/>
                <w:szCs w:val="18"/>
                <w:color w:val="auto"/>
              </w:rPr>
            </w:pPr>
          </w:p>
        </w:tc>
        <w:tc>
          <w:tcPr>
            <w:tcW w:w="260" w:type="dxa"/>
            <w:vAlign w:val="bottom"/>
            <w:shd w:val="clear" w:color="auto" w:fill="D0D8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shd w:val="clear" w:color="auto" w:fill="D0D8E8"/>
          </w:tcPr>
          <w:p>
            <w:pPr>
              <w:spacing w:after="0" w:line="20" w:lineRule="exact"/>
              <w:rPr>
                <w:sz w:val="1"/>
                <w:szCs w:val="1"/>
                <w:color w:val="auto"/>
              </w:rPr>
            </w:pPr>
          </w:p>
        </w:tc>
        <w:tc>
          <w:tcPr>
            <w:tcW w:w="100" w:type="dxa"/>
            <w:vAlign w:val="bottom"/>
            <w:shd w:val="clear" w:color="auto" w:fill="D0D8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D0D8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D0D8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D0D8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D0D8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D0D8E8"/>
          </w:tcPr>
          <w:p>
            <w:pPr>
              <w:spacing w:after="0" w:line="20" w:lineRule="exact"/>
              <w:rPr>
                <w:sz w:val="1"/>
                <w:szCs w:val="1"/>
                <w:color w:val="auto"/>
              </w:rPr>
            </w:pPr>
          </w:p>
        </w:tc>
        <w:tc>
          <w:tcPr>
            <w:tcW w:w="80" w:type="dxa"/>
            <w:vAlign w:val="bottom"/>
            <w:shd w:val="clear" w:color="auto" w:fill="D0D8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D0D8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D0D8E8"/>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D0D8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shd w:val="clear" w:color="auto" w:fill="E9EDF4"/>
          </w:tcPr>
          <w:p>
            <w:pPr>
              <w:spacing w:after="0"/>
              <w:rPr>
                <w:sz w:val="20"/>
                <w:szCs w:val="20"/>
                <w:color w:val="auto"/>
              </w:rPr>
            </w:pPr>
            <w:r>
              <w:rPr>
                <w:rFonts w:ascii="Times New Roman" w:cs="Times New Roman" w:eastAsia="Times New Roman" w:hAnsi="Times New Roman"/>
                <w:sz w:val="18"/>
                <w:szCs w:val="18"/>
                <w:b w:val="1"/>
                <w:bCs w:val="1"/>
                <w:color w:val="auto"/>
              </w:rPr>
              <w:t>Diluted Net Income Per Share - Adjusted</w:t>
            </w:r>
          </w:p>
        </w:tc>
        <w:tc>
          <w:tcPr>
            <w:tcW w:w="100" w:type="dxa"/>
            <w:vAlign w:val="bottom"/>
            <w:shd w:val="clear" w:color="auto" w:fill="E9EDF4"/>
          </w:tcPr>
          <w:p>
            <w:pPr>
              <w:spacing w:after="0"/>
              <w:rPr>
                <w:sz w:val="18"/>
                <w:szCs w:val="18"/>
                <w:color w:val="auto"/>
              </w:rPr>
            </w:pPr>
          </w:p>
        </w:tc>
        <w:tc>
          <w:tcPr>
            <w:tcW w:w="16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200" w:type="dxa"/>
            <w:vAlign w:val="bottom"/>
            <w:shd w:val="clear" w:color="auto" w:fill="E9EDF4"/>
          </w:tcPr>
          <w:p>
            <w:pPr>
              <w:spacing w:after="0"/>
              <w:rPr>
                <w:sz w:val="18"/>
                <w:szCs w:val="18"/>
                <w:color w:val="auto"/>
              </w:rPr>
            </w:pPr>
          </w:p>
        </w:tc>
        <w:tc>
          <w:tcPr>
            <w:tcW w:w="18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200" w:type="dxa"/>
            <w:vAlign w:val="bottom"/>
            <w:shd w:val="clear" w:color="auto" w:fill="E9EDF4"/>
          </w:tcPr>
          <w:p>
            <w:pPr>
              <w:spacing w:after="0"/>
              <w:rPr>
                <w:sz w:val="18"/>
                <w:szCs w:val="18"/>
                <w:color w:val="auto"/>
              </w:rPr>
            </w:pPr>
          </w:p>
        </w:tc>
        <w:tc>
          <w:tcPr>
            <w:tcW w:w="18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0.02</w:t>
            </w:r>
          </w:p>
        </w:tc>
        <w:tc>
          <w:tcPr>
            <w:tcW w:w="220" w:type="dxa"/>
            <w:vAlign w:val="bottom"/>
            <w:shd w:val="clear" w:color="auto" w:fill="E9EDF4"/>
          </w:tcPr>
          <w:p>
            <w:pPr>
              <w:spacing w:after="0"/>
              <w:rPr>
                <w:sz w:val="18"/>
                <w:szCs w:val="18"/>
                <w:color w:val="auto"/>
              </w:rPr>
            </w:pPr>
          </w:p>
        </w:tc>
        <w:tc>
          <w:tcPr>
            <w:tcW w:w="220" w:type="dxa"/>
            <w:vAlign w:val="bottom"/>
            <w:shd w:val="clear" w:color="auto" w:fill="E9EDF4"/>
          </w:tcPr>
          <w:p>
            <w:pPr>
              <w:spacing w:after="0"/>
              <w:rPr>
                <w:sz w:val="18"/>
                <w:szCs w:val="18"/>
                <w:color w:val="auto"/>
              </w:rPr>
            </w:pPr>
          </w:p>
        </w:tc>
        <w:tc>
          <w:tcPr>
            <w:tcW w:w="880" w:type="dxa"/>
            <w:vAlign w:val="bottom"/>
            <w:gridSpan w:val="2"/>
            <w:shd w:val="clear" w:color="auto" w:fill="E9EDF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1.9%</w:t>
            </w:r>
          </w:p>
        </w:tc>
        <w:tc>
          <w:tcPr>
            <w:tcW w:w="16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3.52</w:t>
            </w:r>
          </w:p>
        </w:tc>
        <w:tc>
          <w:tcPr>
            <w:tcW w:w="140" w:type="dxa"/>
            <w:vAlign w:val="bottom"/>
            <w:shd w:val="clear" w:color="auto" w:fill="E9EDF4"/>
          </w:tcPr>
          <w:p>
            <w:pPr>
              <w:spacing w:after="0"/>
              <w:rPr>
                <w:sz w:val="18"/>
                <w:szCs w:val="18"/>
                <w:color w:val="auto"/>
              </w:rPr>
            </w:pPr>
          </w:p>
        </w:tc>
        <w:tc>
          <w:tcPr>
            <w:tcW w:w="260" w:type="dxa"/>
            <w:vAlign w:val="bottom"/>
            <w:gridSpan w:val="2"/>
            <w:shd w:val="clear" w:color="auto" w:fill="E9EDF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3.33</w:t>
            </w:r>
          </w:p>
        </w:tc>
        <w:tc>
          <w:tcPr>
            <w:tcW w:w="380" w:type="dxa"/>
            <w:vAlign w:val="bottom"/>
            <w:gridSpan w:val="2"/>
            <w:shd w:val="clear" w:color="auto" w:fill="E9EDF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0.19</w:t>
            </w:r>
          </w:p>
        </w:tc>
        <w:tc>
          <w:tcPr>
            <w:tcW w:w="200" w:type="dxa"/>
            <w:vAlign w:val="bottom"/>
            <w:shd w:val="clear" w:color="auto" w:fill="E9EDF4"/>
          </w:tcPr>
          <w:p>
            <w:pPr>
              <w:spacing w:after="0"/>
              <w:rPr>
                <w:sz w:val="18"/>
                <w:szCs w:val="18"/>
                <w:color w:val="auto"/>
              </w:rPr>
            </w:pPr>
          </w:p>
        </w:tc>
        <w:tc>
          <w:tcPr>
            <w:tcW w:w="240" w:type="dxa"/>
            <w:vAlign w:val="bottom"/>
            <w:shd w:val="clear" w:color="auto" w:fill="E9EDF4"/>
          </w:tcPr>
          <w:p>
            <w:pPr>
              <w:spacing w:after="0"/>
              <w:rPr>
                <w:sz w:val="18"/>
                <w:szCs w:val="18"/>
                <w:color w:val="auto"/>
              </w:rPr>
            </w:pPr>
          </w:p>
        </w:tc>
        <w:tc>
          <w:tcPr>
            <w:tcW w:w="780" w:type="dxa"/>
            <w:vAlign w:val="bottom"/>
            <w:gridSpan w:val="2"/>
            <w:shd w:val="clear" w:color="auto" w:fill="E9EDF4"/>
          </w:tcPr>
          <w:p>
            <w:pPr>
              <w:ind w:left="280"/>
              <w:spacing w:after="0"/>
              <w:rPr>
                <w:sz w:val="20"/>
                <w:szCs w:val="20"/>
                <w:color w:val="auto"/>
              </w:rPr>
            </w:pPr>
            <w:r>
              <w:rPr>
                <w:rFonts w:ascii="Times New Roman" w:cs="Times New Roman" w:eastAsia="Times New Roman" w:hAnsi="Times New Roman"/>
                <w:sz w:val="18"/>
                <w:szCs w:val="18"/>
                <w:b w:val="1"/>
                <w:bCs w:val="1"/>
                <w:color w:val="auto"/>
              </w:rPr>
              <w:t>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-1216660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-1216660</wp:posOffset>
            </wp:positionV>
            <wp:extent cx="1625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-1216660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-1216660</wp:posOffset>
            </wp:positionV>
            <wp:extent cx="1631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-1113790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-1113790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-1113790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-1113790</wp:posOffset>
            </wp:positionV>
            <wp:extent cx="1625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-1113790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-1113790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-1113790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-1113790</wp:posOffset>
            </wp:positionV>
            <wp:extent cx="1631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-145415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-145415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-145415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-145415</wp:posOffset>
            </wp:positionV>
            <wp:extent cx="1625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-145415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-145415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-145415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-145415</wp:posOffset>
            </wp:positionV>
            <wp:extent cx="1631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313" w:lineRule="exact"/>
        <w:rPr>
          <w:sz w:val="20"/>
          <w:szCs w:val="20"/>
          <w:color w:val="auto"/>
        </w:rPr>
      </w:pPr>
    </w:p>
    <w:p>
      <w:pPr>
        <w:jc w:val="both"/>
        <w:ind w:left="540" w:hanging="532"/>
        <w:spacing w:after="0" w:line="261"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of diluted net income per share for the three and nine months ended September 30, 2026 (a) excludes the mark-to-market of escrow liability and (b) includes the escrowed shares within the Company’s diluted weighted average number of shares, in each case in accordance with Accounting Standards Codification Topic 260 — Earnings Per Share (“ASC 260”), which requires this treatment in periods where the combined effect of these adjustments is accretive to earnings.</w:t>
      </w:r>
    </w:p>
    <w:p>
      <w:pPr>
        <w:spacing w:after="0" w:line="71" w:lineRule="exact"/>
        <w:rPr>
          <w:rFonts w:ascii="Times New Roman" w:cs="Times New Roman" w:eastAsia="Times New Roman" w:hAnsi="Times New Roman"/>
          <w:sz w:val="18"/>
          <w:szCs w:val="18"/>
          <w:color w:val="auto"/>
        </w:rPr>
      </w:pPr>
    </w:p>
    <w:p>
      <w:pPr>
        <w:jc w:val="both"/>
        <w:ind w:left="540" w:hanging="532"/>
        <w:spacing w:after="0" w:line="266"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adjustment for the mark-to-market of escrow liability was made to Diluted Net Income Per Share – Adjusted for the three or nine months ended September 30, 2026 as the calculation of diluted net income per share for these periods already excludes the mark-to-market of escrow liability in accordance with ASC 260.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information regarding non-GAAP measures presented later in this press release.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5" w:name="page6"/>
    <w:bookmarkEnd w:id="5"/>
    <w:p>
      <w:pPr>
        <w:jc w:val="center"/>
        <w:spacing w:after="0" w:line="234" w:lineRule="auto"/>
        <w:rPr>
          <w:sz w:val="20"/>
          <w:szCs w:val="20"/>
          <w:color w:val="auto"/>
        </w:rPr>
      </w:pPr>
      <w:r>
        <w:rPr>
          <w:rFonts w:ascii="Times New Roman" w:cs="Times New Roman" w:eastAsia="Times New Roman" w:hAnsi="Times New Roman"/>
          <w:sz w:val="20"/>
          <w:szCs w:val="20"/>
          <w:b w:val="1"/>
          <w:bCs w:val="1"/>
          <w:color w:val="auto"/>
        </w:rPr>
        <w:t>Reconciliation of Income Before Income Taxes to EBITDAC and EBITDAC - Adjusted and Income Before Income Taxes Margin</w:t>
      </w:r>
      <w:r>
        <w:rPr>
          <w:rFonts w:ascii="Times New Roman" w:cs="Times New Roman" w:eastAsia="Times New Roman" w:hAnsi="Times New Roman"/>
          <w:sz w:val="26"/>
          <w:szCs w:val="26"/>
          <w:b w:val="1"/>
          <w:bCs w:val="1"/>
          <w:color w:val="auto"/>
          <w:vertAlign w:val="superscript"/>
        </w:rPr>
        <w:t>(1)</w:t>
      </w:r>
      <w:r>
        <w:rPr>
          <w:rFonts w:ascii="Times New Roman" w:cs="Times New Roman" w:eastAsia="Times New Roman" w:hAnsi="Times New Roman"/>
          <w:sz w:val="20"/>
          <w:szCs w:val="20"/>
          <w:b w:val="1"/>
          <w:bCs w:val="1"/>
          <w:color w:val="auto"/>
        </w:rPr>
        <w:t xml:space="preserve"> to EBITDAC Margin and EBITDAC Margin - Adjusted (in millions, unaudited)</w:t>
      </w:r>
    </w:p>
    <w:p>
      <w:pPr>
        <w:spacing w:after="0" w:line="184" w:lineRule="exact"/>
        <w:rPr>
          <w:sz w:val="20"/>
          <w:szCs w:val="20"/>
          <w:color w:val="auto"/>
        </w:rPr>
      </w:pPr>
    </w:p>
    <w:tbl>
      <w:tblPr>
        <w:tblLayout w:type="fixed"/>
        <w:tblInd w:w="40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4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940" w:type="dxa"/>
            <w:vAlign w:val="bottom"/>
            <w:gridSpan w:val="6"/>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3"/>
                <w:szCs w:val="3"/>
                <w:color w:val="auto"/>
              </w:rPr>
            </w:pPr>
          </w:p>
        </w:tc>
        <w:tc>
          <w:tcPr>
            <w:tcW w:w="2620" w:type="dxa"/>
            <w:vAlign w:val="bottom"/>
            <w:gridSpan w:val="5"/>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4360" w:type="dxa"/>
            <w:vAlign w:val="bottom"/>
            <w:shd w:val="clear" w:color="auto" w:fill="95B3D7"/>
          </w:tcPr>
          <w:p>
            <w:pPr>
              <w:spacing w:after="0"/>
              <w:rPr>
                <w:sz w:val="10"/>
                <w:szCs w:val="10"/>
                <w:color w:val="auto"/>
              </w:rPr>
            </w:pPr>
          </w:p>
        </w:tc>
        <w:tc>
          <w:tcPr>
            <w:tcW w:w="34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160" w:type="dxa"/>
            <w:vAlign w:val="bottom"/>
          </w:tcPr>
          <w:p>
            <w:pPr>
              <w:spacing w:after="0"/>
              <w:rPr>
                <w:sz w:val="10"/>
                <w:szCs w:val="10"/>
                <w:color w:val="auto"/>
              </w:rPr>
            </w:pPr>
          </w:p>
        </w:tc>
        <w:tc>
          <w:tcPr>
            <w:tcW w:w="262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Borders>
              <w:bottom w:val="single" w:sz="8" w:color="95B3D7"/>
            </w:tcBorders>
            <w:shd w:val="clear" w:color="auto" w:fill="95B3D7"/>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1"/>
              <w:spacing w:after="0" w:line="216" w:lineRule="exact"/>
              <w:rPr>
                <w:sz w:val="20"/>
                <w:szCs w:val="20"/>
                <w:color w:val="auto"/>
              </w:rPr>
            </w:pPr>
            <w:r>
              <w:rPr>
                <w:rFonts w:ascii="Times New Roman" w:cs="Times New Roman" w:eastAsia="Times New Roman" w:hAnsi="Times New Roman"/>
                <w:sz w:val="14"/>
                <w:szCs w:val="14"/>
                <w:b w:val="1"/>
                <w:bCs w:val="1"/>
                <w:color w:val="auto"/>
              </w:rPr>
              <w:t>2025</w:t>
            </w:r>
            <w:r>
              <w:rPr>
                <w:rFonts w:ascii="Times New Roman" w:cs="Times New Roman" w:eastAsia="Times New Roman" w:hAnsi="Times New Roman"/>
                <w:sz w:val="19"/>
                <w:szCs w:val="19"/>
                <w:b w:val="1"/>
                <w:bCs w:val="1"/>
                <w:color w:val="auto"/>
                <w:vertAlign w:val="superscript"/>
              </w:rPr>
              <w:t>(2)</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1"/>
              <w:spacing w:after="0" w:line="216" w:lineRule="exact"/>
              <w:rPr>
                <w:sz w:val="20"/>
                <w:szCs w:val="20"/>
                <w:color w:val="auto"/>
              </w:rPr>
            </w:pPr>
            <w:r>
              <w:rPr>
                <w:rFonts w:ascii="Times New Roman" w:cs="Times New Roman" w:eastAsia="Times New Roman" w:hAnsi="Times New Roman"/>
                <w:sz w:val="14"/>
                <w:szCs w:val="14"/>
                <w:b w:val="1"/>
                <w:bCs w:val="1"/>
                <w:color w:val="auto"/>
              </w:rPr>
              <w:t>2025</w:t>
            </w:r>
            <w:r>
              <w:rPr>
                <w:rFonts w:ascii="Times New Roman" w:cs="Times New Roman" w:eastAsia="Times New Roman" w:hAnsi="Times New Roman"/>
                <w:sz w:val="19"/>
                <w:szCs w:val="19"/>
                <w:b w:val="1"/>
                <w:bCs w:val="1"/>
                <w:color w:val="auto"/>
                <w:vertAlign w:val="superscript"/>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E9EDF4"/>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060" w:type="dxa"/>
            <w:vAlign w:val="bottom"/>
            <w:gridSpan w:val="2"/>
            <w:shd w:val="clear" w:color="auto" w:fill="E9EDF4"/>
          </w:tcPr>
          <w:p>
            <w:pPr>
              <w:jc w:val="right"/>
              <w:ind w:right="568"/>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1,725</w:t>
            </w:r>
          </w:p>
        </w:tc>
        <w:tc>
          <w:tcPr>
            <w:tcW w:w="300" w:type="dxa"/>
            <w:vAlign w:val="bottom"/>
            <w:tcBorders>
              <w:right w:val="single" w:sz="8" w:color="E9EDF4"/>
            </w:tcBorders>
            <w:shd w:val="clear" w:color="auto" w:fill="E9EDF4"/>
          </w:tcPr>
          <w:p>
            <w:pPr>
              <w:spacing w:after="0"/>
              <w:rPr>
                <w:sz w:val="18"/>
                <w:szCs w:val="18"/>
                <w:color w:val="auto"/>
              </w:rPr>
            </w:pPr>
          </w:p>
        </w:tc>
        <w:tc>
          <w:tcPr>
            <w:tcW w:w="240" w:type="dxa"/>
            <w:vAlign w:val="bottom"/>
            <w:shd w:val="clear" w:color="auto" w:fill="E9EDF4"/>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1,606</w:t>
            </w:r>
          </w:p>
        </w:tc>
        <w:tc>
          <w:tcPr>
            <w:tcW w:w="300" w:type="dxa"/>
            <w:vAlign w:val="bottom"/>
            <w:tcBorders>
              <w:right w:val="single" w:sz="8" w:color="E9EDF4"/>
            </w:tcBorders>
            <w:shd w:val="clear" w:color="auto" w:fill="E9EDF4"/>
          </w:tcPr>
          <w:p>
            <w:pPr>
              <w:spacing w:after="0"/>
              <w:rPr>
                <w:sz w:val="18"/>
                <w:szCs w:val="18"/>
                <w:color w:val="auto"/>
              </w:rPr>
            </w:pPr>
          </w:p>
        </w:tc>
        <w:tc>
          <w:tcPr>
            <w:tcW w:w="16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5,302</w:t>
            </w:r>
          </w:p>
        </w:tc>
        <w:tc>
          <w:tcPr>
            <w:tcW w:w="300" w:type="dxa"/>
            <w:vAlign w:val="bottom"/>
            <w:tcBorders>
              <w:right w:val="single" w:sz="8" w:color="E9EDF4"/>
            </w:tcBorders>
            <w:shd w:val="clear" w:color="auto" w:fill="E9EDF4"/>
          </w:tcPr>
          <w:p>
            <w:pPr>
              <w:spacing w:after="0"/>
              <w:rPr>
                <w:sz w:val="18"/>
                <w:szCs w:val="18"/>
                <w:color w:val="auto"/>
              </w:rPr>
            </w:pPr>
          </w:p>
        </w:tc>
        <w:tc>
          <w:tcPr>
            <w:tcW w:w="220" w:type="dxa"/>
            <w:vAlign w:val="bottom"/>
            <w:shd w:val="clear" w:color="auto" w:fill="E9EDF4"/>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4,295</w:t>
            </w:r>
          </w:p>
        </w:tc>
        <w:tc>
          <w:tcPr>
            <w:tcW w:w="200" w:type="dxa"/>
            <w:vAlign w:val="bottom"/>
            <w:shd w:val="clear" w:color="auto" w:fill="E9EDF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60" w:type="dxa"/>
            <w:vAlign w:val="bottom"/>
            <w:shd w:val="clear" w:color="auto" w:fill="E9EDF4"/>
          </w:tcPr>
          <w:p>
            <w:pPr>
              <w:spacing w:after="0" w:line="20" w:lineRule="exact"/>
              <w:rPr>
                <w:sz w:val="1"/>
                <w:szCs w:val="1"/>
                <w:color w:val="auto"/>
              </w:rPr>
            </w:pPr>
          </w:p>
        </w:tc>
        <w:tc>
          <w:tcPr>
            <w:tcW w:w="340" w:type="dxa"/>
            <w:vAlign w:val="bottom"/>
            <w:shd w:val="clear" w:color="auto" w:fill="E9EDF4"/>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Borders>
              <w:right w:val="single" w:sz="8" w:color="E9EDF4"/>
            </w:tcBorders>
            <w:shd w:val="clear" w:color="auto" w:fill="E9EDF4"/>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Borders>
              <w:right w:val="single" w:sz="8" w:color="E9EDF4"/>
            </w:tcBorders>
            <w:shd w:val="clear" w:color="auto" w:fill="E9EDF4"/>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Borders>
              <w:right w:val="single" w:sz="8" w:color="E9EDF4"/>
            </w:tcBorders>
            <w:shd w:val="clear" w:color="auto" w:fill="E9EDF4"/>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E9EDF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360" w:type="dxa"/>
            <w:vAlign w:val="bottom"/>
            <w:shd w:val="clear" w:color="auto" w:fill="D0D8E8"/>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060" w:type="dxa"/>
            <w:vAlign w:val="bottom"/>
            <w:gridSpan w:val="2"/>
            <w:shd w:val="clear" w:color="auto" w:fill="D0D8E8"/>
          </w:tcPr>
          <w:p>
            <w:pPr>
              <w:jc w:val="right"/>
              <w:ind w:right="568"/>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b w:val="1"/>
                <w:bCs w:val="1"/>
                <w:color w:val="auto"/>
              </w:rPr>
              <w:t>320</w:t>
            </w:r>
          </w:p>
        </w:tc>
        <w:tc>
          <w:tcPr>
            <w:tcW w:w="300" w:type="dxa"/>
            <w:vAlign w:val="bottom"/>
            <w:tcBorders>
              <w:right w:val="single" w:sz="8" w:color="D0D8E8"/>
            </w:tcBorders>
            <w:shd w:val="clear" w:color="auto" w:fill="D0D8E8"/>
          </w:tcPr>
          <w:p>
            <w:pPr>
              <w:spacing w:after="0"/>
              <w:rPr>
                <w:sz w:val="18"/>
                <w:szCs w:val="18"/>
                <w:color w:val="auto"/>
              </w:rPr>
            </w:pPr>
          </w:p>
        </w:tc>
        <w:tc>
          <w:tcPr>
            <w:tcW w:w="240" w:type="dxa"/>
            <w:vAlign w:val="bottom"/>
            <w:shd w:val="clear" w:color="auto" w:fill="D0D8E8"/>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b w:val="1"/>
                <w:bCs w:val="1"/>
                <w:color w:val="auto"/>
              </w:rPr>
              <w:t>311</w:t>
            </w:r>
          </w:p>
        </w:tc>
        <w:tc>
          <w:tcPr>
            <w:tcW w:w="300" w:type="dxa"/>
            <w:vAlign w:val="bottom"/>
            <w:tcBorders>
              <w:right w:val="single" w:sz="8" w:color="D0D8E8"/>
            </w:tcBorders>
            <w:shd w:val="clear" w:color="auto" w:fill="D0D8E8"/>
          </w:tcPr>
          <w:p>
            <w:pPr>
              <w:spacing w:after="0"/>
              <w:rPr>
                <w:sz w:val="18"/>
                <w:szCs w:val="18"/>
                <w:color w:val="auto"/>
              </w:rPr>
            </w:pPr>
          </w:p>
        </w:tc>
        <w:tc>
          <w:tcPr>
            <w:tcW w:w="16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b w:val="1"/>
                <w:bCs w:val="1"/>
                <w:color w:val="auto"/>
              </w:rPr>
              <w:t>1,235</w:t>
            </w:r>
          </w:p>
        </w:tc>
        <w:tc>
          <w:tcPr>
            <w:tcW w:w="300" w:type="dxa"/>
            <w:vAlign w:val="bottom"/>
            <w:tcBorders>
              <w:right w:val="single" w:sz="8" w:color="D0D8E8"/>
            </w:tcBorders>
            <w:shd w:val="clear" w:color="auto" w:fill="D0D8E8"/>
          </w:tcPr>
          <w:p>
            <w:pPr>
              <w:spacing w:after="0"/>
              <w:rPr>
                <w:sz w:val="18"/>
                <w:szCs w:val="18"/>
                <w:color w:val="auto"/>
              </w:rPr>
            </w:pPr>
          </w:p>
        </w:tc>
        <w:tc>
          <w:tcPr>
            <w:tcW w:w="220" w:type="dxa"/>
            <w:vAlign w:val="bottom"/>
            <w:shd w:val="clear" w:color="auto" w:fill="D0D8E8"/>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b w:val="1"/>
                <w:bCs w:val="1"/>
                <w:color w:val="auto"/>
              </w:rPr>
              <w:t>1,050</w:t>
            </w:r>
          </w:p>
        </w:tc>
        <w:tc>
          <w:tcPr>
            <w:tcW w:w="200" w:type="dxa"/>
            <w:vAlign w:val="bottom"/>
            <w:shd w:val="clear" w:color="auto" w:fill="D0D8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E9EDF4"/>
          </w:tcPr>
          <w:p>
            <w:pPr>
              <w:spacing w:after="0" w:line="216" w:lineRule="exact"/>
              <w:rPr>
                <w:sz w:val="20"/>
                <w:szCs w:val="20"/>
                <w:color w:val="auto"/>
              </w:rPr>
            </w:pPr>
            <w:r>
              <w:rPr>
                <w:rFonts w:ascii="Times New Roman" w:cs="Times New Roman" w:eastAsia="Times New Roman" w:hAnsi="Times New Roman"/>
                <w:sz w:val="18"/>
                <w:szCs w:val="18"/>
                <w:b w:val="1"/>
                <w:bCs w:val="1"/>
                <w:color w:val="auto"/>
              </w:rPr>
              <w:t>Income Before Income Taxes Margin</w:t>
            </w:r>
            <w:r>
              <w:rPr>
                <w:rFonts w:ascii="Times New Roman" w:cs="Times New Roman" w:eastAsia="Times New Roman" w:hAnsi="Times New Roman"/>
                <w:sz w:val="24"/>
                <w:szCs w:val="24"/>
                <w:b w:val="1"/>
                <w:bCs w:val="1"/>
                <w:color w:val="auto"/>
                <w:vertAlign w:val="superscript"/>
              </w:rPr>
              <w:t>(1)</w:t>
            </w:r>
          </w:p>
        </w:tc>
        <w:tc>
          <w:tcPr>
            <w:tcW w:w="340" w:type="dxa"/>
            <w:vAlign w:val="bottom"/>
            <w:shd w:val="clear" w:color="auto" w:fill="E9EDF4"/>
          </w:tcPr>
          <w:p>
            <w:pPr>
              <w:spacing w:after="0"/>
              <w:rPr>
                <w:sz w:val="18"/>
                <w:szCs w:val="18"/>
                <w:color w:val="auto"/>
              </w:rPr>
            </w:pPr>
          </w:p>
        </w:tc>
        <w:tc>
          <w:tcPr>
            <w:tcW w:w="720" w:type="dxa"/>
            <w:vAlign w:val="bottom"/>
            <w:shd w:val="clear" w:color="auto" w:fill="E9EDF4"/>
          </w:tcPr>
          <w:p>
            <w:pPr>
              <w:spacing w:after="0"/>
              <w:rPr>
                <w:sz w:val="18"/>
                <w:szCs w:val="18"/>
                <w:color w:val="auto"/>
              </w:rPr>
            </w:pPr>
          </w:p>
        </w:tc>
        <w:tc>
          <w:tcPr>
            <w:tcW w:w="740" w:type="dxa"/>
            <w:vAlign w:val="bottom"/>
            <w:tcBorders>
              <w:right w:val="single" w:sz="8" w:color="E9EDF4"/>
            </w:tcBorders>
            <w:gridSpan w:val="2"/>
            <w:shd w:val="clear" w:color="auto" w:fill="E9EDF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18.6%</w:t>
            </w:r>
          </w:p>
        </w:tc>
        <w:tc>
          <w:tcPr>
            <w:tcW w:w="240" w:type="dxa"/>
            <w:vAlign w:val="bottom"/>
            <w:shd w:val="clear" w:color="auto" w:fill="E9EDF4"/>
          </w:tcPr>
          <w:p>
            <w:pPr>
              <w:spacing w:after="0"/>
              <w:rPr>
                <w:sz w:val="18"/>
                <w:szCs w:val="18"/>
                <w:color w:val="auto"/>
              </w:rPr>
            </w:pPr>
          </w:p>
        </w:tc>
        <w:tc>
          <w:tcPr>
            <w:tcW w:w="1240" w:type="dxa"/>
            <w:vAlign w:val="bottom"/>
            <w:tcBorders>
              <w:right w:val="single" w:sz="8" w:color="E9EDF4"/>
            </w:tcBorders>
            <w:gridSpan w:val="2"/>
            <w:shd w:val="clear" w:color="auto" w:fill="E9EDF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19.4%</w:t>
            </w:r>
          </w:p>
        </w:tc>
        <w:tc>
          <w:tcPr>
            <w:tcW w:w="160" w:type="dxa"/>
            <w:vAlign w:val="bottom"/>
            <w:shd w:val="clear" w:color="auto" w:fill="E9EDF4"/>
          </w:tcPr>
          <w:p>
            <w:pPr>
              <w:spacing w:after="0"/>
              <w:rPr>
                <w:sz w:val="18"/>
                <w:szCs w:val="18"/>
                <w:color w:val="auto"/>
              </w:rPr>
            </w:pPr>
          </w:p>
        </w:tc>
        <w:tc>
          <w:tcPr>
            <w:tcW w:w="1300" w:type="dxa"/>
            <w:vAlign w:val="bottom"/>
            <w:tcBorders>
              <w:right w:val="single" w:sz="8" w:color="E9EDF4"/>
            </w:tcBorders>
            <w:gridSpan w:val="2"/>
            <w:shd w:val="clear" w:color="auto" w:fill="E9EDF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23.3%</w:t>
            </w:r>
          </w:p>
        </w:tc>
        <w:tc>
          <w:tcPr>
            <w:tcW w:w="220" w:type="dxa"/>
            <w:vAlign w:val="bottom"/>
            <w:shd w:val="clear" w:color="auto" w:fill="E9EDF4"/>
          </w:tcPr>
          <w:p>
            <w:pPr>
              <w:spacing w:after="0"/>
              <w:rPr>
                <w:sz w:val="18"/>
                <w:szCs w:val="18"/>
                <w:color w:val="auto"/>
              </w:rPr>
            </w:pPr>
          </w:p>
        </w:tc>
        <w:tc>
          <w:tcPr>
            <w:tcW w:w="1100" w:type="dxa"/>
            <w:vAlign w:val="bottom"/>
            <w:gridSpan w:val="2"/>
            <w:shd w:val="clear" w:color="auto" w:fill="E9EDF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D0D8E8"/>
          </w:tcPr>
          <w:p>
            <w:pPr>
              <w:ind w:left="60"/>
              <w:spacing w:after="0"/>
              <w:rPr>
                <w:sz w:val="20"/>
                <w:szCs w:val="20"/>
                <w:color w:val="auto"/>
              </w:rPr>
            </w:pPr>
            <w:r>
              <w:rPr>
                <w:rFonts w:ascii="Times New Roman" w:cs="Times New Roman" w:eastAsia="Times New Roman" w:hAnsi="Times New Roman"/>
                <w:sz w:val="18"/>
                <w:szCs w:val="18"/>
                <w:color w:val="auto"/>
              </w:rPr>
              <w:t>Amortization</w:t>
            </w:r>
          </w:p>
        </w:tc>
        <w:tc>
          <w:tcPr>
            <w:tcW w:w="340" w:type="dxa"/>
            <w:vAlign w:val="bottom"/>
            <w:shd w:val="clear" w:color="auto" w:fill="D0D8E8"/>
          </w:tcPr>
          <w:p>
            <w:pPr>
              <w:spacing w:after="0"/>
              <w:rPr>
                <w:sz w:val="18"/>
                <w:szCs w:val="18"/>
                <w:color w:val="auto"/>
              </w:rPr>
            </w:pPr>
          </w:p>
        </w:tc>
        <w:tc>
          <w:tcPr>
            <w:tcW w:w="720" w:type="dxa"/>
            <w:vAlign w:val="bottom"/>
            <w:shd w:val="clear" w:color="auto" w:fill="D0D8E8"/>
          </w:tcPr>
          <w:p>
            <w:pPr>
              <w:spacing w:after="0"/>
              <w:rPr>
                <w:sz w:val="18"/>
                <w:szCs w:val="18"/>
                <w:color w:val="auto"/>
              </w:rPr>
            </w:pPr>
          </w:p>
        </w:tc>
        <w:tc>
          <w:tcPr>
            <w:tcW w:w="44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00" w:type="dxa"/>
            <w:vAlign w:val="bottom"/>
            <w:tcBorders>
              <w:right w:val="single" w:sz="8" w:color="D0D8E8"/>
            </w:tcBorders>
            <w:shd w:val="clear" w:color="auto" w:fill="D0D8E8"/>
          </w:tcPr>
          <w:p>
            <w:pPr>
              <w:spacing w:after="0"/>
              <w:rPr>
                <w:sz w:val="18"/>
                <w:szCs w:val="18"/>
                <w:color w:val="auto"/>
              </w:rPr>
            </w:pPr>
          </w:p>
        </w:tc>
        <w:tc>
          <w:tcPr>
            <w:tcW w:w="240" w:type="dxa"/>
            <w:vAlign w:val="bottom"/>
            <w:shd w:val="clear" w:color="auto" w:fill="D0D8E8"/>
          </w:tcPr>
          <w:p>
            <w:pPr>
              <w:spacing w:after="0"/>
              <w:rPr>
                <w:sz w:val="18"/>
                <w:szCs w:val="18"/>
                <w:color w:val="auto"/>
              </w:rPr>
            </w:pPr>
          </w:p>
        </w:tc>
        <w:tc>
          <w:tcPr>
            <w:tcW w:w="94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300" w:type="dxa"/>
            <w:vAlign w:val="bottom"/>
            <w:tcBorders>
              <w:right w:val="single" w:sz="8" w:color="D0D8E8"/>
            </w:tcBorders>
            <w:shd w:val="clear" w:color="auto" w:fill="D0D8E8"/>
          </w:tcPr>
          <w:p>
            <w:pPr>
              <w:spacing w:after="0"/>
              <w:rPr>
                <w:sz w:val="18"/>
                <w:szCs w:val="18"/>
                <w:color w:val="auto"/>
              </w:rPr>
            </w:pPr>
          </w:p>
        </w:tc>
        <w:tc>
          <w:tcPr>
            <w:tcW w:w="160" w:type="dxa"/>
            <w:vAlign w:val="bottom"/>
            <w:shd w:val="clear" w:color="auto" w:fill="D0D8E8"/>
          </w:tcPr>
          <w:p>
            <w:pPr>
              <w:spacing w:after="0"/>
              <w:rPr>
                <w:sz w:val="18"/>
                <w:szCs w:val="18"/>
                <w:color w:val="auto"/>
              </w:rPr>
            </w:pPr>
          </w:p>
        </w:tc>
        <w:tc>
          <w:tcPr>
            <w:tcW w:w="100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300" w:type="dxa"/>
            <w:vAlign w:val="bottom"/>
            <w:tcBorders>
              <w:right w:val="single" w:sz="8" w:color="D0D8E8"/>
            </w:tcBorders>
            <w:shd w:val="clear" w:color="auto" w:fill="D0D8E8"/>
          </w:tcPr>
          <w:p>
            <w:pPr>
              <w:spacing w:after="0"/>
              <w:rPr>
                <w:sz w:val="18"/>
                <w:szCs w:val="18"/>
                <w:color w:val="auto"/>
              </w:rPr>
            </w:pPr>
          </w:p>
        </w:tc>
        <w:tc>
          <w:tcPr>
            <w:tcW w:w="220" w:type="dxa"/>
            <w:vAlign w:val="bottom"/>
            <w:shd w:val="clear" w:color="auto" w:fill="D0D8E8"/>
          </w:tcPr>
          <w:p>
            <w:pPr>
              <w:spacing w:after="0"/>
              <w:rPr>
                <w:sz w:val="18"/>
                <w:szCs w:val="18"/>
                <w:color w:val="auto"/>
              </w:rPr>
            </w:pPr>
          </w:p>
        </w:tc>
        <w:tc>
          <w:tcPr>
            <w:tcW w:w="90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00" w:type="dxa"/>
            <w:vAlign w:val="bottom"/>
            <w:shd w:val="clear" w:color="auto" w:fill="D0D8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E9EDF4"/>
          </w:tcPr>
          <w:p>
            <w:pPr>
              <w:ind w:left="6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shd w:val="clear" w:color="auto" w:fill="E9EDF4"/>
          </w:tcPr>
          <w:p>
            <w:pPr>
              <w:spacing w:after="0"/>
              <w:rPr>
                <w:sz w:val="18"/>
                <w:szCs w:val="18"/>
                <w:color w:val="auto"/>
              </w:rPr>
            </w:pPr>
          </w:p>
        </w:tc>
        <w:tc>
          <w:tcPr>
            <w:tcW w:w="720" w:type="dxa"/>
            <w:vAlign w:val="bottom"/>
            <w:shd w:val="clear" w:color="auto" w:fill="E9EDF4"/>
          </w:tcPr>
          <w:p>
            <w:pPr>
              <w:spacing w:after="0"/>
              <w:rPr>
                <w:sz w:val="18"/>
                <w:szCs w:val="18"/>
                <w:color w:val="auto"/>
              </w:rPr>
            </w:pPr>
          </w:p>
        </w:tc>
        <w:tc>
          <w:tcPr>
            <w:tcW w:w="44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Borders>
              <w:right w:val="single" w:sz="8" w:color="E9EDF4"/>
            </w:tcBorders>
            <w:shd w:val="clear" w:color="auto" w:fill="E9EDF4"/>
          </w:tcPr>
          <w:p>
            <w:pPr>
              <w:spacing w:after="0"/>
              <w:rPr>
                <w:sz w:val="18"/>
                <w:szCs w:val="18"/>
                <w:color w:val="auto"/>
              </w:rPr>
            </w:pPr>
          </w:p>
        </w:tc>
        <w:tc>
          <w:tcPr>
            <w:tcW w:w="240" w:type="dxa"/>
            <w:vAlign w:val="bottom"/>
            <w:shd w:val="clear" w:color="auto" w:fill="E9EDF4"/>
          </w:tcPr>
          <w:p>
            <w:pPr>
              <w:spacing w:after="0"/>
              <w:rPr>
                <w:sz w:val="18"/>
                <w:szCs w:val="18"/>
                <w:color w:val="auto"/>
              </w:rPr>
            </w:pPr>
          </w:p>
        </w:tc>
        <w:tc>
          <w:tcPr>
            <w:tcW w:w="94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Borders>
              <w:right w:val="single" w:sz="8" w:color="E9EDF4"/>
            </w:tcBorders>
            <w:shd w:val="clear" w:color="auto" w:fill="E9EDF4"/>
          </w:tcPr>
          <w:p>
            <w:pPr>
              <w:spacing w:after="0"/>
              <w:rPr>
                <w:sz w:val="18"/>
                <w:szCs w:val="18"/>
                <w:color w:val="auto"/>
              </w:rPr>
            </w:pPr>
          </w:p>
        </w:tc>
        <w:tc>
          <w:tcPr>
            <w:tcW w:w="160" w:type="dxa"/>
            <w:vAlign w:val="bottom"/>
            <w:shd w:val="clear" w:color="auto" w:fill="E9EDF4"/>
          </w:tcPr>
          <w:p>
            <w:pPr>
              <w:spacing w:after="0"/>
              <w:rPr>
                <w:sz w:val="18"/>
                <w:szCs w:val="18"/>
                <w:color w:val="auto"/>
              </w:rPr>
            </w:pPr>
          </w:p>
        </w:tc>
        <w:tc>
          <w:tcPr>
            <w:tcW w:w="100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00" w:type="dxa"/>
            <w:vAlign w:val="bottom"/>
            <w:tcBorders>
              <w:right w:val="single" w:sz="8" w:color="E9EDF4"/>
            </w:tcBorders>
            <w:shd w:val="clear" w:color="auto" w:fill="E9EDF4"/>
          </w:tcPr>
          <w:p>
            <w:pPr>
              <w:spacing w:after="0"/>
              <w:rPr>
                <w:sz w:val="18"/>
                <w:szCs w:val="18"/>
                <w:color w:val="auto"/>
              </w:rPr>
            </w:pPr>
          </w:p>
        </w:tc>
        <w:tc>
          <w:tcPr>
            <w:tcW w:w="220" w:type="dxa"/>
            <w:vAlign w:val="bottom"/>
            <w:shd w:val="clear" w:color="auto" w:fill="E9EDF4"/>
          </w:tcPr>
          <w:p>
            <w:pPr>
              <w:spacing w:after="0"/>
              <w:rPr>
                <w:sz w:val="18"/>
                <w:szCs w:val="18"/>
                <w:color w:val="auto"/>
              </w:rPr>
            </w:pPr>
          </w:p>
        </w:tc>
        <w:tc>
          <w:tcPr>
            <w:tcW w:w="90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shd w:val="clear" w:color="auto" w:fill="E9EDF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D0D8E8"/>
          </w:tcPr>
          <w:p>
            <w:pPr>
              <w:ind w:left="60"/>
              <w:spacing w:after="0"/>
              <w:rPr>
                <w:sz w:val="20"/>
                <w:szCs w:val="20"/>
                <w:color w:val="auto"/>
              </w:rPr>
            </w:pPr>
            <w:r>
              <w:rPr>
                <w:rFonts w:ascii="Times New Roman" w:cs="Times New Roman" w:eastAsia="Times New Roman" w:hAnsi="Times New Roman"/>
                <w:sz w:val="18"/>
                <w:szCs w:val="18"/>
                <w:color w:val="auto"/>
              </w:rPr>
              <w:t>Interest</w:t>
            </w:r>
          </w:p>
        </w:tc>
        <w:tc>
          <w:tcPr>
            <w:tcW w:w="340" w:type="dxa"/>
            <w:vAlign w:val="bottom"/>
            <w:shd w:val="clear" w:color="auto" w:fill="D0D8E8"/>
          </w:tcPr>
          <w:p>
            <w:pPr>
              <w:spacing w:after="0"/>
              <w:rPr>
                <w:sz w:val="18"/>
                <w:szCs w:val="18"/>
                <w:color w:val="auto"/>
              </w:rPr>
            </w:pPr>
          </w:p>
        </w:tc>
        <w:tc>
          <w:tcPr>
            <w:tcW w:w="720" w:type="dxa"/>
            <w:vAlign w:val="bottom"/>
            <w:shd w:val="clear" w:color="auto" w:fill="D0D8E8"/>
          </w:tcPr>
          <w:p>
            <w:pPr>
              <w:spacing w:after="0"/>
              <w:rPr>
                <w:sz w:val="18"/>
                <w:szCs w:val="18"/>
                <w:color w:val="auto"/>
              </w:rPr>
            </w:pPr>
          </w:p>
        </w:tc>
        <w:tc>
          <w:tcPr>
            <w:tcW w:w="44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Borders>
              <w:right w:val="single" w:sz="8" w:color="D0D8E8"/>
            </w:tcBorders>
            <w:shd w:val="clear" w:color="auto" w:fill="D0D8E8"/>
          </w:tcPr>
          <w:p>
            <w:pPr>
              <w:spacing w:after="0"/>
              <w:rPr>
                <w:sz w:val="18"/>
                <w:szCs w:val="18"/>
                <w:color w:val="auto"/>
              </w:rPr>
            </w:pPr>
          </w:p>
        </w:tc>
        <w:tc>
          <w:tcPr>
            <w:tcW w:w="240" w:type="dxa"/>
            <w:vAlign w:val="bottom"/>
            <w:shd w:val="clear" w:color="auto" w:fill="D0D8E8"/>
          </w:tcPr>
          <w:p>
            <w:pPr>
              <w:spacing w:after="0"/>
              <w:rPr>
                <w:sz w:val="18"/>
                <w:szCs w:val="18"/>
                <w:color w:val="auto"/>
              </w:rPr>
            </w:pPr>
          </w:p>
        </w:tc>
        <w:tc>
          <w:tcPr>
            <w:tcW w:w="94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Borders>
              <w:right w:val="single" w:sz="8" w:color="D0D8E8"/>
            </w:tcBorders>
            <w:shd w:val="clear" w:color="auto" w:fill="D0D8E8"/>
          </w:tcPr>
          <w:p>
            <w:pPr>
              <w:spacing w:after="0"/>
              <w:rPr>
                <w:sz w:val="18"/>
                <w:szCs w:val="18"/>
                <w:color w:val="auto"/>
              </w:rPr>
            </w:pPr>
          </w:p>
        </w:tc>
        <w:tc>
          <w:tcPr>
            <w:tcW w:w="160" w:type="dxa"/>
            <w:vAlign w:val="bottom"/>
            <w:shd w:val="clear" w:color="auto" w:fill="D0D8E8"/>
          </w:tcPr>
          <w:p>
            <w:pPr>
              <w:spacing w:after="0"/>
              <w:rPr>
                <w:sz w:val="18"/>
                <w:szCs w:val="18"/>
                <w:color w:val="auto"/>
              </w:rPr>
            </w:pPr>
          </w:p>
        </w:tc>
        <w:tc>
          <w:tcPr>
            <w:tcW w:w="100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300" w:type="dxa"/>
            <w:vAlign w:val="bottom"/>
            <w:tcBorders>
              <w:right w:val="single" w:sz="8" w:color="D0D8E8"/>
            </w:tcBorders>
            <w:shd w:val="clear" w:color="auto" w:fill="D0D8E8"/>
          </w:tcPr>
          <w:p>
            <w:pPr>
              <w:spacing w:after="0"/>
              <w:rPr>
                <w:sz w:val="18"/>
                <w:szCs w:val="18"/>
                <w:color w:val="auto"/>
              </w:rPr>
            </w:pPr>
          </w:p>
        </w:tc>
        <w:tc>
          <w:tcPr>
            <w:tcW w:w="220" w:type="dxa"/>
            <w:vAlign w:val="bottom"/>
            <w:shd w:val="clear" w:color="auto" w:fill="D0D8E8"/>
          </w:tcPr>
          <w:p>
            <w:pPr>
              <w:spacing w:after="0"/>
              <w:rPr>
                <w:sz w:val="18"/>
                <w:szCs w:val="18"/>
                <w:color w:val="auto"/>
              </w:rPr>
            </w:pPr>
          </w:p>
        </w:tc>
        <w:tc>
          <w:tcPr>
            <w:tcW w:w="90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0" w:type="dxa"/>
            <w:vAlign w:val="bottom"/>
            <w:shd w:val="clear" w:color="auto" w:fill="D0D8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E9EDF4"/>
          </w:tcPr>
          <w:p>
            <w:pPr>
              <w:ind w:left="60"/>
              <w:spacing w:after="0"/>
              <w:rPr>
                <w:sz w:val="20"/>
                <w:szCs w:val="20"/>
                <w:color w:val="auto"/>
              </w:rPr>
            </w:pPr>
            <w:r>
              <w:rPr>
                <w:rFonts w:ascii="Times New Roman" w:cs="Times New Roman" w:eastAsia="Times New Roman" w:hAnsi="Times New Roman"/>
                <w:sz w:val="18"/>
                <w:szCs w:val="18"/>
                <w:color w:val="auto"/>
              </w:rPr>
              <w:t>Change in estimated acquisition earn-out payables</w:t>
            </w:r>
          </w:p>
        </w:tc>
        <w:tc>
          <w:tcPr>
            <w:tcW w:w="340" w:type="dxa"/>
            <w:vAlign w:val="bottom"/>
            <w:shd w:val="clear" w:color="auto" w:fill="E9EDF4"/>
          </w:tcPr>
          <w:p>
            <w:pPr>
              <w:spacing w:after="0"/>
              <w:rPr>
                <w:sz w:val="18"/>
                <w:szCs w:val="18"/>
                <w:color w:val="auto"/>
              </w:rPr>
            </w:pPr>
          </w:p>
        </w:tc>
        <w:tc>
          <w:tcPr>
            <w:tcW w:w="720" w:type="dxa"/>
            <w:vAlign w:val="bottom"/>
            <w:shd w:val="clear" w:color="auto" w:fill="E9EDF4"/>
          </w:tcPr>
          <w:p>
            <w:pPr>
              <w:spacing w:after="0"/>
              <w:rPr>
                <w:sz w:val="18"/>
                <w:szCs w:val="18"/>
                <w:color w:val="auto"/>
              </w:rPr>
            </w:pPr>
          </w:p>
        </w:tc>
        <w:tc>
          <w:tcPr>
            <w:tcW w:w="44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00" w:type="dxa"/>
            <w:vAlign w:val="bottom"/>
            <w:tcBorders>
              <w:right w:val="single" w:sz="8" w:color="E9EDF4"/>
            </w:tcBorders>
            <w:shd w:val="clear" w:color="auto" w:fill="E9EDF4"/>
          </w:tcPr>
          <w:p>
            <w:pPr>
              <w:spacing w:after="0"/>
              <w:rPr>
                <w:sz w:val="18"/>
                <w:szCs w:val="18"/>
                <w:color w:val="auto"/>
              </w:rPr>
            </w:pPr>
          </w:p>
        </w:tc>
        <w:tc>
          <w:tcPr>
            <w:tcW w:w="240" w:type="dxa"/>
            <w:vAlign w:val="bottom"/>
            <w:shd w:val="clear" w:color="auto" w:fill="E9EDF4"/>
          </w:tcPr>
          <w:p>
            <w:pPr>
              <w:spacing w:after="0"/>
              <w:rPr>
                <w:sz w:val="18"/>
                <w:szCs w:val="18"/>
                <w:color w:val="auto"/>
              </w:rPr>
            </w:pPr>
          </w:p>
        </w:tc>
        <w:tc>
          <w:tcPr>
            <w:tcW w:w="94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Borders>
              <w:right w:val="single" w:sz="8" w:color="E9EDF4"/>
            </w:tcBorders>
            <w:shd w:val="clear" w:color="auto" w:fill="E9EDF4"/>
          </w:tcPr>
          <w:p>
            <w:pPr>
              <w:spacing w:after="0"/>
              <w:rPr>
                <w:sz w:val="18"/>
                <w:szCs w:val="18"/>
                <w:color w:val="auto"/>
              </w:rPr>
            </w:pPr>
          </w:p>
        </w:tc>
        <w:tc>
          <w:tcPr>
            <w:tcW w:w="160" w:type="dxa"/>
            <w:vAlign w:val="bottom"/>
            <w:shd w:val="clear" w:color="auto" w:fill="E9EDF4"/>
          </w:tcPr>
          <w:p>
            <w:pPr>
              <w:spacing w:after="0"/>
              <w:rPr>
                <w:sz w:val="18"/>
                <w:szCs w:val="18"/>
                <w:color w:val="auto"/>
              </w:rPr>
            </w:pPr>
          </w:p>
        </w:tc>
        <w:tc>
          <w:tcPr>
            <w:tcW w:w="1300" w:type="dxa"/>
            <w:vAlign w:val="bottom"/>
            <w:tcBorders>
              <w:right w:val="single" w:sz="8" w:color="E9EDF4"/>
            </w:tcBorders>
            <w:gridSpan w:val="2"/>
            <w:shd w:val="clear" w:color="auto" w:fill="E9EDF4"/>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E9EDF4"/>
          </w:tcPr>
          <w:p>
            <w:pPr>
              <w:spacing w:after="0"/>
              <w:rPr>
                <w:sz w:val="18"/>
                <w:szCs w:val="18"/>
                <w:color w:val="auto"/>
              </w:rPr>
            </w:pPr>
          </w:p>
        </w:tc>
        <w:tc>
          <w:tcPr>
            <w:tcW w:w="90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E9EDF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60" w:type="dxa"/>
            <w:vAlign w:val="bottom"/>
            <w:shd w:val="clear" w:color="auto" w:fill="E9EDF4"/>
          </w:tcPr>
          <w:p>
            <w:pPr>
              <w:spacing w:after="0" w:line="20" w:lineRule="exact"/>
              <w:rPr>
                <w:sz w:val="1"/>
                <w:szCs w:val="1"/>
                <w:color w:val="auto"/>
              </w:rPr>
            </w:pPr>
          </w:p>
        </w:tc>
        <w:tc>
          <w:tcPr>
            <w:tcW w:w="340" w:type="dxa"/>
            <w:vAlign w:val="bottom"/>
            <w:shd w:val="clear" w:color="auto" w:fill="E9EDF4"/>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Borders>
              <w:right w:val="single" w:sz="8" w:color="E9EDF4"/>
            </w:tcBorders>
            <w:shd w:val="clear" w:color="auto" w:fill="E9EDF4"/>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Borders>
              <w:right w:val="single" w:sz="8" w:color="E9EDF4"/>
            </w:tcBorders>
            <w:shd w:val="clear" w:color="auto" w:fill="E9EDF4"/>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Borders>
              <w:right w:val="single" w:sz="8" w:color="E9EDF4"/>
            </w:tcBorders>
            <w:shd w:val="clear" w:color="auto" w:fill="E9EDF4"/>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E9EDF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360" w:type="dxa"/>
            <w:vAlign w:val="bottom"/>
            <w:shd w:val="clear" w:color="auto" w:fill="D0D8E8"/>
          </w:tcPr>
          <w:p>
            <w:pPr>
              <w:spacing w:after="0"/>
              <w:rPr>
                <w:sz w:val="20"/>
                <w:szCs w:val="20"/>
                <w:color w:val="auto"/>
              </w:rPr>
            </w:pPr>
            <w:r>
              <w:rPr>
                <w:rFonts w:ascii="Times New Roman" w:cs="Times New Roman" w:eastAsia="Times New Roman" w:hAnsi="Times New Roman"/>
                <w:sz w:val="18"/>
                <w:szCs w:val="18"/>
                <w:b w:val="1"/>
                <w:bCs w:val="1"/>
                <w:color w:val="auto"/>
              </w:rPr>
              <w:t>EBITDAC</w:t>
            </w:r>
          </w:p>
        </w:tc>
        <w:tc>
          <w:tcPr>
            <w:tcW w:w="1060" w:type="dxa"/>
            <w:vAlign w:val="bottom"/>
            <w:gridSpan w:val="2"/>
            <w:shd w:val="clear" w:color="auto" w:fill="D0D8E8"/>
          </w:tcPr>
          <w:p>
            <w:pPr>
              <w:jc w:val="right"/>
              <w:ind w:right="568"/>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b w:val="1"/>
                <w:bCs w:val="1"/>
                <w:color w:val="auto"/>
              </w:rPr>
              <w:t>575</w:t>
            </w:r>
          </w:p>
        </w:tc>
        <w:tc>
          <w:tcPr>
            <w:tcW w:w="300" w:type="dxa"/>
            <w:vAlign w:val="bottom"/>
            <w:tcBorders>
              <w:right w:val="single" w:sz="8" w:color="D0D8E8"/>
            </w:tcBorders>
            <w:shd w:val="clear" w:color="auto" w:fill="D0D8E8"/>
          </w:tcPr>
          <w:p>
            <w:pPr>
              <w:spacing w:after="0"/>
              <w:rPr>
                <w:sz w:val="18"/>
                <w:szCs w:val="18"/>
                <w:color w:val="auto"/>
              </w:rPr>
            </w:pPr>
          </w:p>
        </w:tc>
        <w:tc>
          <w:tcPr>
            <w:tcW w:w="240" w:type="dxa"/>
            <w:vAlign w:val="bottom"/>
            <w:shd w:val="clear" w:color="auto" w:fill="D0D8E8"/>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b w:val="1"/>
                <w:bCs w:val="1"/>
                <w:color w:val="auto"/>
              </w:rPr>
              <w:t>529</w:t>
            </w:r>
          </w:p>
        </w:tc>
        <w:tc>
          <w:tcPr>
            <w:tcW w:w="300" w:type="dxa"/>
            <w:vAlign w:val="bottom"/>
            <w:tcBorders>
              <w:right w:val="single" w:sz="8" w:color="D0D8E8"/>
            </w:tcBorders>
            <w:shd w:val="clear" w:color="auto" w:fill="D0D8E8"/>
          </w:tcPr>
          <w:p>
            <w:pPr>
              <w:spacing w:after="0"/>
              <w:rPr>
                <w:sz w:val="18"/>
                <w:szCs w:val="18"/>
                <w:color w:val="auto"/>
              </w:rPr>
            </w:pPr>
          </w:p>
        </w:tc>
        <w:tc>
          <w:tcPr>
            <w:tcW w:w="16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b w:val="1"/>
                <w:bCs w:val="1"/>
                <w:color w:val="auto"/>
              </w:rPr>
              <w:t>1,917</w:t>
            </w:r>
          </w:p>
        </w:tc>
        <w:tc>
          <w:tcPr>
            <w:tcW w:w="300" w:type="dxa"/>
            <w:vAlign w:val="bottom"/>
            <w:tcBorders>
              <w:right w:val="single" w:sz="8" w:color="D0D8E8"/>
            </w:tcBorders>
            <w:shd w:val="clear" w:color="auto" w:fill="D0D8E8"/>
          </w:tcPr>
          <w:p>
            <w:pPr>
              <w:spacing w:after="0"/>
              <w:rPr>
                <w:sz w:val="18"/>
                <w:szCs w:val="18"/>
                <w:color w:val="auto"/>
              </w:rPr>
            </w:pPr>
          </w:p>
        </w:tc>
        <w:tc>
          <w:tcPr>
            <w:tcW w:w="220" w:type="dxa"/>
            <w:vAlign w:val="bottom"/>
            <w:shd w:val="clear" w:color="auto" w:fill="D0D8E8"/>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b w:val="1"/>
                <w:bCs w:val="1"/>
                <w:color w:val="auto"/>
              </w:rPr>
              <w:t>1,498</w:t>
            </w:r>
          </w:p>
        </w:tc>
        <w:tc>
          <w:tcPr>
            <w:tcW w:w="200" w:type="dxa"/>
            <w:vAlign w:val="bottom"/>
            <w:shd w:val="clear" w:color="auto" w:fill="D0D8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E9EDF4"/>
          </w:tcPr>
          <w:p>
            <w:pPr>
              <w:spacing w:after="0"/>
              <w:rPr>
                <w:sz w:val="20"/>
                <w:szCs w:val="20"/>
                <w:color w:val="auto"/>
              </w:rPr>
            </w:pPr>
            <w:r>
              <w:rPr>
                <w:rFonts w:ascii="Times New Roman" w:cs="Times New Roman" w:eastAsia="Times New Roman" w:hAnsi="Times New Roman"/>
                <w:sz w:val="18"/>
                <w:szCs w:val="18"/>
                <w:b w:val="1"/>
                <w:bCs w:val="1"/>
                <w:color w:val="auto"/>
              </w:rPr>
              <w:t>EBITDAC Margin</w:t>
            </w:r>
          </w:p>
        </w:tc>
        <w:tc>
          <w:tcPr>
            <w:tcW w:w="340" w:type="dxa"/>
            <w:vAlign w:val="bottom"/>
            <w:shd w:val="clear" w:color="auto" w:fill="E9EDF4"/>
          </w:tcPr>
          <w:p>
            <w:pPr>
              <w:spacing w:after="0"/>
              <w:rPr>
                <w:sz w:val="18"/>
                <w:szCs w:val="18"/>
                <w:color w:val="auto"/>
              </w:rPr>
            </w:pPr>
          </w:p>
        </w:tc>
        <w:tc>
          <w:tcPr>
            <w:tcW w:w="720" w:type="dxa"/>
            <w:vAlign w:val="bottom"/>
            <w:shd w:val="clear" w:color="auto" w:fill="E9EDF4"/>
          </w:tcPr>
          <w:p>
            <w:pPr>
              <w:spacing w:after="0"/>
              <w:rPr>
                <w:sz w:val="18"/>
                <w:szCs w:val="18"/>
                <w:color w:val="auto"/>
              </w:rPr>
            </w:pPr>
          </w:p>
        </w:tc>
        <w:tc>
          <w:tcPr>
            <w:tcW w:w="740" w:type="dxa"/>
            <w:vAlign w:val="bottom"/>
            <w:tcBorders>
              <w:right w:val="single" w:sz="8" w:color="E9EDF4"/>
            </w:tcBorders>
            <w:gridSpan w:val="2"/>
            <w:shd w:val="clear" w:color="auto" w:fill="E9EDF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33.3%</w:t>
            </w:r>
          </w:p>
        </w:tc>
        <w:tc>
          <w:tcPr>
            <w:tcW w:w="240" w:type="dxa"/>
            <w:vAlign w:val="bottom"/>
            <w:shd w:val="clear" w:color="auto" w:fill="E9EDF4"/>
          </w:tcPr>
          <w:p>
            <w:pPr>
              <w:spacing w:after="0"/>
              <w:rPr>
                <w:sz w:val="18"/>
                <w:szCs w:val="18"/>
                <w:color w:val="auto"/>
              </w:rPr>
            </w:pPr>
          </w:p>
        </w:tc>
        <w:tc>
          <w:tcPr>
            <w:tcW w:w="1240" w:type="dxa"/>
            <w:vAlign w:val="bottom"/>
            <w:tcBorders>
              <w:right w:val="single" w:sz="8" w:color="E9EDF4"/>
            </w:tcBorders>
            <w:gridSpan w:val="2"/>
            <w:shd w:val="clear" w:color="auto" w:fill="E9EDF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32.9%</w:t>
            </w:r>
          </w:p>
        </w:tc>
        <w:tc>
          <w:tcPr>
            <w:tcW w:w="160" w:type="dxa"/>
            <w:vAlign w:val="bottom"/>
            <w:shd w:val="clear" w:color="auto" w:fill="E9EDF4"/>
          </w:tcPr>
          <w:p>
            <w:pPr>
              <w:spacing w:after="0"/>
              <w:rPr>
                <w:sz w:val="18"/>
                <w:szCs w:val="18"/>
                <w:color w:val="auto"/>
              </w:rPr>
            </w:pPr>
          </w:p>
        </w:tc>
        <w:tc>
          <w:tcPr>
            <w:tcW w:w="1300" w:type="dxa"/>
            <w:vAlign w:val="bottom"/>
            <w:tcBorders>
              <w:right w:val="single" w:sz="8" w:color="E9EDF4"/>
            </w:tcBorders>
            <w:gridSpan w:val="2"/>
            <w:shd w:val="clear" w:color="auto" w:fill="E9EDF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36.2%</w:t>
            </w:r>
          </w:p>
        </w:tc>
        <w:tc>
          <w:tcPr>
            <w:tcW w:w="220" w:type="dxa"/>
            <w:vAlign w:val="bottom"/>
            <w:shd w:val="clear" w:color="auto" w:fill="E9EDF4"/>
          </w:tcPr>
          <w:p>
            <w:pPr>
              <w:spacing w:after="0"/>
              <w:rPr>
                <w:sz w:val="18"/>
                <w:szCs w:val="18"/>
                <w:color w:val="auto"/>
              </w:rPr>
            </w:pPr>
          </w:p>
        </w:tc>
        <w:tc>
          <w:tcPr>
            <w:tcW w:w="1100" w:type="dxa"/>
            <w:vAlign w:val="bottom"/>
            <w:gridSpan w:val="2"/>
            <w:shd w:val="clear" w:color="auto" w:fill="E9EDF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D0D8E8"/>
          </w:tcPr>
          <w:p>
            <w:pPr>
              <w:ind w:left="60"/>
              <w:spacing w:after="0"/>
              <w:rPr>
                <w:sz w:val="20"/>
                <w:szCs w:val="20"/>
                <w:color w:val="auto"/>
              </w:rPr>
            </w:pPr>
            <w:r>
              <w:rPr>
                <w:rFonts w:ascii="Times New Roman" w:cs="Times New Roman" w:eastAsia="Times New Roman" w:hAnsi="Times New Roman"/>
                <w:sz w:val="18"/>
                <w:szCs w:val="18"/>
                <w:color w:val="auto"/>
              </w:rPr>
              <w:t>(Gain)/loss on disposal</w:t>
            </w:r>
          </w:p>
        </w:tc>
        <w:tc>
          <w:tcPr>
            <w:tcW w:w="340" w:type="dxa"/>
            <w:vAlign w:val="bottom"/>
            <w:shd w:val="clear" w:color="auto" w:fill="D0D8E8"/>
          </w:tcPr>
          <w:p>
            <w:pPr>
              <w:spacing w:after="0"/>
              <w:rPr>
                <w:sz w:val="18"/>
                <w:szCs w:val="18"/>
                <w:color w:val="auto"/>
              </w:rPr>
            </w:pPr>
          </w:p>
        </w:tc>
        <w:tc>
          <w:tcPr>
            <w:tcW w:w="720" w:type="dxa"/>
            <w:vAlign w:val="bottom"/>
            <w:shd w:val="clear" w:color="auto" w:fill="D0D8E8"/>
          </w:tcPr>
          <w:p>
            <w:pPr>
              <w:spacing w:after="0"/>
              <w:rPr>
                <w:sz w:val="18"/>
                <w:szCs w:val="18"/>
                <w:color w:val="auto"/>
              </w:rPr>
            </w:pPr>
          </w:p>
        </w:tc>
        <w:tc>
          <w:tcPr>
            <w:tcW w:w="740" w:type="dxa"/>
            <w:vAlign w:val="bottom"/>
            <w:tcBorders>
              <w:right w:val="single" w:sz="8" w:color="D0D8E8"/>
            </w:tcBorders>
            <w:gridSpan w:val="2"/>
            <w:shd w:val="clear" w:color="auto" w:fill="D0D8E8"/>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D0D8E8"/>
          </w:tcPr>
          <w:p>
            <w:pPr>
              <w:spacing w:after="0"/>
              <w:rPr>
                <w:sz w:val="18"/>
                <w:szCs w:val="18"/>
                <w:color w:val="auto"/>
              </w:rPr>
            </w:pPr>
          </w:p>
        </w:tc>
        <w:tc>
          <w:tcPr>
            <w:tcW w:w="1240" w:type="dxa"/>
            <w:vAlign w:val="bottom"/>
            <w:tcBorders>
              <w:right w:val="single" w:sz="8" w:color="D0D8E8"/>
            </w:tcBorders>
            <w:gridSpan w:val="2"/>
            <w:shd w:val="clear" w:color="auto" w:fill="D0D8E8"/>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0D8E8"/>
          </w:tcPr>
          <w:p>
            <w:pPr>
              <w:spacing w:after="0"/>
              <w:rPr>
                <w:sz w:val="18"/>
                <w:szCs w:val="18"/>
                <w:color w:val="auto"/>
              </w:rPr>
            </w:pPr>
          </w:p>
        </w:tc>
        <w:tc>
          <w:tcPr>
            <w:tcW w:w="1300" w:type="dxa"/>
            <w:vAlign w:val="bottom"/>
            <w:tcBorders>
              <w:right w:val="single" w:sz="8" w:color="D0D8E8"/>
            </w:tcBorders>
            <w:gridSpan w:val="2"/>
            <w:shd w:val="clear" w:color="auto" w:fill="D0D8E8"/>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0D8E8"/>
          </w:tcPr>
          <w:p>
            <w:pPr>
              <w:spacing w:after="0"/>
              <w:rPr>
                <w:sz w:val="18"/>
                <w:szCs w:val="18"/>
                <w:color w:val="auto"/>
              </w:rPr>
            </w:pPr>
          </w:p>
        </w:tc>
        <w:tc>
          <w:tcPr>
            <w:tcW w:w="90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D0D8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E9EDF4"/>
          </w:tcPr>
          <w:p>
            <w:pPr>
              <w:ind w:left="60"/>
              <w:spacing w:after="0"/>
              <w:rPr>
                <w:sz w:val="20"/>
                <w:szCs w:val="20"/>
                <w:color w:val="auto"/>
              </w:rPr>
            </w:pPr>
            <w:r>
              <w:rPr>
                <w:rFonts w:ascii="Times New Roman" w:cs="Times New Roman" w:eastAsia="Times New Roman" w:hAnsi="Times New Roman"/>
                <w:sz w:val="18"/>
                <w:szCs w:val="18"/>
                <w:color w:val="auto"/>
              </w:rPr>
              <w:t>Acquisition/Integration Costs</w:t>
            </w:r>
          </w:p>
        </w:tc>
        <w:tc>
          <w:tcPr>
            <w:tcW w:w="340" w:type="dxa"/>
            <w:vAlign w:val="bottom"/>
            <w:shd w:val="clear" w:color="auto" w:fill="E9EDF4"/>
          </w:tcPr>
          <w:p>
            <w:pPr>
              <w:spacing w:after="0"/>
              <w:rPr>
                <w:sz w:val="18"/>
                <w:szCs w:val="18"/>
                <w:color w:val="auto"/>
              </w:rPr>
            </w:pPr>
          </w:p>
        </w:tc>
        <w:tc>
          <w:tcPr>
            <w:tcW w:w="720" w:type="dxa"/>
            <w:vAlign w:val="bottom"/>
            <w:shd w:val="clear" w:color="auto" w:fill="E9EDF4"/>
          </w:tcPr>
          <w:p>
            <w:pPr>
              <w:spacing w:after="0"/>
              <w:rPr>
                <w:sz w:val="18"/>
                <w:szCs w:val="18"/>
                <w:color w:val="auto"/>
              </w:rPr>
            </w:pPr>
          </w:p>
        </w:tc>
        <w:tc>
          <w:tcPr>
            <w:tcW w:w="44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tcBorders>
              <w:right w:val="single" w:sz="8" w:color="E9EDF4"/>
            </w:tcBorders>
            <w:shd w:val="clear" w:color="auto" w:fill="E9EDF4"/>
          </w:tcPr>
          <w:p>
            <w:pPr>
              <w:spacing w:after="0"/>
              <w:rPr>
                <w:sz w:val="18"/>
                <w:szCs w:val="18"/>
                <w:color w:val="auto"/>
              </w:rPr>
            </w:pPr>
          </w:p>
        </w:tc>
        <w:tc>
          <w:tcPr>
            <w:tcW w:w="240" w:type="dxa"/>
            <w:vAlign w:val="bottom"/>
            <w:shd w:val="clear" w:color="auto" w:fill="E9EDF4"/>
          </w:tcPr>
          <w:p>
            <w:pPr>
              <w:spacing w:after="0"/>
              <w:rPr>
                <w:sz w:val="18"/>
                <w:szCs w:val="18"/>
                <w:color w:val="auto"/>
              </w:rPr>
            </w:pPr>
          </w:p>
        </w:tc>
        <w:tc>
          <w:tcPr>
            <w:tcW w:w="94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tcBorders>
              <w:right w:val="single" w:sz="8" w:color="E9EDF4"/>
            </w:tcBorders>
            <w:shd w:val="clear" w:color="auto" w:fill="E9EDF4"/>
          </w:tcPr>
          <w:p>
            <w:pPr>
              <w:spacing w:after="0"/>
              <w:rPr>
                <w:sz w:val="18"/>
                <w:szCs w:val="18"/>
                <w:color w:val="auto"/>
              </w:rPr>
            </w:pPr>
          </w:p>
        </w:tc>
        <w:tc>
          <w:tcPr>
            <w:tcW w:w="160" w:type="dxa"/>
            <w:vAlign w:val="bottom"/>
            <w:shd w:val="clear" w:color="auto" w:fill="E9EDF4"/>
          </w:tcPr>
          <w:p>
            <w:pPr>
              <w:spacing w:after="0"/>
              <w:rPr>
                <w:sz w:val="18"/>
                <w:szCs w:val="18"/>
                <w:color w:val="auto"/>
              </w:rPr>
            </w:pPr>
          </w:p>
        </w:tc>
        <w:tc>
          <w:tcPr>
            <w:tcW w:w="100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300" w:type="dxa"/>
            <w:vAlign w:val="bottom"/>
            <w:tcBorders>
              <w:right w:val="single" w:sz="8" w:color="E9EDF4"/>
            </w:tcBorders>
            <w:shd w:val="clear" w:color="auto" w:fill="E9EDF4"/>
          </w:tcPr>
          <w:p>
            <w:pPr>
              <w:spacing w:after="0"/>
              <w:rPr>
                <w:sz w:val="18"/>
                <w:szCs w:val="18"/>
                <w:color w:val="auto"/>
              </w:rPr>
            </w:pPr>
          </w:p>
        </w:tc>
        <w:tc>
          <w:tcPr>
            <w:tcW w:w="220" w:type="dxa"/>
            <w:vAlign w:val="bottom"/>
            <w:shd w:val="clear" w:color="auto" w:fill="E9EDF4"/>
          </w:tcPr>
          <w:p>
            <w:pPr>
              <w:spacing w:after="0"/>
              <w:rPr>
                <w:sz w:val="18"/>
                <w:szCs w:val="18"/>
                <w:color w:val="auto"/>
              </w:rPr>
            </w:pPr>
          </w:p>
        </w:tc>
        <w:tc>
          <w:tcPr>
            <w:tcW w:w="90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shd w:val="clear" w:color="auto" w:fill="E9EDF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D0D8E8"/>
          </w:tcPr>
          <w:p>
            <w:pPr>
              <w:ind w:left="60"/>
              <w:spacing w:after="0"/>
              <w:rPr>
                <w:sz w:val="20"/>
                <w:szCs w:val="20"/>
                <w:color w:val="auto"/>
              </w:rPr>
            </w:pPr>
            <w:r>
              <w:rPr>
                <w:rFonts w:ascii="Times New Roman" w:cs="Times New Roman" w:eastAsia="Times New Roman" w:hAnsi="Times New Roman"/>
                <w:sz w:val="18"/>
                <w:szCs w:val="18"/>
                <w:color w:val="auto"/>
              </w:rPr>
              <w:t>Mark-to-market of escrow liability</w:t>
            </w:r>
          </w:p>
        </w:tc>
        <w:tc>
          <w:tcPr>
            <w:tcW w:w="340" w:type="dxa"/>
            <w:vAlign w:val="bottom"/>
            <w:shd w:val="clear" w:color="auto" w:fill="D0D8E8"/>
          </w:tcPr>
          <w:p>
            <w:pPr>
              <w:spacing w:after="0"/>
              <w:rPr>
                <w:sz w:val="18"/>
                <w:szCs w:val="18"/>
                <w:color w:val="auto"/>
              </w:rPr>
            </w:pPr>
          </w:p>
        </w:tc>
        <w:tc>
          <w:tcPr>
            <w:tcW w:w="720" w:type="dxa"/>
            <w:vAlign w:val="bottom"/>
            <w:shd w:val="clear" w:color="auto" w:fill="D0D8E8"/>
          </w:tcPr>
          <w:p>
            <w:pPr>
              <w:spacing w:after="0"/>
              <w:rPr>
                <w:sz w:val="18"/>
                <w:szCs w:val="18"/>
                <w:color w:val="auto"/>
              </w:rPr>
            </w:pPr>
          </w:p>
        </w:tc>
        <w:tc>
          <w:tcPr>
            <w:tcW w:w="740" w:type="dxa"/>
            <w:vAlign w:val="bottom"/>
            <w:tcBorders>
              <w:right w:val="single" w:sz="8" w:color="D0D8E8"/>
            </w:tcBorders>
            <w:gridSpan w:val="2"/>
            <w:shd w:val="clear" w:color="auto" w:fill="D0D8E8"/>
          </w:tcPr>
          <w:p>
            <w:pPr>
              <w:jc w:val="right"/>
              <w:ind w:right="26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D0D8E8"/>
          </w:tcPr>
          <w:p>
            <w:pPr>
              <w:spacing w:after="0"/>
              <w:rPr>
                <w:sz w:val="18"/>
                <w:szCs w:val="18"/>
                <w:color w:val="auto"/>
              </w:rPr>
            </w:pPr>
          </w:p>
        </w:tc>
        <w:tc>
          <w:tcPr>
            <w:tcW w:w="94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Borders>
              <w:right w:val="single" w:sz="8" w:color="D0D8E8"/>
            </w:tcBorders>
            <w:shd w:val="clear" w:color="auto" w:fill="D0D8E8"/>
          </w:tcPr>
          <w:p>
            <w:pPr>
              <w:spacing w:after="0"/>
              <w:rPr>
                <w:sz w:val="18"/>
                <w:szCs w:val="18"/>
                <w:color w:val="auto"/>
              </w:rPr>
            </w:pPr>
          </w:p>
        </w:tc>
        <w:tc>
          <w:tcPr>
            <w:tcW w:w="160" w:type="dxa"/>
            <w:vAlign w:val="bottom"/>
            <w:shd w:val="clear" w:color="auto" w:fill="D0D8E8"/>
          </w:tcPr>
          <w:p>
            <w:pPr>
              <w:spacing w:after="0"/>
              <w:rPr>
                <w:sz w:val="18"/>
                <w:szCs w:val="18"/>
                <w:color w:val="auto"/>
              </w:rPr>
            </w:pPr>
          </w:p>
        </w:tc>
        <w:tc>
          <w:tcPr>
            <w:tcW w:w="1300" w:type="dxa"/>
            <w:vAlign w:val="bottom"/>
            <w:tcBorders>
              <w:right w:val="single" w:sz="8" w:color="D0D8E8"/>
            </w:tcBorders>
            <w:gridSpan w:val="2"/>
            <w:shd w:val="clear" w:color="auto" w:fill="D0D8E8"/>
          </w:tcPr>
          <w:p>
            <w:pPr>
              <w:jc w:val="right"/>
              <w:ind w:right="260"/>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shd w:val="clear" w:color="auto" w:fill="D0D8E8"/>
          </w:tcPr>
          <w:p>
            <w:pPr>
              <w:spacing w:after="0"/>
              <w:rPr>
                <w:sz w:val="18"/>
                <w:szCs w:val="18"/>
                <w:color w:val="auto"/>
              </w:rPr>
            </w:pPr>
          </w:p>
        </w:tc>
        <w:tc>
          <w:tcPr>
            <w:tcW w:w="90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D0D8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60" w:type="dxa"/>
            <w:vAlign w:val="bottom"/>
            <w:vMerge w:val="restart"/>
            <w:shd w:val="clear" w:color="auto" w:fill="D0D8E8"/>
          </w:tcPr>
          <w:p>
            <w:pPr>
              <w:spacing w:after="0"/>
              <w:rPr>
                <w:sz w:val="20"/>
                <w:szCs w:val="20"/>
                <w:color w:val="auto"/>
              </w:rPr>
            </w:pPr>
            <w:r>
              <w:rPr>
                <w:rFonts w:ascii="Times New Roman" w:cs="Times New Roman" w:eastAsia="Times New Roman" w:hAnsi="Times New Roman"/>
                <w:sz w:val="18"/>
                <w:szCs w:val="18"/>
                <w:b w:val="1"/>
                <w:bCs w:val="1"/>
                <w:color w:val="auto"/>
              </w:rPr>
              <w:t>EBITDAC - Adjusted</w:t>
            </w:r>
          </w:p>
        </w:tc>
        <w:tc>
          <w:tcPr>
            <w:tcW w:w="340" w:type="dxa"/>
            <w:vAlign w:val="bottom"/>
            <w:shd w:val="clear" w:color="auto" w:fill="D0D8E8"/>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Borders>
              <w:right w:val="single" w:sz="8" w:color="D0D8E8"/>
            </w:tcBorders>
            <w:shd w:val="clear" w:color="auto" w:fill="D0D8E8"/>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Borders>
              <w:right w:val="single" w:sz="8" w:color="D0D8E8"/>
            </w:tcBorders>
            <w:shd w:val="clear" w:color="auto" w:fill="D0D8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Borders>
              <w:right w:val="single" w:sz="8" w:color="D0D8E8"/>
            </w:tcBorders>
            <w:shd w:val="clear" w:color="auto" w:fill="D0D8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D0D8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360" w:type="dxa"/>
            <w:vAlign w:val="bottom"/>
            <w:vMerge w:val="continue"/>
            <w:shd w:val="clear" w:color="auto" w:fill="D0D8E8"/>
          </w:tcPr>
          <w:p>
            <w:pPr>
              <w:spacing w:after="0"/>
              <w:rPr>
                <w:sz w:val="18"/>
                <w:szCs w:val="18"/>
                <w:color w:val="auto"/>
              </w:rPr>
            </w:pPr>
          </w:p>
        </w:tc>
        <w:tc>
          <w:tcPr>
            <w:tcW w:w="1060" w:type="dxa"/>
            <w:vAlign w:val="bottom"/>
            <w:gridSpan w:val="2"/>
            <w:shd w:val="clear" w:color="auto" w:fill="D0D8E8"/>
          </w:tcPr>
          <w:p>
            <w:pPr>
              <w:jc w:val="right"/>
              <w:ind w:right="568"/>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b w:val="1"/>
                <w:bCs w:val="1"/>
                <w:color w:val="auto"/>
              </w:rPr>
              <w:t>597</w:t>
            </w:r>
          </w:p>
        </w:tc>
        <w:tc>
          <w:tcPr>
            <w:tcW w:w="300" w:type="dxa"/>
            <w:vAlign w:val="bottom"/>
            <w:tcBorders>
              <w:right w:val="single" w:sz="8" w:color="D0D8E8"/>
            </w:tcBorders>
            <w:shd w:val="clear" w:color="auto" w:fill="D0D8E8"/>
          </w:tcPr>
          <w:p>
            <w:pPr>
              <w:spacing w:after="0"/>
              <w:rPr>
                <w:sz w:val="18"/>
                <w:szCs w:val="18"/>
                <w:color w:val="auto"/>
              </w:rPr>
            </w:pPr>
          </w:p>
        </w:tc>
        <w:tc>
          <w:tcPr>
            <w:tcW w:w="240" w:type="dxa"/>
            <w:vAlign w:val="bottom"/>
            <w:shd w:val="clear" w:color="auto" w:fill="D0D8E8"/>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b w:val="1"/>
                <w:bCs w:val="1"/>
                <w:color w:val="auto"/>
              </w:rPr>
              <w:t>587</w:t>
            </w:r>
          </w:p>
        </w:tc>
        <w:tc>
          <w:tcPr>
            <w:tcW w:w="300" w:type="dxa"/>
            <w:vAlign w:val="bottom"/>
            <w:tcBorders>
              <w:right w:val="single" w:sz="8" w:color="D0D8E8"/>
            </w:tcBorders>
            <w:shd w:val="clear" w:color="auto" w:fill="D0D8E8"/>
          </w:tcPr>
          <w:p>
            <w:pPr>
              <w:spacing w:after="0"/>
              <w:rPr>
                <w:sz w:val="18"/>
                <w:szCs w:val="18"/>
                <w:color w:val="auto"/>
              </w:rPr>
            </w:pPr>
          </w:p>
        </w:tc>
        <w:tc>
          <w:tcPr>
            <w:tcW w:w="16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b w:val="1"/>
                <w:bCs w:val="1"/>
                <w:color w:val="auto"/>
              </w:rPr>
              <w:t>1,927</w:t>
            </w:r>
          </w:p>
        </w:tc>
        <w:tc>
          <w:tcPr>
            <w:tcW w:w="300" w:type="dxa"/>
            <w:vAlign w:val="bottom"/>
            <w:tcBorders>
              <w:right w:val="single" w:sz="8" w:color="D0D8E8"/>
            </w:tcBorders>
            <w:shd w:val="clear" w:color="auto" w:fill="D0D8E8"/>
          </w:tcPr>
          <w:p>
            <w:pPr>
              <w:spacing w:after="0"/>
              <w:rPr>
                <w:sz w:val="18"/>
                <w:szCs w:val="18"/>
                <w:color w:val="auto"/>
              </w:rPr>
            </w:pPr>
          </w:p>
        </w:tc>
        <w:tc>
          <w:tcPr>
            <w:tcW w:w="220" w:type="dxa"/>
            <w:vAlign w:val="bottom"/>
            <w:shd w:val="clear" w:color="auto" w:fill="D0D8E8"/>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b w:val="1"/>
                <w:bCs w:val="1"/>
                <w:color w:val="auto"/>
              </w:rPr>
              <w:t>1,594</w:t>
            </w:r>
          </w:p>
        </w:tc>
        <w:tc>
          <w:tcPr>
            <w:tcW w:w="200" w:type="dxa"/>
            <w:vAlign w:val="bottom"/>
            <w:shd w:val="clear" w:color="auto" w:fill="D0D8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E9EDF4"/>
          </w:tcPr>
          <w:p>
            <w:pPr>
              <w:spacing w:after="0"/>
              <w:rPr>
                <w:sz w:val="20"/>
                <w:szCs w:val="20"/>
                <w:color w:val="auto"/>
              </w:rPr>
            </w:pPr>
            <w:r>
              <w:rPr>
                <w:rFonts w:ascii="Times New Roman" w:cs="Times New Roman" w:eastAsia="Times New Roman" w:hAnsi="Times New Roman"/>
                <w:sz w:val="18"/>
                <w:szCs w:val="18"/>
                <w:b w:val="1"/>
                <w:bCs w:val="1"/>
                <w:color w:val="auto"/>
              </w:rPr>
              <w:t>EBITDAC Margin - Adjusted</w:t>
            </w:r>
          </w:p>
        </w:tc>
        <w:tc>
          <w:tcPr>
            <w:tcW w:w="340" w:type="dxa"/>
            <w:vAlign w:val="bottom"/>
            <w:shd w:val="clear" w:color="auto" w:fill="E9EDF4"/>
          </w:tcPr>
          <w:p>
            <w:pPr>
              <w:spacing w:after="0"/>
              <w:rPr>
                <w:sz w:val="18"/>
                <w:szCs w:val="18"/>
                <w:color w:val="auto"/>
              </w:rPr>
            </w:pPr>
          </w:p>
        </w:tc>
        <w:tc>
          <w:tcPr>
            <w:tcW w:w="720" w:type="dxa"/>
            <w:vAlign w:val="bottom"/>
            <w:shd w:val="clear" w:color="auto" w:fill="E9EDF4"/>
          </w:tcPr>
          <w:p>
            <w:pPr>
              <w:spacing w:after="0"/>
              <w:rPr>
                <w:sz w:val="18"/>
                <w:szCs w:val="18"/>
                <w:color w:val="auto"/>
              </w:rPr>
            </w:pPr>
          </w:p>
        </w:tc>
        <w:tc>
          <w:tcPr>
            <w:tcW w:w="740" w:type="dxa"/>
            <w:vAlign w:val="bottom"/>
            <w:tcBorders>
              <w:right w:val="single" w:sz="8" w:color="E9EDF4"/>
            </w:tcBorders>
            <w:gridSpan w:val="2"/>
            <w:shd w:val="clear" w:color="auto" w:fill="E9EDF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34.6%</w:t>
            </w:r>
          </w:p>
        </w:tc>
        <w:tc>
          <w:tcPr>
            <w:tcW w:w="240" w:type="dxa"/>
            <w:vAlign w:val="bottom"/>
            <w:shd w:val="clear" w:color="auto" w:fill="E9EDF4"/>
          </w:tcPr>
          <w:p>
            <w:pPr>
              <w:spacing w:after="0"/>
              <w:rPr>
                <w:sz w:val="18"/>
                <w:szCs w:val="18"/>
                <w:color w:val="auto"/>
              </w:rPr>
            </w:pPr>
          </w:p>
        </w:tc>
        <w:tc>
          <w:tcPr>
            <w:tcW w:w="1240" w:type="dxa"/>
            <w:vAlign w:val="bottom"/>
            <w:tcBorders>
              <w:right w:val="single" w:sz="8" w:color="E9EDF4"/>
            </w:tcBorders>
            <w:gridSpan w:val="2"/>
            <w:shd w:val="clear" w:color="auto" w:fill="E9EDF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36.6%</w:t>
            </w:r>
          </w:p>
        </w:tc>
        <w:tc>
          <w:tcPr>
            <w:tcW w:w="160" w:type="dxa"/>
            <w:vAlign w:val="bottom"/>
            <w:shd w:val="clear" w:color="auto" w:fill="E9EDF4"/>
          </w:tcPr>
          <w:p>
            <w:pPr>
              <w:spacing w:after="0"/>
              <w:rPr>
                <w:sz w:val="18"/>
                <w:szCs w:val="18"/>
                <w:color w:val="auto"/>
              </w:rPr>
            </w:pPr>
          </w:p>
        </w:tc>
        <w:tc>
          <w:tcPr>
            <w:tcW w:w="1300" w:type="dxa"/>
            <w:vAlign w:val="bottom"/>
            <w:tcBorders>
              <w:right w:val="single" w:sz="8" w:color="E9EDF4"/>
            </w:tcBorders>
            <w:gridSpan w:val="2"/>
            <w:shd w:val="clear" w:color="auto" w:fill="E9EDF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36.3%</w:t>
            </w:r>
          </w:p>
        </w:tc>
        <w:tc>
          <w:tcPr>
            <w:tcW w:w="220" w:type="dxa"/>
            <w:vAlign w:val="bottom"/>
            <w:shd w:val="clear" w:color="auto" w:fill="E9EDF4"/>
          </w:tcPr>
          <w:p>
            <w:pPr>
              <w:spacing w:after="0"/>
              <w:rPr>
                <w:sz w:val="18"/>
                <w:szCs w:val="18"/>
                <w:color w:val="auto"/>
              </w:rPr>
            </w:pPr>
          </w:p>
        </w:tc>
        <w:tc>
          <w:tcPr>
            <w:tcW w:w="1100" w:type="dxa"/>
            <w:vAlign w:val="bottom"/>
            <w:gridSpan w:val="2"/>
            <w:shd w:val="clear" w:color="auto" w:fill="E9EDF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-2168525</wp:posOffset>
            </wp:positionV>
            <wp:extent cx="6626225" cy="2228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26225" cy="22288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-1807845</wp:posOffset>
            </wp:positionV>
            <wp:extent cx="1289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-1807845</wp:posOffset>
            </wp:positionV>
            <wp:extent cx="12890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-1807845</wp:posOffset>
            </wp:positionV>
            <wp:extent cx="1289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-1807845</wp:posOffset>
            </wp:positionV>
            <wp:extent cx="1289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-976630</wp:posOffset>
            </wp:positionV>
            <wp:extent cx="12890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-976630</wp:posOffset>
            </wp:positionV>
            <wp:extent cx="12890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-976630</wp:posOffset>
            </wp:positionV>
            <wp:extent cx="1289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-976630</wp:posOffset>
            </wp:positionV>
            <wp:extent cx="1289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-282575</wp:posOffset>
            </wp:positionV>
            <wp:extent cx="1289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-282575</wp:posOffset>
            </wp:positionV>
            <wp:extent cx="12890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-282575</wp:posOffset>
            </wp:positionV>
            <wp:extent cx="12890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-282575</wp:posOffset>
            </wp:positionV>
            <wp:extent cx="1289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313" w:lineRule="exact"/>
        <w:rPr>
          <w:sz w:val="20"/>
          <w:szCs w:val="20"/>
          <w:color w:val="auto"/>
        </w:rPr>
      </w:pPr>
    </w:p>
    <w:p>
      <w:pPr>
        <w:ind w:left="540" w:hanging="532"/>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Before Income Taxes Margin” is defined as income before income taxes divided by total revenues.</w:t>
      </w:r>
    </w:p>
    <w:p>
      <w:pPr>
        <w:spacing w:after="0" w:line="117" w:lineRule="exact"/>
        <w:rPr>
          <w:rFonts w:ascii="Times New Roman" w:cs="Times New Roman" w:eastAsia="Times New Roman" w:hAnsi="Times New Roman"/>
          <w:sz w:val="18"/>
          <w:szCs w:val="18"/>
          <w:color w:val="auto"/>
        </w:rPr>
      </w:pPr>
    </w:p>
    <w:p>
      <w:pPr>
        <w:ind w:left="540" w:hanging="532"/>
        <w:spacing w:after="0" w:line="266" w:lineRule="auto"/>
        <w:tabs>
          <w:tab w:leader="none" w:pos="4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2025 amounts reflect the positive impact of approximately $29 million and $42 million for the three and nine months ended September 30,2025, respectively, of interest income earned from the proceeds of the Company’s follow-on common stock offering and senior notes issuance in June 2025, held in preparation for the closing of the Company’s acquisition of RSC Topco, Inc.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information regarding non-GAAP measures presented later in this press release.</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Brown &amp; Brown,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Income</w:t>
      </w:r>
    </w:p>
    <w:p>
      <w:pPr>
        <w:jc w:val="center"/>
        <w:spacing w:after="0"/>
        <w:rPr>
          <w:sz w:val="20"/>
          <w:szCs w:val="20"/>
          <w:color w:val="auto"/>
        </w:rPr>
      </w:pPr>
      <w:r>
        <w:rPr>
          <w:rFonts w:ascii="Times New Roman" w:cs="Times New Roman" w:eastAsia="Times New Roman" w:hAnsi="Times New Roman"/>
          <w:sz w:val="20"/>
          <w:szCs w:val="20"/>
          <w:color w:val="auto"/>
        </w:rPr>
        <w:t>(in millions, except per share data; 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20" w:type="dxa"/>
            <w:vAlign w:val="bottom"/>
            <w:gridSpan w:val="5"/>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860" w:type="dxa"/>
            <w:vAlign w:val="bottom"/>
            <w:vMerge w:val="continue"/>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Commissions and fees</w:t>
            </w:r>
          </w:p>
        </w:tc>
        <w:tc>
          <w:tcPr>
            <w:tcW w:w="1720" w:type="dxa"/>
            <w:vAlign w:val="bottom"/>
            <w:gridSpan w:val="3"/>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1,700</w:t>
            </w:r>
          </w:p>
        </w:tc>
        <w:tc>
          <w:tcPr>
            <w:tcW w:w="2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5,234</w:t>
            </w:r>
          </w:p>
        </w:tc>
        <w:tc>
          <w:tcPr>
            <w:tcW w:w="24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Investment and other income</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1,725</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5,302</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86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EXPENSES</w:t>
            </w: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(Gain)/loss on disposal</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Change in estimated acquisition earn-out payables</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Mark-to-market of escrow liability</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expenses</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1,405</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4,067</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Income before income taxes</w:t>
            </w: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320</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1,235</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1,050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Net income before non-controlling interests</w:t>
            </w: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241</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229</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957</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799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the Company</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6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86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720" w:type="dxa"/>
            <w:vAlign w:val="bottom"/>
            <w:gridSpan w:val="3"/>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260" w:type="dxa"/>
            <w:vAlign w:val="bottom"/>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40" w:type="dxa"/>
            <w:vAlign w:val="bottom"/>
          </w:tcPr>
          <w:p>
            <w:pPr>
              <w:spacing w:after="0"/>
              <w:rPr>
                <w:sz w:val="20"/>
                <w:szCs w:val="20"/>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000" w:type="dxa"/>
            <w:vAlign w:val="bottom"/>
            <w:vMerge w:val="restart"/>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7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0.67</w:t>
            </w:r>
          </w:p>
        </w:tc>
        <w:tc>
          <w:tcPr>
            <w:tcW w:w="260" w:type="dxa"/>
            <w:vAlign w:val="bottom"/>
          </w:tcPr>
          <w:p>
            <w:pPr>
              <w:spacing w:after="0"/>
              <w:rPr>
                <w:sz w:val="17"/>
                <w:szCs w:val="17"/>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0.68</w:t>
            </w:r>
          </w:p>
        </w:tc>
        <w:tc>
          <w:tcPr>
            <w:tcW w:w="24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2.57</w:t>
            </w:r>
          </w:p>
        </w:tc>
        <w:tc>
          <w:tcPr>
            <w:tcW w:w="240" w:type="dxa"/>
            <w:vAlign w:val="bottom"/>
          </w:tcPr>
          <w:p>
            <w:pPr>
              <w:spacing w:after="0"/>
              <w:rPr>
                <w:sz w:val="17"/>
                <w:szCs w:val="17"/>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86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6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330</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332</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334</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0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6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8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Brown &amp; Brown,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20"/>
          <w:szCs w:val="20"/>
          <w:color w:val="auto"/>
        </w:rPr>
        <w:t>(in millions, except per share data, unaudited)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5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80" w:type="dxa"/>
            <w:vAlign w:val="bottom"/>
          </w:tcPr>
          <w:p>
            <w:pPr>
              <w:spacing w:after="0"/>
              <w:rPr>
                <w:sz w:val="18"/>
                <w:szCs w:val="18"/>
                <w:color w:val="auto"/>
              </w:rPr>
            </w:pP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Fiduciary cash</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Commission, fees, and other receivables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Fiduciary receivables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Reinsurance recoverable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reinsurance premiums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7560" w:type="dxa"/>
            <w:vAlign w:val="bottom"/>
          </w:tcPr>
          <w:p>
            <w:pPr>
              <w:ind w:left="280"/>
              <w:spacing w:after="0" w:line="191" w:lineRule="exact"/>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8,261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8,614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Amortizable intangible assets, net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5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Fiduciary liabilities</w:t>
            </w:r>
          </w:p>
        </w:tc>
        <w:tc>
          <w:tcPr>
            <w:tcW w:w="4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180" w:type="dxa"/>
            <w:vAlign w:val="bottom"/>
          </w:tcPr>
          <w:p>
            <w:pPr>
              <w:spacing w:after="0"/>
              <w:rPr>
                <w:sz w:val="18"/>
                <w:szCs w:val="18"/>
                <w:color w:val="auto"/>
              </w:rPr>
            </w:pP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Losses and loss adjustment reserve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Unearned premiums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7560" w:type="dxa"/>
            <w:vAlign w:val="bottom"/>
          </w:tcPr>
          <w:p>
            <w:pPr>
              <w:ind w:left="280"/>
              <w:spacing w:after="0" w:line="191" w:lineRule="exact"/>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7,232</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8,294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less unamortized discount and debt issuance costs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par value $0.10 per share; authorized 560 shares; issued 359 shares and outstanding</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327 shares at 2026, issued 357 shares and outstanding 336 shares at 2025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stock, at cost 32 shares at 2026 and 21 shares at 2025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equity</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6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5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5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Brown &amp; Brown,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jc w:val="center"/>
        <w:spacing w:after="0" w:line="233" w:lineRule="auto"/>
        <w:rPr>
          <w:sz w:val="20"/>
          <w:szCs w:val="20"/>
          <w:color w:val="auto"/>
        </w:rPr>
      </w:pPr>
      <w:r>
        <w:rPr>
          <w:rFonts w:ascii="Times New Roman" w:cs="Times New Roman" w:eastAsia="Times New Roman" w:hAnsi="Times New Roman"/>
          <w:sz w:val="20"/>
          <w:szCs w:val="20"/>
          <w:color w:val="auto"/>
        </w:rPr>
        <w:t>(in millions, unaudited)</w:t>
      </w:r>
    </w:p>
    <w:tbl>
      <w:tblPr>
        <w:tblLayout w:type="fixed"/>
        <w:tblInd w:w="0" w:type="dxa"/>
        <w:tblCellMar>
          <w:top w:w="0" w:type="dxa"/>
          <w:left w:w="0" w:type="dxa"/>
          <w:bottom w:w="0" w:type="dxa"/>
          <w:right w:w="0" w:type="dxa"/>
        </w:tblCellMar>
      </w:tblPr>
      <w:tr>
        <w:trPr>
          <w:trHeight w:val="156"/>
        </w:trPr>
        <w:tc>
          <w:tcPr>
            <w:tcW w:w="8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80" w:type="dxa"/>
            <w:vAlign w:val="bottom"/>
            <w:gridSpan w:val="6"/>
          </w:tcPr>
          <w:p>
            <w:pPr>
              <w:jc w:val="right"/>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8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84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Net income before non-controlling interests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20" w:type="dxa"/>
            <w:vAlign w:val="bottom"/>
          </w:tcPr>
          <w:p>
            <w:pPr>
              <w:spacing w:after="0"/>
              <w:rPr>
                <w:sz w:val="18"/>
                <w:szCs w:val="18"/>
                <w:color w:val="auto"/>
              </w:rPr>
            </w:pPr>
          </w:p>
        </w:tc>
        <w:tc>
          <w:tcPr>
            <w:tcW w:w="3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 before non-controlling interests to net cash provided by operating activities: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estimated acquisition earn-out payables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Mark-to-market of escrow liability</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 on sales/disposals of investments, businesses, fixed assets and customer accounts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 on acquisition earn-outs in excess of original estimated payables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 from acquisitions and divestitures: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Commissions, fees and other receivables (increase)/decrease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Reinsurance recoverable (increase)/decrease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reinsurance premiums (increase)/decrease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assets (increase)/decrease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Losses and loss adjustment reserve increase/(decrease)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(1,188)</w:t>
            </w:r>
          </w:p>
        </w:tc>
        <w:tc>
          <w:tcPr>
            <w:tcW w:w="0" w:type="dxa"/>
            <w:vAlign w:val="bottom"/>
          </w:tcPr>
          <w:p>
            <w:pPr>
              <w:spacing w:after="0"/>
              <w:rPr>
                <w:sz w:val="1"/>
                <w:szCs w:val="1"/>
                <w:color w:val="auto"/>
              </w:rPr>
            </w:pPr>
          </w:p>
        </w:tc>
      </w:tr>
      <w:tr>
        <w:trPr>
          <w:trHeight w:val="216"/>
        </w:trPr>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Unearned premiums increase/(decrease)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 increase/(decrease)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 and other liabilities increase/(decrease)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4"/>
        </w:trPr>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liabilities increase/(decrease)</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46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Additions to fixed assets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 for businesses acquired, net of cash acquired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(7,659)</w:t>
            </w:r>
          </w:p>
        </w:tc>
        <w:tc>
          <w:tcPr>
            <w:tcW w:w="0" w:type="dxa"/>
            <w:vAlign w:val="bottom"/>
          </w:tcPr>
          <w:p>
            <w:pPr>
              <w:spacing w:after="0"/>
              <w:rPr>
                <w:sz w:val="1"/>
                <w:szCs w:val="1"/>
                <w:color w:val="auto"/>
              </w:rPr>
            </w:pPr>
          </w:p>
        </w:tc>
      </w:tr>
      <w:tr>
        <w:trPr>
          <w:trHeight w:val="216"/>
        </w:trPr>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sales of businesses, fixed assets and customer accounts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46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Fiduciary receivables and liabilities, net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 on acquisition earn-outs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16"/>
        </w:trPr>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debt issuance costs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Borrowings on revolving credit facility</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 on revolving credit facility</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issuance of common stock, net of expenses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Issuances of common stock for employee stock benefit plans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Repurchase shares to fund tax withholdings for non-cash stock-based compensation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dividends paid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34"/>
        </w:trPr>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cash equivalents and restricted cash inclusive of fiduciary cash</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320"/>
              <w:spacing w:after="0" w:line="191" w:lineRule="exact"/>
              <w:rPr>
                <w:sz w:val="20"/>
                <w:szCs w:val="20"/>
                <w:color w:val="auto"/>
              </w:rPr>
            </w:pPr>
            <w:r>
              <w:rPr>
                <w:rFonts w:ascii="Times New Roman" w:cs="Times New Roman" w:eastAsia="Times New Roman" w:hAnsi="Times New Roman"/>
                <w:sz w:val="18"/>
                <w:szCs w:val="18"/>
                <w:b w:val="1"/>
                <w:bCs w:val="1"/>
                <w:color w:val="auto"/>
              </w:rPr>
              <w:t>Net (decrease) increase in cash, cash equivalents and restricted cash inclusive of fiduciary cash</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60"/>
              <w:spacing w:after="0" w:line="191" w:lineRule="exact"/>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1,222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inclusive of fiduciary cash at beginning of period</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inclusive of fiduciary cash at end of period</w:t>
            </w: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6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4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4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webcast and slide presentation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conference call to discuss the results of the third quarter of 2026 will be held on Tuesday, October 27, 2026, at 8:00 AM (EDT). The Company may refer to a slide presentation during its conference call. You can access the webcast and the slides from the "Investor Relations" section of the Company’s website at bbrown.com.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Brown &amp; Brown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Brown &amp; Brown, Inc. (NYSE: BRO) is a leading insurance brokerage firm delivering comprehensive and customized insurance solutions and specialization since 1939. With a global presence spanning 700+ locations and a team of approximately 23,000 professionals, we are dedicated to delivering scalable, innovative strategies for our customers at every step of their growth journey. Learn more at BBrown.com.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press release may contain certain statements relating to future results which are “forward-looking statements” within the meaning of Section 27A of the Securities Act of 1933 and Section 21E of the Securities Exchange Act of 1934, which are intended to be covered by the safe harbors created by those laws. You can identify these statements by forward-looking words such as “may,” “will,” “should,” “expect,” “anticipate,” “believe,” “intend,” “estimate,” “plan” and “continue” or similar words. We have based these statements on our current expectations about potential future events. Although we believe the expectations expressed in the forward-looking statements included in this press release are based upon reasonable assumptions within the bounds of our knowledge of our business, a number of factors could cause actual results to differ materially from those expressed in any forward-looking statements, whether oral or written, made by us or on our behalf. Many of these factors have previously been identified in filings or statements made by us or on our behalf. Important factors which could cause our actual results to differ, possibly materially from the forward-looking statements in this press release include but are not limited to the following items: the Company's determination as it finalizes its financial results for the third quarter of 2026 that its financial results differ from the current preliminary unaudited numbers set forth herein; risks with respect to the acquisition of RSC Topco, Inc. (“Accession”) (the “Transaction”); the possibility that the anticipated benefits, including any anticipated cost savings and strategies, of the Transaction are not realized when expected or at all; risks related to the financing of the Transaction, including that financing the Transaction resulted in an increase in the Company’s indebtedness; risks relating to the financial information related to Accession; the risk that certain assumptions the Company has made relating to the Transaction prove to be materially inaccurate; risks related to Accession’s business, including underwriting risk in connection with certain captive insurance companies; the inability to hire, retain and develop qualified employees, as well as the loss of any of our executive officers or other key employees; a cybersecurity attack or any other interruption in information technology and/or data security that may impact our operations or the operations of third parties that support us; acquisition-related risks that could negatively affect the success of our growth strategy, including the possibility that we may not be able to successfully identify suitable acquisition candidates, complete acquisitions, successfully integrate acquired businesses into our operations and expand into new markets; risks related to our international operations, which may result in additional risks or require more management time and expense than our domestic operations to achieve or maintain profitability; the requirement for additional resources and time to adequately respond to dynamics resulting from rapid technological change, including the increasing use of artificial intelligence and robotic processing automation; the loss of or significant change to any of our insurance company or intermediary relationships, which could result in loss of capacity to write business, additional expense, loss of market share or material decrease in our commissions; the effect of natural disasters on our Contingents, insurer capacity or claims expenses within our capitalized captive insurance facilities; adverse economic conditions, political conditions, outbreaks of war, disasters, or regulatory changes in states or countries where we have a concentration of our business; the inability to maintain our culture or a significant change in management, management philosophy or our business strategy; fluctuations in our commission revenue as a result of factors outside of our control; the effects of significant or sustained inflation or higher interest rates; claims expense resulting from the limited underwriting risk associated with our participation in captive insurance facilities; risks associated with our automobile and recreational vehicle finance and incentives dealer services (“F&amp;I”) businesses; changes in, or the termination of, certain programs administered by the U.S. federal government from which we derive revenues; the limitations of our system of disclosure and internal controls and procedures in preventing errors or fraud, or in informing management of all material information in a timely manner; our reliance on vendors and other third parties to perform key functions of our business operations and provide services to our customers; the significant control certain shareholders have; changes in data privacy and protection laws and regulations or any failure to comply with such laws and regulations; improper disclosure of confidential information; our ability to comply with non-U.S. laws, regulations and policies; the potential adverse effect of certain actual or potential claims, regulatory actions or proceedings on our businesses, results of operations, financial condition or liquidity; uncertainty in our business practices and compensation arrangements with insurance carriers due to potential changes in regulations; regulatory changes that could reduce our profitability or growth by increasing compliance costs, technology compliance, restricting the products or services we may sell, the markets we may enter, the methods by which we may sell our products and services, or the prices we may charge for our services and the form of compensation we may accept from our customers, carriers and third parties; increasing scrutiny and changing laws or competing expectations from regulators, investors and customers with respect to our environmental, social and governance practices and disclosure; a decrease in demand for liability insurance as a result of tort reform legislation; our failure to comply with any covenants contained in our debt agreements; the possibility that covenants in our debt agreements could prevent us from engaging in certain potentially beneficial activities; fluctuations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jc w:val="both"/>
        <w:spacing w:after="0" w:line="252" w:lineRule="auto"/>
        <w:rPr>
          <w:sz w:val="20"/>
          <w:szCs w:val="20"/>
          <w:color w:val="auto"/>
        </w:rPr>
      </w:pPr>
      <w:r>
        <w:rPr>
          <w:rFonts w:ascii="Times New Roman" w:cs="Times New Roman" w:eastAsia="Times New Roman" w:hAnsi="Times New Roman"/>
          <w:sz w:val="18"/>
          <w:szCs w:val="18"/>
          <w:color w:val="auto"/>
        </w:rPr>
        <w:t>in foreign currency exchange rates; a downgrade to our corporate credit rating, the credit ratings of our outstanding debt or other market speculation; future sales or other dilution of our equity could adversely affect the market price of our common stock; changes in the U.S.-based credit markets that might adversely affect our business, results of operations and financial condition; changes in current U.S. or global economic conditions, including an extended slowdown in the markets in which we operate; disintermediation within the insurance industry, including increased competition from insurance companies, technology companies and the financial services industry, as well as the shift away from traditional insurance markets; conditions that result in reduced insurer capacity; quarterly and annual variations in our commissions that result from the timing of policy renewals and the net effect of new and lost business production; intangible asset risk, including the possibility that our goodwill may become impaired in the future; changes in our accounting estimates and assumptions; other risks and uncertainties as may be detailed from time to time in our public announcements and Securities and Exchange Commission (“SEC”) filings; and other factors that the Company may not have currently identified or quantified. Assumptions as to any of the foregoing, and all statements, are not based upon historical fact, but rather reflect our current expectations concerning future results and events. Forward-looking statements that we make or that are made by others on our behalf are based upon a knowledge of our business and the environment in which we operate, but because of the factors listed above, among others, actual results may differ from those in the forward-looking statements. Consequently, these cautionary statements qualify all of the forward-looking statements we make herein. We cannot assure you that the results or developments anticipated by us will be realized, or even if substantially realized, that those results or developments will result in the expected consequences for us or affect us, our business or our operations in the way we expect. We caution readers not to place undue reliance on these forward-looking statements. All forward-looking statements made herein are made only as of the date of this press release, and the Company does not undertake any obligation to publicly update or correct any forward-looking statements to reflect events or circumstances that subsequently occur or of which the Company hereafter becomes aware.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supplemental financial information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contains references to "non-GAAP financial measures" as defined in SEC Regulation G, consisting of Organic Revenue, Organic Revenue with Contingents, EBITDAC, EBITDAC Margin, EBITDAC - Adjusted, EBITDAC Margin - Adjusted and Diluted Net Income Per Share - Adjusted. We present these measures because we believe such information is of interest to the investment community and because we believe they provide additional meaningful methods to evaluate the Company’s operating performance from period to period on a basis that may not be otherwise apparent on a GAAP basis due to the impact of certain items that have a high degree of variability, that we believe are not indicative of ongoing performance and that are not easily comparable from period to period. This non-GAAP financial information should be considered in addition to, not in lieu of, GAAP information as of the relevant date. Consistent with Regulation G, a description of such information is provided below, and tabular reconciliations of such items to our most directly comparable GAAP information can be found within this press release as well as in our periodic filings with the SEC.</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view Organic Revenue and Organic Revenue growth (including Organic Revenue with Contingents and its growth) as important indicators when assessing and evaluating our performance on a consolidated basis and for each of our two segments, because they allow us to determine a comparable, but non-GAAP, measurement of revenue growth that is associated with the revenue sources that were a part of our business in both the current and prior year and that are expected to continue in the future. In addition, we believe Diluted Net Income Per Share - Adjusted provides a meaningful representation of our operating performance and improves the comparability of our results between periods by excluding the impact of the change in estimated acquisition earn-out payables, the impact of amortization of intangible assets and certain other non-recurring or infrequently occurring items. We also view EBITDAC, EBITDAC - Adjusted, EBITDAC Margin and EBITDAC Margin - Adjusted as important indicators when assessing and evaluating our performance, as they present more comparable measurements of our operating margins in a meaningful and consistent manner. As disclosed in our most recent proxy statement, we use Organic Revenue growth, Diluted Net Income Per Share - Adjusted and EBITDAC Margin - Adjusted as key performance metrics for our short-term and long-term incentive compensation plans for executive officers and other key employees.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Revenue Measures</w:t>
      </w:r>
    </w:p>
    <w:p>
      <w:pPr>
        <w:spacing w:after="0" w:line="333" w:lineRule="exact"/>
        <w:rPr>
          <w:sz w:val="20"/>
          <w:szCs w:val="20"/>
          <w:color w:val="auto"/>
        </w:rPr>
      </w:pPr>
    </w:p>
    <w:p>
      <w:pPr>
        <w:jc w:val="both"/>
        <w:ind w:left="1020" w:hanging="503"/>
        <w:spacing w:after="0" w:line="257"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Organic Revenue </w:t>
      </w:r>
      <w:r>
        <w:rPr>
          <w:rFonts w:ascii="Times New Roman" w:cs="Times New Roman" w:eastAsia="Times New Roman" w:hAnsi="Times New Roman"/>
          <w:sz w:val="18"/>
          <w:szCs w:val="18"/>
          <w:color w:val="auto"/>
        </w:rPr>
        <w:t>is our core commissions and fees less: (i) the core commissions and fees earned for the first twelve months by newly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acquired operations; (ii) divested business (core commissions and fees generated from offices, books of business or niches sold or terminated during the comparable period); (iii) Foreign Currency Translation (as defined below) and (iv) the Litigation-Related Impact. The term “core commissions and fees” excludes profit-sharing contingent commissions (“Contingents”); and therefore, represents the revenues earned directly from specific insurance policies sold and specific fee-based services rendered. Growth of Organic Revenue can be expressed as a dollar amount or a percentage rate.</w:t>
      </w:r>
    </w:p>
    <w:p>
      <w:pPr>
        <w:spacing w:after="0" w:line="74"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Organic Revenue with Contingents </w:t>
      </w:r>
      <w:r>
        <w:rPr>
          <w:rFonts w:ascii="Times New Roman" w:cs="Times New Roman" w:eastAsia="Times New Roman" w:hAnsi="Times New Roman"/>
          <w:sz w:val="18"/>
          <w:szCs w:val="18"/>
          <w:color w:val="auto"/>
        </w:rPr>
        <w:t>is Organic Revenue plus Organic Contingents (as defined below). Growth of Organic Revenue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Contingents can be expressed as a dollar amount or a percentage rate.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Earnings Measures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 w:name="page12"/>
    <w:bookmarkEnd w:id="11"/>
    <w:p>
      <w:pPr>
        <w:ind w:left="1020" w:hanging="503"/>
        <w:spacing w:after="0" w:line="28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EBITDAC </w:t>
      </w:r>
      <w:r>
        <w:rPr>
          <w:rFonts w:ascii="Times New Roman" w:cs="Times New Roman" w:eastAsia="Times New Roman" w:hAnsi="Times New Roman"/>
          <w:sz w:val="18"/>
          <w:szCs w:val="18"/>
          <w:color w:val="auto"/>
        </w:rPr>
        <w:t>is defined as income before interest, income taxes, depreciation, amortization and the change in estimated acquisition earn-out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EBITDAC Margin </w:t>
      </w:r>
      <w:r>
        <w:rPr>
          <w:rFonts w:ascii="Times New Roman" w:cs="Times New Roman" w:eastAsia="Times New Roman" w:hAnsi="Times New Roman"/>
          <w:sz w:val="18"/>
          <w:szCs w:val="18"/>
          <w:color w:val="auto"/>
        </w:rPr>
        <w:t>is defined as EBITDAC divided by total revenues.</w:t>
      </w:r>
    </w:p>
    <w:p>
      <w:pPr>
        <w:spacing w:after="0" w:line="117"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EBITDAC - Adjusted </w:t>
      </w:r>
      <w:r>
        <w:rPr>
          <w:rFonts w:ascii="Times New Roman" w:cs="Times New Roman" w:eastAsia="Times New Roman" w:hAnsi="Times New Roman"/>
          <w:sz w:val="18"/>
          <w:szCs w:val="18"/>
          <w:color w:val="auto"/>
        </w:rPr>
        <w:t>is defined as EBITDAC, excluding (i) (gain)/loss on disposal (as defined below), (ii) Acquisition/Integration Costs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defined below) and (iii) mark-to-market of escrow liability (as defined below).</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EBITDAC Margin - Adjusted </w:t>
      </w:r>
      <w:r>
        <w:rPr>
          <w:rFonts w:ascii="Times New Roman" w:cs="Times New Roman" w:eastAsia="Times New Roman" w:hAnsi="Times New Roman"/>
          <w:sz w:val="18"/>
          <w:szCs w:val="18"/>
          <w:color w:val="auto"/>
        </w:rPr>
        <w:t>is defined as EBITDAC - Adjusted divided by total revenues.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59"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Diluted Net Income Per Share - Adjusted </w:t>
      </w:r>
      <w:r>
        <w:rPr>
          <w:rFonts w:ascii="Times New Roman" w:cs="Times New Roman" w:eastAsia="Times New Roman" w:hAnsi="Times New Roman"/>
          <w:sz w:val="18"/>
          <w:szCs w:val="18"/>
          <w:color w:val="auto"/>
        </w:rPr>
        <w:t>is defined as diluted net income per share, excluding the after-tax impact of (i) the change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estimated acquisition earn-out payables, (ii) (gain)/loss on disposal, (as defined below), (iii) Acquisition/Integration Costs (as defined below), (iv) mark-to-market of escrow liability (as defined below) in periods wherein the effect of mark-to-market of escrow liability is not dilutive to the Company's earnings and, therefore, not already excluded from the calculation of diluted net income per share in accordance with ASC 260, and (v) amortization.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 Related to Certain Components of Non-GAAP Measures</w:t>
      </w:r>
    </w:p>
    <w:p>
      <w:pPr>
        <w:spacing w:after="0" w:line="333" w:lineRule="exact"/>
        <w:rPr>
          <w:sz w:val="20"/>
          <w:szCs w:val="20"/>
          <w:color w:val="auto"/>
        </w:rPr>
      </w:pPr>
    </w:p>
    <w:p>
      <w:pPr>
        <w:ind w:left="1020" w:right="60" w:hanging="503"/>
        <w:spacing w:after="0" w:line="273" w:lineRule="auto"/>
        <w:tabs>
          <w:tab w:leader="none" w:pos="10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“Acquisition/Integration Costs” </w:t>
      </w:r>
      <w:r>
        <w:rPr>
          <w:rFonts w:ascii="Times New Roman" w:cs="Times New Roman" w:eastAsia="Times New Roman" w:hAnsi="Times New Roman"/>
          <w:sz w:val="17"/>
          <w:szCs w:val="17"/>
          <w:color w:val="auto"/>
        </w:rPr>
        <w:t>means the acquisition and integration costs (e.g., costs associated with regulatory filings; costs for third-party professional services, including legal, accounting, consulting, financial advisory and due diligence; costs and fees associated with entry into the bridge financing commitment; costs of integrating or streamlining processes and information technology systems, including data migration and system integration; costs associated with optimizing vendor agreements and leased office space, including exit costs related to location combinations; and employment-related costs, including severance payments, costs associated with the transition of certain legacy compensation programs, retention-related compensation expenses, and incentive payments) arising out of our acquisition of Accession and acquisitions previously completed by Accession, which are not considered to be normal, recurring or part of ongoing operations.</w:t>
      </w:r>
    </w:p>
    <w:p>
      <w:pPr>
        <w:spacing w:after="0" w:line="63" w:lineRule="exact"/>
        <w:rPr>
          <w:rFonts w:ascii="Times New Roman" w:cs="Times New Roman" w:eastAsia="Times New Roman" w:hAnsi="Times New Roman"/>
          <w:sz w:val="17"/>
          <w:szCs w:val="17"/>
          <w:color w:val="auto"/>
        </w:rPr>
      </w:pPr>
    </w:p>
    <w:p>
      <w:pPr>
        <w:jc w:val="both"/>
        <w:ind w:left="1020" w:hanging="503"/>
        <w:spacing w:after="0" w:line="268"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“Foreign Currency Translation” </w:t>
      </w:r>
      <w:r>
        <w:rPr>
          <w:rFonts w:ascii="Times New Roman" w:cs="Times New Roman" w:eastAsia="Times New Roman" w:hAnsi="Times New Roman"/>
          <w:sz w:val="18"/>
          <w:szCs w:val="18"/>
          <w:color w:val="auto"/>
        </w:rPr>
        <w:t>means the period-over-period impact of foreign currency translation, which is calculated by applying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current-year foreign exchange rates to the various functional currencies in our business to our reporting currency of US dollars for the same period in the prior year.</w:t>
      </w:r>
    </w:p>
    <w:p>
      <w:pPr>
        <w:spacing w:after="0" w:line="62" w:lineRule="exact"/>
        <w:rPr>
          <w:rFonts w:ascii="Times New Roman" w:cs="Times New Roman" w:eastAsia="Times New Roman" w:hAnsi="Times New Roman"/>
          <w:sz w:val="18"/>
          <w:szCs w:val="18"/>
          <w:color w:val="auto"/>
        </w:rPr>
      </w:pPr>
    </w:p>
    <w:p>
      <w:pPr>
        <w:ind w:left="1020" w:right="80" w:hanging="503"/>
        <w:spacing w:after="0" w:line="28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“(Gain)/loss on disposal” </w:t>
      </w:r>
      <w:r>
        <w:rPr>
          <w:rFonts w:ascii="Times New Roman" w:cs="Times New Roman" w:eastAsia="Times New Roman" w:hAnsi="Times New Roman"/>
          <w:sz w:val="18"/>
          <w:szCs w:val="18"/>
          <w:color w:val="auto"/>
        </w:rPr>
        <w:t>is a caption on our consolidated statements of income which reflects net proceeds received as compared to the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book value related to sales of books of business and other divestiture transactions.</w:t>
      </w:r>
    </w:p>
    <w:p>
      <w:pPr>
        <w:spacing w:after="0" w:line="262" w:lineRule="exact"/>
        <w:rPr>
          <w:rFonts w:ascii="Times New Roman" w:cs="Times New Roman" w:eastAsia="Times New Roman" w:hAnsi="Times New Roman"/>
          <w:sz w:val="18"/>
          <w:szCs w:val="18"/>
          <w:color w:val="auto"/>
        </w:rPr>
      </w:pPr>
    </w:p>
    <w:p>
      <w:pPr>
        <w:ind w:left="1020" w:right="20" w:hanging="503"/>
        <w:spacing w:after="0" w:line="259"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Mark-to-market of escrow liability</w:t>
      </w:r>
      <w:r>
        <w:rPr>
          <w:rFonts w:ascii="Times New Roman" w:cs="Times New Roman" w:eastAsia="Times New Roman" w:hAnsi="Times New Roman"/>
          <w:sz w:val="18"/>
          <w:szCs w:val="18"/>
          <w:color w:val="auto"/>
        </w:rPr>
        <w:t>” is a caption on our consolidated statements of income which reflects the non-cash change in the fair value associated with certain shares of the Company’s common stock held in escrow. The change is driven by fluctuations in our stock price between the beginning of the period and the end of the period. These escrowed shares represent a portion of the merger consideration payable in connection with our acquisition of Accession. The escrowed shares secure certain indemnification obligations of the Accession equity holders related to businesses that are in run-off or discontinued.</w:t>
      </w:r>
    </w:p>
    <w:p>
      <w:pPr>
        <w:spacing w:after="0" w:line="71" w:lineRule="exact"/>
        <w:rPr>
          <w:rFonts w:ascii="Times New Roman" w:cs="Times New Roman" w:eastAsia="Times New Roman" w:hAnsi="Times New Roman"/>
          <w:sz w:val="18"/>
          <w:szCs w:val="18"/>
          <w:color w:val="auto"/>
        </w:rPr>
      </w:pPr>
    </w:p>
    <w:p>
      <w:pPr>
        <w:jc w:val="both"/>
        <w:ind w:left="1020" w:right="240" w:hanging="503"/>
        <w:spacing w:after="0" w:line="268"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“Litigation-Related Impact” </w:t>
      </w:r>
      <w:r>
        <w:rPr>
          <w:rFonts w:ascii="Times New Roman" w:cs="Times New Roman" w:eastAsia="Times New Roman" w:hAnsi="Times New Roman"/>
          <w:sz w:val="18"/>
          <w:szCs w:val="18"/>
          <w:color w:val="auto"/>
        </w:rPr>
        <w:t>means the core commissions and fees attributable to (i) the loss of specifically identified customer accounts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(ii) new business generated in the prior year by certain former employees, in each case in connection with the conduct of a competitor that is the subject of pending litigation in multiple jurisdictions.</w:t>
      </w:r>
    </w:p>
    <w:p>
      <w:pPr>
        <w:spacing w:after="0" w:line="62" w:lineRule="exact"/>
        <w:rPr>
          <w:rFonts w:ascii="Times New Roman" w:cs="Times New Roman" w:eastAsia="Times New Roman" w:hAnsi="Times New Roman"/>
          <w:sz w:val="18"/>
          <w:szCs w:val="18"/>
          <w:color w:val="auto"/>
        </w:rPr>
      </w:pPr>
    </w:p>
    <w:p>
      <w:pPr>
        <w:ind w:left="1020" w:right="240" w:hanging="503"/>
        <w:spacing w:after="0" w:line="268"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“Organic Contingents” </w:t>
      </w:r>
      <w:r>
        <w:rPr>
          <w:rFonts w:ascii="Times New Roman" w:cs="Times New Roman" w:eastAsia="Times New Roman" w:hAnsi="Times New Roman"/>
          <w:sz w:val="18"/>
          <w:szCs w:val="18"/>
          <w:color w:val="auto"/>
        </w:rPr>
        <w:t>are Contingents, less (i) Contingents earned for the first twelve months by newly acquired stand-alone operations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(ii) Contingents earned from divested stand-alone operations (Contingents generated from stand-alone operations sold or terminated during the comparable period).</w:t>
      </w:r>
    </w:p>
    <w:p>
      <w:pPr>
        <w:spacing w:after="0" w:line="1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industry peers may provide similar supplemental non-GAAP information with respect to one or more of these measures, although they may not use the same or comparable terminology and may not make identical adjustments and, therefore comparability may be limited. This supplemental non-GAAP financial information should be considered in addition to, and not in lieu of,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condensed consolidated financial statements.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 # #</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 Andrew Watts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(386) 239-5770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upperLetter"/>
      <w:start w:val="9"/>
    </w:lvl>
    <w:lvl w:ilvl="1">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2026-10-26T16:05:05Z</dcterms:created>
  <dcterms:modified xsi:type="dcterms:W3CDTF">2026-10-26T16:05:05Z</dcterms:modified>
</cp:coreProperties>
</file>