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5999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9994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Watts R. Andrew</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(Last)</w:t>
            </w:r>
          </w:p>
        </w:tc>
        <w:tc>
          <w:tcPr>
            <w:tcW w:w="1080" w:type="dxa"/>
            <w:vAlign w:val="bottom"/>
          </w:tcPr>
          <w:p>
            <w:pPr>
              <w:ind w:left="18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330 N. BEACH STREET</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DAYTONA</w:t>
            </w:r>
          </w:p>
        </w:tc>
        <w:tc>
          <w:tcPr>
            <w:tcW w:w="108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FL</w:t>
            </w:r>
          </w:p>
        </w:tc>
        <w:tc>
          <w:tcPr>
            <w:tcW w:w="152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32114</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BEACH</w:t>
            </w:r>
          </w:p>
        </w:tc>
        <w:tc>
          <w:tcPr>
            <w:tcW w:w="108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BROWN &amp; BROWN,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BRO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60" w:type="dxa"/>
            <w:vAlign w:val="bottom"/>
            <w:tcBorders>
              <w:bottom w:val="single" w:sz="8" w:color="0000EE"/>
            </w:tcBorders>
          </w:tcPr>
          <w:p>
            <w:pPr>
              <w:spacing w:after="0"/>
              <w:rPr>
                <w:sz w:val="3"/>
                <w:szCs w:val="3"/>
                <w:color w:val="auto"/>
              </w:rPr>
            </w:pPr>
          </w:p>
        </w:tc>
        <w:tc>
          <w:tcPr>
            <w:tcW w:w="1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60" w:type="dxa"/>
            <w:vAlign w:val="bottom"/>
            <w:tcBorders>
              <w:bottom w:val="single" w:sz="8" w:color="2C2C2C"/>
            </w:tcBorders>
          </w:tcPr>
          <w:p>
            <w:pPr>
              <w:spacing w:after="0"/>
              <w:rPr>
                <w:sz w:val="6"/>
                <w:szCs w:val="6"/>
                <w:color w:val="auto"/>
              </w:rPr>
            </w:pPr>
          </w:p>
        </w:tc>
        <w:tc>
          <w:tcPr>
            <w:tcW w:w="13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4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08/08/2024</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EVP, CFO and Treasurer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34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8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40" w:type="dxa"/>
            <w:vAlign w:val="bottom"/>
          </w:tcPr>
          <w:p>
            <w:pPr>
              <w:ind w:left="1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840" w:type="dxa"/>
            <w:vAlign w:val="bottom"/>
          </w:tcPr>
          <w:p>
            <w:pPr>
              <w:spacing w:after="0"/>
              <w:rPr>
                <w:sz w:val="11"/>
                <w:szCs w:val="11"/>
                <w:color w:val="auto"/>
              </w:rPr>
            </w:pPr>
          </w:p>
        </w:tc>
        <w:tc>
          <w:tcPr>
            <w:tcW w:w="124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840" w:type="dxa"/>
            <w:vAlign w:val="bottom"/>
          </w:tcPr>
          <w:p>
            <w:pPr>
              <w:spacing w:after="0"/>
              <w:rPr>
                <w:sz w:val="11"/>
                <w:szCs w:val="11"/>
                <w:color w:val="auto"/>
              </w:rPr>
            </w:pPr>
          </w:p>
        </w:tc>
        <w:tc>
          <w:tcPr>
            <w:tcW w:w="124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8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8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8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8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8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8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8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8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$.10 par value</w:t>
            </w:r>
          </w:p>
        </w:tc>
        <w:tc>
          <w:tcPr>
            <w:tcW w:w="124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08/08/2024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right"/>
              <w:ind w:right="33"/>
              <w:spacing w:after="0"/>
              <w:rPr>
                <w:sz w:val="20"/>
                <w:szCs w:val="20"/>
                <w:color w:val="auto"/>
              </w:rPr>
            </w:pPr>
            <w:r>
              <w:rPr>
                <w:rFonts w:ascii="Times New Roman" w:cs="Times New Roman" w:eastAsia="Times New Roman" w:hAnsi="Times New Roman"/>
                <w:sz w:val="17"/>
                <w:szCs w:val="17"/>
                <w:color w:val="0000FF"/>
              </w:rPr>
              <w:t>2,500</w:t>
            </w:r>
            <w:r>
              <w:rPr>
                <w:rFonts w:ascii="Times New Roman" w:cs="Times New Roman" w:eastAsia="Times New Roman" w:hAnsi="Times New Roman"/>
                <w:sz w:val="22"/>
                <w:szCs w:val="22"/>
                <w:color w:val="008000"/>
                <w:vertAlign w:val="superscript"/>
              </w:rPr>
              <w:t>(1)</w:t>
            </w:r>
          </w:p>
        </w:tc>
        <w:tc>
          <w:tcPr>
            <w:tcW w:w="5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100.32</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88,445</w:t>
            </w:r>
            <w:r>
              <w:rPr>
                <w:rFonts w:ascii="Times New Roman" w:cs="Times New Roman" w:eastAsia="Times New Roman" w:hAnsi="Times New Roman"/>
                <w:sz w:val="22"/>
                <w:szCs w:val="22"/>
                <w:color w:val="008000"/>
                <w:w w:val="93"/>
                <w:vertAlign w:val="superscript"/>
              </w:rPr>
              <w:t>(3)</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$.10 par value (2019</w:t>
            </w:r>
          </w:p>
        </w:tc>
        <w:tc>
          <w:tcPr>
            <w:tcW w:w="1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96,827</w:t>
            </w:r>
            <w:r>
              <w:rPr>
                <w:rFonts w:ascii="Times New Roman" w:cs="Times New Roman" w:eastAsia="Times New Roman" w:hAnsi="Times New Roman"/>
                <w:sz w:val="22"/>
                <w:szCs w:val="22"/>
                <w:color w:val="008000"/>
                <w:w w:val="93"/>
                <w:vertAlign w:val="superscript"/>
              </w:rPr>
              <w:t>(4)</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SIP)</w:t>
            </w:r>
          </w:p>
        </w:tc>
        <w:tc>
          <w:tcPr>
            <w:tcW w:w="1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840" w:type="dxa"/>
            <w:vAlign w:val="bottom"/>
            <w:vMerge w:val="continue"/>
          </w:tcPr>
          <w:p>
            <w:pPr>
              <w:spacing w:after="0"/>
              <w:rPr>
                <w:sz w:val="4"/>
                <w:szCs w:val="4"/>
                <w:color w:val="auto"/>
              </w:rPr>
            </w:pPr>
          </w:p>
        </w:tc>
        <w:tc>
          <w:tcPr>
            <w:tcW w:w="1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8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8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$.10 par value</w:t>
            </w:r>
          </w:p>
        </w:tc>
        <w:tc>
          <w:tcPr>
            <w:tcW w:w="1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2,383</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Watts</w:t>
            </w:r>
          </w:p>
        </w:tc>
        <w:tc>
          <w:tcPr>
            <w:tcW w:w="0" w:type="dxa"/>
            <w:vAlign w:val="bottom"/>
          </w:tcPr>
          <w:p>
            <w:pPr>
              <w:spacing w:after="0"/>
              <w:rPr>
                <w:sz w:val="1"/>
                <w:szCs w:val="1"/>
                <w:color w:val="auto"/>
              </w:rPr>
            </w:pPr>
          </w:p>
        </w:tc>
      </w:tr>
      <w:tr>
        <w:trPr>
          <w:trHeight w:val="120"/>
        </w:trPr>
        <w:tc>
          <w:tcPr>
            <w:tcW w:w="284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07"/>
        </w:trPr>
        <w:tc>
          <w:tcPr>
            <w:tcW w:w="28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260"/>
        <w:spacing w:after="0"/>
        <w:rPr>
          <w:sz w:val="20"/>
          <w:szCs w:val="20"/>
          <w:color w:val="auto"/>
        </w:rPr>
      </w:pPr>
      <w:r>
        <w:rPr>
          <w:rFonts w:ascii="Times New Roman" w:cs="Times New Roman" w:eastAsia="Times New Roman" w:hAnsi="Times New Roman"/>
          <w:sz w:val="17"/>
          <w:szCs w:val="17"/>
          <w:color w:val="0000FF"/>
        </w:rPr>
        <w:t>Trust</w:t>
      </w:r>
    </w:p>
    <w:p>
      <w:pPr>
        <w:spacing w:after="0" w:line="164"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was effected in accordance with the Reporting Person's tax planning strategy.</w:t>
      </w:r>
    </w:p>
    <w:p>
      <w:pPr>
        <w:spacing w:after="0" w:line="50" w:lineRule="exact"/>
        <w:rPr>
          <w:rFonts w:ascii="Times New Roman" w:cs="Times New Roman" w:eastAsia="Times New Roman" w:hAnsi="Times New Roman"/>
          <w:sz w:val="13"/>
          <w:szCs w:val="13"/>
          <w:color w:val="008000"/>
        </w:rPr>
      </w:pPr>
    </w:p>
    <w:p>
      <w:pPr>
        <w:jc w:val="both"/>
        <w:ind w:left="40" w:right="3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ranging from $100.31 to $100.35, inclusive. The Reporting Person undertakes to provide Brown &amp; Brown, Inc., any security holder of Brown &amp; Brown,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 total of 357 of these shares were acquired through the Company's Employee Stock Purchase Plan in July 2024. Number of shares may vary due to dividend reinvesment.</w:t>
      </w:r>
    </w:p>
    <w:p>
      <w:pPr>
        <w:spacing w:after="0" w:line="50"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were granted pursuant to the Company's 2019 Stock Incentive Plan ("2019 SIP"). The Reporting Person has voting rights and dividend entitlement with respect to these shares, but full ownership will not vest until the satisfaction of service-based conditions.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R. Andrew Watts</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08/09/2024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00662" TargetMode="External"/><Relationship Id="rId13" Type="http://schemas.openxmlformats.org/officeDocument/2006/relationships/hyperlink" Target="http://www.sec.gov/cgi-bin/browse-edgar?action=getcompany&amp;CIK=00000792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2024-08-09T16:36:42Z</dcterms:created>
  <dcterms:modified xsi:type="dcterms:W3CDTF">2024-08-09T16:36:42Z</dcterms:modified>
</cp:coreProperties>
</file>