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269240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283845</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6"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141605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Date of Report (Date of earliest event reported): September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194310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BROWN &amp; BROWN, INC.</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212090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20" w:type="dxa"/>
        <w:tblCellMar>
          <w:top w:w="0" w:type="dxa"/>
          <w:left w:w="0" w:type="dxa"/>
          <w:bottom w:w="0" w:type="dxa"/>
          <w:right w:w="0" w:type="dxa"/>
        </w:tblCellMar>
      </w:tblPr>
      <w:tr>
        <w:trPr>
          <w:trHeight w:val="204"/>
        </w:trPr>
        <w:tc>
          <w:tcPr>
            <w:tcW w:w="2760" w:type="dxa"/>
            <w:vAlign w:val="bottom"/>
          </w:tcPr>
          <w:p>
            <w:pPr>
              <w:jc w:val="center"/>
              <w:ind w:right="751"/>
              <w:spacing w:after="0"/>
              <w:rPr>
                <w:sz w:val="20"/>
                <w:szCs w:val="20"/>
                <w:color w:val="auto"/>
              </w:rPr>
            </w:pPr>
            <w:r>
              <w:rPr>
                <w:rFonts w:ascii="Arial" w:cs="Arial" w:eastAsia="Arial" w:hAnsi="Arial"/>
                <w:sz w:val="16"/>
                <w:szCs w:val="16"/>
                <w:b w:val="1"/>
                <w:bCs w:val="1"/>
                <w:color w:val="auto"/>
                <w:w w:val="93"/>
              </w:rPr>
              <w:t>Florida</w:t>
            </w:r>
          </w:p>
        </w:tc>
        <w:tc>
          <w:tcPr>
            <w:tcW w:w="3200" w:type="dxa"/>
            <w:vAlign w:val="bottom"/>
          </w:tcPr>
          <w:p>
            <w:pPr>
              <w:jc w:val="right"/>
              <w:ind w:right="1291"/>
              <w:spacing w:after="0"/>
              <w:rPr>
                <w:sz w:val="20"/>
                <w:szCs w:val="20"/>
                <w:color w:val="auto"/>
              </w:rPr>
            </w:pPr>
            <w:r>
              <w:rPr>
                <w:rFonts w:ascii="Arial" w:cs="Arial" w:eastAsia="Arial" w:hAnsi="Arial"/>
                <w:sz w:val="16"/>
                <w:szCs w:val="16"/>
                <w:b w:val="1"/>
                <w:bCs w:val="1"/>
                <w:color w:val="auto"/>
              </w:rPr>
              <w:t>001-13619</w:t>
            </w:r>
          </w:p>
        </w:tc>
        <w:tc>
          <w:tcPr>
            <w:tcW w:w="2200" w:type="dxa"/>
            <w:vAlign w:val="bottom"/>
          </w:tcPr>
          <w:p>
            <w:pPr>
              <w:jc w:val="right"/>
              <w:ind w:right="133"/>
              <w:spacing w:after="0"/>
              <w:rPr>
                <w:sz w:val="20"/>
                <w:szCs w:val="20"/>
                <w:color w:val="auto"/>
              </w:rPr>
            </w:pPr>
            <w:r>
              <w:rPr>
                <w:rFonts w:ascii="Arial" w:cs="Arial" w:eastAsia="Arial" w:hAnsi="Arial"/>
                <w:sz w:val="16"/>
                <w:szCs w:val="16"/>
                <w:b w:val="1"/>
                <w:bCs w:val="1"/>
                <w:color w:val="auto"/>
              </w:rPr>
              <w:t>59-0864469</w:t>
            </w:r>
          </w:p>
        </w:tc>
      </w:tr>
      <w:tr>
        <w:trPr>
          <w:trHeight w:val="132"/>
        </w:trPr>
        <w:tc>
          <w:tcPr>
            <w:tcW w:w="2760" w:type="dxa"/>
            <w:vAlign w:val="bottom"/>
          </w:tcPr>
          <w:p>
            <w:pPr>
              <w:jc w:val="center"/>
              <w:ind w:right="751"/>
              <w:spacing w:after="0" w:line="133" w:lineRule="exact"/>
              <w:rPr>
                <w:sz w:val="20"/>
                <w:szCs w:val="20"/>
                <w:color w:val="auto"/>
              </w:rPr>
            </w:pPr>
            <w:r>
              <w:rPr>
                <w:rFonts w:ascii="Arial" w:cs="Arial" w:eastAsia="Arial" w:hAnsi="Arial"/>
                <w:sz w:val="12"/>
                <w:szCs w:val="12"/>
                <w:b w:val="1"/>
                <w:bCs w:val="1"/>
                <w:color w:val="auto"/>
                <w:w w:val="89"/>
              </w:rPr>
              <w:t>(State or other jurisdiction</w:t>
            </w:r>
          </w:p>
        </w:tc>
        <w:tc>
          <w:tcPr>
            <w:tcW w:w="3200" w:type="dxa"/>
            <w:vAlign w:val="bottom"/>
          </w:tcPr>
          <w:p>
            <w:pPr>
              <w:jc w:val="center"/>
              <w:ind w:right="151"/>
              <w:spacing w:after="0" w:line="133" w:lineRule="exact"/>
              <w:rPr>
                <w:sz w:val="20"/>
                <w:szCs w:val="20"/>
                <w:color w:val="auto"/>
              </w:rPr>
            </w:pPr>
            <w:r>
              <w:rPr>
                <w:rFonts w:ascii="Arial" w:cs="Arial" w:eastAsia="Arial" w:hAnsi="Arial"/>
                <w:sz w:val="12"/>
                <w:szCs w:val="12"/>
                <w:b w:val="1"/>
                <w:bCs w:val="1"/>
                <w:color w:val="auto"/>
                <w:w w:val="90"/>
              </w:rPr>
              <w:t>(Commission File Number)</w:t>
            </w:r>
          </w:p>
        </w:tc>
        <w:tc>
          <w:tcPr>
            <w:tcW w:w="2200" w:type="dxa"/>
            <w:vAlign w:val="bottom"/>
          </w:tcPr>
          <w:p>
            <w:pPr>
              <w:jc w:val="center"/>
              <w:ind w:left="973"/>
              <w:spacing w:after="0" w:line="133" w:lineRule="exact"/>
              <w:rPr>
                <w:sz w:val="20"/>
                <w:szCs w:val="20"/>
                <w:color w:val="auto"/>
              </w:rPr>
            </w:pPr>
            <w:r>
              <w:rPr>
                <w:rFonts w:ascii="Arial" w:cs="Arial" w:eastAsia="Arial" w:hAnsi="Arial"/>
                <w:sz w:val="12"/>
                <w:szCs w:val="12"/>
                <w:b w:val="1"/>
                <w:bCs w:val="1"/>
                <w:color w:val="auto"/>
                <w:w w:val="92"/>
              </w:rPr>
              <w:t>(IRS Employer</w:t>
            </w:r>
          </w:p>
        </w:tc>
      </w:tr>
      <w:tr>
        <w:trPr>
          <w:trHeight w:val="151"/>
        </w:trPr>
        <w:tc>
          <w:tcPr>
            <w:tcW w:w="2760" w:type="dxa"/>
            <w:vAlign w:val="bottom"/>
          </w:tcPr>
          <w:p>
            <w:pPr>
              <w:jc w:val="center"/>
              <w:ind w:right="751"/>
              <w:spacing w:after="0"/>
              <w:rPr>
                <w:sz w:val="20"/>
                <w:szCs w:val="20"/>
                <w:color w:val="auto"/>
              </w:rPr>
            </w:pPr>
            <w:r>
              <w:rPr>
                <w:rFonts w:ascii="Arial" w:cs="Arial" w:eastAsia="Arial" w:hAnsi="Arial"/>
                <w:sz w:val="12"/>
                <w:szCs w:val="12"/>
                <w:b w:val="1"/>
                <w:bCs w:val="1"/>
                <w:color w:val="auto"/>
                <w:w w:val="89"/>
              </w:rPr>
              <w:t>of incorporation)</w:t>
            </w:r>
          </w:p>
        </w:tc>
        <w:tc>
          <w:tcPr>
            <w:tcW w:w="3200" w:type="dxa"/>
            <w:vAlign w:val="bottom"/>
          </w:tcPr>
          <w:p>
            <w:pPr>
              <w:spacing w:after="0"/>
              <w:rPr>
                <w:sz w:val="13"/>
                <w:szCs w:val="13"/>
                <w:color w:val="auto"/>
              </w:rPr>
            </w:pPr>
          </w:p>
        </w:tc>
        <w:tc>
          <w:tcPr>
            <w:tcW w:w="2200" w:type="dxa"/>
            <w:vAlign w:val="bottom"/>
          </w:tcPr>
          <w:p>
            <w:pPr>
              <w:jc w:val="center"/>
              <w:ind w:left="973"/>
              <w:spacing w:after="0"/>
              <w:rPr>
                <w:sz w:val="20"/>
                <w:szCs w:val="20"/>
                <w:color w:val="auto"/>
              </w:rPr>
            </w:pPr>
            <w:r>
              <w:rPr>
                <w:rFonts w:ascii="Arial" w:cs="Arial" w:eastAsia="Arial" w:hAnsi="Arial"/>
                <w:sz w:val="12"/>
                <w:szCs w:val="12"/>
                <w:b w:val="1"/>
                <w:bCs w:val="1"/>
                <w:color w:val="auto"/>
                <w:w w:val="91"/>
              </w:rPr>
              <w:t>Identification Number)</w:t>
            </w:r>
          </w:p>
        </w:tc>
      </w:tr>
      <w:tr>
        <w:trPr>
          <w:trHeight w:val="387"/>
        </w:trPr>
        <w:tc>
          <w:tcPr>
            <w:tcW w:w="2760" w:type="dxa"/>
            <w:vAlign w:val="bottom"/>
          </w:tcPr>
          <w:p>
            <w:pPr>
              <w:jc w:val="center"/>
              <w:ind w:right="731"/>
              <w:spacing w:after="0"/>
              <w:rPr>
                <w:sz w:val="20"/>
                <w:szCs w:val="20"/>
                <w:color w:val="auto"/>
              </w:rPr>
            </w:pPr>
            <w:r>
              <w:rPr>
                <w:rFonts w:ascii="Arial" w:cs="Arial" w:eastAsia="Arial" w:hAnsi="Arial"/>
                <w:sz w:val="16"/>
                <w:szCs w:val="16"/>
                <w:b w:val="1"/>
                <w:bCs w:val="1"/>
                <w:color w:val="auto"/>
                <w:w w:val="88"/>
              </w:rPr>
              <w:t>300 North Beach Street</w:t>
            </w:r>
          </w:p>
        </w:tc>
        <w:tc>
          <w:tcPr>
            <w:tcW w:w="32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04"/>
        </w:trPr>
        <w:tc>
          <w:tcPr>
            <w:tcW w:w="2760" w:type="dxa"/>
            <w:vAlign w:val="bottom"/>
          </w:tcPr>
          <w:p>
            <w:pPr>
              <w:jc w:val="center"/>
              <w:ind w:right="731"/>
              <w:spacing w:after="0"/>
              <w:rPr>
                <w:sz w:val="20"/>
                <w:szCs w:val="20"/>
                <w:color w:val="auto"/>
              </w:rPr>
            </w:pPr>
            <w:r>
              <w:rPr>
                <w:rFonts w:ascii="Arial" w:cs="Arial" w:eastAsia="Arial" w:hAnsi="Arial"/>
                <w:sz w:val="16"/>
                <w:szCs w:val="16"/>
                <w:b w:val="1"/>
                <w:bCs w:val="1"/>
                <w:color w:val="auto"/>
                <w:w w:val="89"/>
              </w:rPr>
              <w:t>Daytona Beach, Florida</w:t>
            </w:r>
          </w:p>
        </w:tc>
        <w:tc>
          <w:tcPr>
            <w:tcW w:w="3200" w:type="dxa"/>
            <w:vAlign w:val="bottom"/>
          </w:tcPr>
          <w:p>
            <w:pPr>
              <w:spacing w:after="0"/>
              <w:rPr>
                <w:sz w:val="17"/>
                <w:szCs w:val="17"/>
                <w:color w:val="auto"/>
              </w:rPr>
            </w:pPr>
          </w:p>
        </w:tc>
        <w:tc>
          <w:tcPr>
            <w:tcW w:w="2200" w:type="dxa"/>
            <w:vAlign w:val="bottom"/>
          </w:tcPr>
          <w:p>
            <w:pPr>
              <w:jc w:val="right"/>
              <w:ind w:right="313"/>
              <w:spacing w:after="0"/>
              <w:rPr>
                <w:sz w:val="20"/>
                <w:szCs w:val="20"/>
                <w:color w:val="auto"/>
              </w:rPr>
            </w:pPr>
            <w:r>
              <w:rPr>
                <w:rFonts w:ascii="Arial" w:cs="Arial" w:eastAsia="Arial" w:hAnsi="Arial"/>
                <w:sz w:val="16"/>
                <w:szCs w:val="16"/>
                <w:b w:val="1"/>
                <w:bCs w:val="1"/>
                <w:color w:val="auto"/>
              </w:rPr>
              <w:t>32114</w:t>
            </w:r>
          </w:p>
        </w:tc>
      </w:tr>
      <w:tr>
        <w:trPr>
          <w:trHeight w:val="154"/>
        </w:trPr>
        <w:tc>
          <w:tcPr>
            <w:tcW w:w="2760" w:type="dxa"/>
            <w:vAlign w:val="bottom"/>
          </w:tcPr>
          <w:p>
            <w:pPr>
              <w:jc w:val="center"/>
              <w:ind w:right="731"/>
              <w:spacing w:after="0"/>
              <w:rPr>
                <w:sz w:val="20"/>
                <w:szCs w:val="20"/>
                <w:color w:val="auto"/>
              </w:rPr>
            </w:pPr>
            <w:r>
              <w:rPr>
                <w:rFonts w:ascii="Arial" w:cs="Arial" w:eastAsia="Arial" w:hAnsi="Arial"/>
                <w:sz w:val="12"/>
                <w:szCs w:val="12"/>
                <w:b w:val="1"/>
                <w:bCs w:val="1"/>
                <w:color w:val="auto"/>
                <w:w w:val="87"/>
              </w:rPr>
              <w:t>(Address of principal executive offices)</w:t>
            </w:r>
          </w:p>
        </w:tc>
        <w:tc>
          <w:tcPr>
            <w:tcW w:w="3200" w:type="dxa"/>
            <w:vAlign w:val="bottom"/>
          </w:tcPr>
          <w:p>
            <w:pPr>
              <w:spacing w:after="0"/>
              <w:rPr>
                <w:sz w:val="13"/>
                <w:szCs w:val="13"/>
                <w:color w:val="auto"/>
              </w:rPr>
            </w:pPr>
          </w:p>
        </w:tc>
        <w:tc>
          <w:tcPr>
            <w:tcW w:w="2200" w:type="dxa"/>
            <w:vAlign w:val="bottom"/>
          </w:tcPr>
          <w:p>
            <w:pPr>
              <w:jc w:val="center"/>
              <w:ind w:left="973"/>
              <w:spacing w:after="0"/>
              <w:rPr>
                <w:sz w:val="20"/>
                <w:szCs w:val="20"/>
                <w:color w:val="auto"/>
              </w:rPr>
            </w:pPr>
            <w:r>
              <w:rPr>
                <w:rFonts w:ascii="Arial" w:cs="Arial" w:eastAsia="Arial" w:hAnsi="Arial"/>
                <w:sz w:val="12"/>
                <w:szCs w:val="12"/>
                <w:b w:val="1"/>
                <w:bCs w:val="1"/>
                <w:color w:val="auto"/>
                <w:w w:val="94"/>
              </w:rPr>
              <w:t>(Zip Code)</w:t>
            </w:r>
          </w:p>
        </w:tc>
      </w:tr>
    </w:tbl>
    <w:p>
      <w:pPr>
        <w:spacing w:after="0" w:line="375"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Registrant’s telephone number, including area code: (386) 252-9601</w:t>
      </w:r>
    </w:p>
    <w:p>
      <w:pPr>
        <w:spacing w:after="0" w:line="3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219710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23" w:lineRule="exact"/>
        <w:rPr>
          <w:sz w:val="24"/>
          <w:szCs w:val="24"/>
          <w:color w:val="auto"/>
        </w:rPr>
      </w:pPr>
    </w:p>
    <w:p>
      <w:pPr>
        <w:ind w:left="700" w:hanging="694"/>
        <w:spacing w:after="0"/>
        <w:tabs>
          <w:tab w:leader="none" w:pos="7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700" w:hanging="694"/>
        <w:spacing w:after="0"/>
        <w:tabs>
          <w:tab w:leader="none" w:pos="7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700" w:hanging="694"/>
        <w:spacing w:after="0"/>
        <w:tabs>
          <w:tab w:leader="none" w:pos="7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700" w:hanging="694"/>
        <w:spacing w:after="0"/>
        <w:tabs>
          <w:tab w:leader="none" w:pos="7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7820" w:type="dxa"/>
            <w:vAlign w:val="bottom"/>
            <w:gridSpan w:val="5"/>
          </w:tcPr>
          <w:p>
            <w:pPr>
              <w:ind w:left="260"/>
              <w:spacing w:after="0"/>
              <w:rPr>
                <w:sz w:val="20"/>
                <w:szCs w:val="20"/>
                <w:color w:val="auto"/>
              </w:rPr>
            </w:pPr>
            <w:r>
              <w:rPr>
                <w:rFonts w:ascii="Arial" w:cs="Arial" w:eastAsia="Arial" w:hAnsi="Arial"/>
                <w:sz w:val="16"/>
                <w:szCs w:val="16"/>
                <w:b w:val="1"/>
                <w:bCs w:val="1"/>
                <w:color w:val="auto"/>
              </w:rPr>
              <w:t>Securities registered pursuant to Section 12(b) of the Act:</w:t>
            </w:r>
          </w:p>
        </w:tc>
      </w:tr>
      <w:tr>
        <w:trPr>
          <w:trHeight w:val="316"/>
        </w:trPr>
        <w:tc>
          <w:tcPr>
            <w:tcW w:w="3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1"/>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9"/>
        </w:trPr>
        <w:tc>
          <w:tcPr>
            <w:tcW w:w="3440" w:type="dxa"/>
            <w:vAlign w:val="bottom"/>
            <w:tcBorders>
              <w:bottom w:val="single" w:sz="8" w:color="auto"/>
            </w:tcBorders>
          </w:tcPr>
          <w:p>
            <w:pPr>
              <w:jc w:val="center"/>
              <w:ind w:left="741"/>
              <w:spacing w:after="0"/>
              <w:rPr>
                <w:sz w:val="20"/>
                <w:szCs w:val="20"/>
                <w:color w:val="auto"/>
              </w:rPr>
            </w:pPr>
            <w:r>
              <w:rPr>
                <w:rFonts w:ascii="Arial" w:cs="Arial" w:eastAsia="Arial" w:hAnsi="Arial"/>
                <w:sz w:val="16"/>
                <w:szCs w:val="16"/>
                <w:b w:val="1"/>
                <w:bCs w:val="1"/>
                <w:color w:val="auto"/>
                <w:w w:val="85"/>
              </w:rPr>
              <w:t>Title of each class</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Name of each exchange on which registered</w:t>
            </w:r>
          </w:p>
        </w:tc>
      </w:tr>
      <w:tr>
        <w:trPr>
          <w:trHeight w:val="200"/>
        </w:trPr>
        <w:tc>
          <w:tcPr>
            <w:tcW w:w="3440" w:type="dxa"/>
            <w:vAlign w:val="bottom"/>
          </w:tcPr>
          <w:p>
            <w:pPr>
              <w:jc w:val="center"/>
              <w:ind w:left="741"/>
              <w:spacing w:after="0"/>
              <w:rPr>
                <w:sz w:val="20"/>
                <w:szCs w:val="20"/>
                <w:color w:val="auto"/>
              </w:rPr>
            </w:pPr>
            <w:r>
              <w:rPr>
                <w:rFonts w:ascii="Arial" w:cs="Arial" w:eastAsia="Arial" w:hAnsi="Arial"/>
                <w:sz w:val="16"/>
                <w:szCs w:val="16"/>
                <w:color w:val="auto"/>
                <w:w w:val="88"/>
              </w:rPr>
              <w:t>Common Stock, $0.10 Par Value</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2"/>
              </w:rPr>
              <w:t>BRO</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Arial" w:cs="Arial" w:eastAsia="Arial" w:hAnsi="Arial"/>
                <w:sz w:val="16"/>
                <w:szCs w:val="16"/>
                <w:color w:val="auto"/>
                <w:w w:val="89"/>
              </w:rPr>
              <w:t>New York Stock Exchange</w:t>
            </w:r>
          </w:p>
        </w:tc>
      </w:tr>
    </w:tbl>
    <w:p>
      <w:pPr>
        <w:spacing w:after="0" w:line="177" w:lineRule="exact"/>
        <w:rPr>
          <w:sz w:val="24"/>
          <w:szCs w:val="24"/>
          <w:color w:val="auto"/>
        </w:rPr>
      </w:pPr>
    </w:p>
    <w:p>
      <w:pPr>
        <w:ind w:right="24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5" w:lineRule="exact"/>
        <w:rPr>
          <w:sz w:val="24"/>
          <w:szCs w:val="24"/>
          <w:color w:val="auto"/>
        </w:rPr>
      </w:pPr>
    </w:p>
    <w:p>
      <w:pPr>
        <w:ind w:right="320"/>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104775</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119380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414655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6" w:right="31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6"/>
          <w:szCs w:val="16"/>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198" w:lineRule="exact"/>
        <w:rPr>
          <w:sz w:val="20"/>
          <w:szCs w:val="20"/>
          <w:color w:val="auto"/>
        </w:rPr>
      </w:pPr>
    </w:p>
    <w:p>
      <w:pPr>
        <w:ind w:right="220"/>
        <w:spacing w:after="0" w:line="302" w:lineRule="auto"/>
        <w:rPr>
          <w:sz w:val="20"/>
          <w:szCs w:val="20"/>
          <w:color w:val="auto"/>
        </w:rPr>
      </w:pPr>
      <w:r>
        <w:rPr>
          <w:rFonts w:ascii="Arial" w:cs="Arial" w:eastAsia="Arial" w:hAnsi="Arial"/>
          <w:sz w:val="15"/>
          <w:szCs w:val="15"/>
          <w:color w:val="auto"/>
        </w:rPr>
        <w:t>Brown &amp; Brown, Inc., a Florida corporation (the “Company”), is scheduled to host an Investor Day on September 14, 2023 beginning at 8:00 a.m. EDT. The slides that will be presented at the presentation are furnished as Exhibit 99.1 to this Current Report on Form 8-K and are incorporated by reference into this item 7.01.</w:t>
      </w:r>
    </w:p>
    <w:p>
      <w:pPr>
        <w:spacing w:after="0" w:line="134" w:lineRule="exact"/>
        <w:rPr>
          <w:sz w:val="20"/>
          <w:szCs w:val="20"/>
          <w:color w:val="auto"/>
        </w:rPr>
      </w:pPr>
    </w:p>
    <w:p>
      <w:pPr>
        <w:ind w:right="480"/>
        <w:spacing w:after="0" w:line="268" w:lineRule="auto"/>
        <w:rPr>
          <w:sz w:val="20"/>
          <w:szCs w:val="20"/>
          <w:color w:val="auto"/>
        </w:rPr>
      </w:pPr>
      <w:r>
        <w:rPr>
          <w:rFonts w:ascii="Arial" w:cs="Arial" w:eastAsia="Arial" w:hAnsi="Arial"/>
          <w:sz w:val="16"/>
          <w:szCs w:val="16"/>
          <w:color w:val="auto"/>
        </w:rPr>
        <w:t>A replay of the audio from the event will be archived on Brown &amp; Brown’s website, www.bbinsurance.com, for 14 days after the event. To access the website replay, go to www.bbinsurance.com and click on “Investor Relations” then “Calendar of Events.”</w:t>
      </w:r>
    </w:p>
    <w:p>
      <w:pPr>
        <w:spacing w:after="0" w:line="157"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information furnished in this Item 7.01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regardless of any general incorporation language in such filing, except as shall be expressly set forth by specific reference in such filing.</w:t>
      </w:r>
    </w:p>
    <w:p>
      <w:pPr>
        <w:spacing w:after="0" w:line="162"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(d) Exhibits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furnished herewith: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vMerge w:val="restart"/>
          </w:tcPr>
          <w:p>
            <w:pPr>
              <w:ind w:left="720"/>
              <w:spacing w:after="0"/>
              <w:rPr>
                <w:sz w:val="20"/>
                <w:szCs w:val="20"/>
                <w:color w:val="auto"/>
              </w:rPr>
            </w:pPr>
            <w:r>
              <w:rPr>
                <w:rFonts w:ascii="Arial" w:cs="Arial" w:eastAsia="Arial" w:hAnsi="Arial"/>
                <w:sz w:val="16"/>
                <w:szCs w:val="16"/>
                <w:b w:val="1"/>
                <w:bCs w:val="1"/>
                <w:color w:val="auto"/>
                <w:w w:val="93"/>
              </w:rPr>
              <w:t>Exhibit</w:t>
            </w:r>
          </w:p>
        </w:tc>
        <w:tc>
          <w:tcPr>
            <w:tcW w:w="1080" w:type="dxa"/>
            <w:vAlign w:val="bottom"/>
            <w:vMerge w:val="restart"/>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4"/>
              </w:rPr>
              <w:t>Description</w:t>
            </w:r>
          </w:p>
        </w:tc>
        <w:tc>
          <w:tcPr>
            <w:tcW w:w="2700" w:type="dxa"/>
            <w:vAlign w:val="bottom"/>
            <w:vMerge w:val="restart"/>
          </w:tcPr>
          <w:p>
            <w:pPr>
              <w:spacing w:after="0"/>
              <w:rPr>
                <w:sz w:val="17"/>
                <w:szCs w:val="17"/>
                <w:color w:val="auto"/>
              </w:rPr>
            </w:pPr>
          </w:p>
        </w:tc>
        <w:tc>
          <w:tcPr>
            <w:tcW w:w="51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00" w:type="dxa"/>
            <w:vAlign w:val="bottom"/>
            <w:vMerge w:val="continue"/>
          </w:tcPr>
          <w:p>
            <w:pPr>
              <w:spacing w:after="0" w:line="20" w:lineRule="exact"/>
              <w:rPr>
                <w:sz w:val="1"/>
                <w:szCs w:val="1"/>
                <w:color w:val="auto"/>
              </w:rPr>
            </w:pPr>
          </w:p>
        </w:tc>
        <w:tc>
          <w:tcPr>
            <w:tcW w:w="51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line="165" w:lineRule="exact"/>
              <w:rPr>
                <w:sz w:val="20"/>
                <w:szCs w:val="20"/>
                <w:color w:val="auto"/>
              </w:rPr>
            </w:pPr>
            <w:r>
              <w:rPr>
                <w:rFonts w:ascii="Arial" w:cs="Arial" w:eastAsia="Arial" w:hAnsi="Arial"/>
                <w:sz w:val="16"/>
                <w:szCs w:val="16"/>
                <w:b w:val="1"/>
                <w:bCs w:val="1"/>
                <w:color w:val="auto"/>
                <w:w w:val="85"/>
              </w:rPr>
              <w:t>No.</w:t>
            </w:r>
          </w:p>
        </w:tc>
        <w:tc>
          <w:tcPr>
            <w:tcW w:w="72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060" w:type="dxa"/>
            <w:vAlign w:val="bottom"/>
            <w:gridSpan w:val="3"/>
          </w:tcPr>
          <w:p>
            <w:pPr>
              <w:ind w:left="100"/>
              <w:spacing w:after="0"/>
              <w:rPr>
                <w:sz w:val="20"/>
                <w:szCs w:val="20"/>
                <w:color w:val="auto"/>
              </w:rPr>
            </w:pPr>
            <w:r>
              <w:rPr>
                <w:rFonts w:ascii="Arial" w:cs="Arial" w:eastAsia="Arial" w:hAnsi="Arial"/>
                <w:sz w:val="16"/>
                <w:szCs w:val="16"/>
                <w:color w:val="auto"/>
              </w:rPr>
              <w:t>99.1</w:t>
            </w: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0000FF"/>
              </w:rPr>
              <w:t>Brown &amp; Brown, Inc. Investor Day Slide Presentation.</w:t>
            </w:r>
          </w:p>
        </w:tc>
        <w:tc>
          <w:tcPr>
            <w:tcW w:w="0" w:type="dxa"/>
            <w:vAlign w:val="bottom"/>
          </w:tcPr>
          <w:p>
            <w:pPr>
              <w:spacing w:after="0"/>
              <w:rPr>
                <w:sz w:val="1"/>
                <w:szCs w:val="1"/>
                <w:color w:val="auto"/>
              </w:rPr>
            </w:pPr>
          </w:p>
        </w:tc>
      </w:tr>
      <w:tr>
        <w:trPr>
          <w:trHeight w:val="20"/>
        </w:trPr>
        <w:tc>
          <w:tcPr>
            <w:tcW w:w="10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EE"/>
            </w:tcBorders>
            <w:gridSpan w:val="2"/>
            <w:shd w:val="clear" w:color="auto" w:fill="0000FF"/>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60" w:type="dxa"/>
            <w:vAlign w:val="bottom"/>
            <w:gridSpan w:val="3"/>
          </w:tcPr>
          <w:p>
            <w:pPr>
              <w:ind w:left="100"/>
              <w:spacing w:after="0"/>
              <w:rPr>
                <w:sz w:val="20"/>
                <w:szCs w:val="20"/>
                <w:color w:val="auto"/>
              </w:rPr>
            </w:pPr>
            <w:r>
              <w:rPr>
                <w:rFonts w:ascii="Arial" w:cs="Arial" w:eastAsia="Arial" w:hAnsi="Arial"/>
                <w:sz w:val="16"/>
                <w:szCs w:val="16"/>
                <w:color w:val="auto"/>
              </w:rPr>
              <w:t>104</w:t>
            </w: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Cover Page Interactive Data File (formatted as inline XBRL).</w:t>
            </w:r>
          </w:p>
        </w:tc>
        <w:tc>
          <w:tcPr>
            <w:tcW w:w="0" w:type="dxa"/>
            <w:vAlign w:val="bottom"/>
          </w:tcPr>
          <w:p>
            <w:pPr>
              <w:spacing w:after="0"/>
              <w:rPr>
                <w:sz w:val="1"/>
                <w:szCs w:val="1"/>
                <w:color w:val="auto"/>
              </w:rPr>
            </w:pPr>
          </w:p>
        </w:tc>
      </w:tr>
      <w:tr>
        <w:trPr>
          <w:trHeight w:val="2051"/>
        </w:trPr>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2" w:name="page3"/>
    <w:bookmarkEnd w:id="2"/>
    <w:p>
      <w:pPr>
        <w:ind w:left="5160"/>
        <w:spacing w:after="0"/>
        <w:rPr>
          <w:sz w:val="20"/>
          <w:szCs w:val="20"/>
          <w:color w:val="auto"/>
        </w:rPr>
      </w:pPr>
      <w:r>
        <w:rPr>
          <w:rFonts w:ascii="Arial" w:cs="Arial" w:eastAsia="Arial" w:hAnsi="Arial"/>
          <w:sz w:val="16"/>
          <w:szCs w:val="16"/>
          <w:b w:val="1"/>
          <w:bCs w:val="1"/>
          <w:color w:val="auto"/>
        </w:rPr>
        <w:t>SIGNATURE</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92"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BROWN &amp; BROWN, INC.</w:t>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(Registrant)</w:t>
      </w:r>
    </w:p>
    <w:p>
      <w:pPr>
        <w:spacing w:after="0" w:line="337"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September 13,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Anthony M.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19050</wp:posOffset>
            </wp:positionV>
            <wp:extent cx="32816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Anthony M. Robinson</w:t>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389255</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312" w:right="85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840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70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5870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55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5855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6009005</wp:posOffset>
            </wp:positionV>
            <wp:extent cx="717486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6009005</wp:posOffset>
            </wp:positionV>
            <wp:extent cx="717486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6009005</wp:posOffset>
            </wp:positionV>
            <wp:extent cx="717486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2023-09-14T05:28:43Z</dcterms:created>
  <dcterms:modified xsi:type="dcterms:W3CDTF">2023-09-14T05:28:43Z</dcterms:modified>
</cp:coreProperties>
</file>