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120"/>
        <w:spacing w:after="0"/>
        <w:rPr>
          <w:sz w:val="20"/>
          <w:szCs w:val="20"/>
          <w:color w:val="auto"/>
        </w:rPr>
      </w:pPr>
      <w:r>
        <w:rPr>
          <w:rFonts w:ascii="Courier New" w:cs="Courier New" w:eastAsia="Courier New" w:hAnsi="Courier New"/>
          <w:sz w:val="16"/>
          <w:szCs w:val="16"/>
          <w:color w:val="auto"/>
        </w:rPr>
        <w:t>U.S. SECURITIES AND EXCHANGE COMMISSION</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12B-25</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NOTIFICATION OF LATE FILING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(check one)</w:t>
      </w:r>
    </w:p>
    <w:p>
      <w:pPr>
        <w:sectPr>
          <w:pgSz w:w="11900" w:h="16838" w:orient="portrait"/>
          <w:cols w:equalWidth="0" w:num="1">
            <w:col w:w="10219"/>
          </w:cols>
          <w:pgMar w:left="240" w:top="244" w:right="1440" w:bottom="1440" w:gutter="0" w:footer="0" w:header="0"/>
        </w:sectPr>
      </w:pPr>
    </w:p>
    <w:p>
      <w:pPr>
        <w:spacing w:after="0" w:line="202" w:lineRule="exact"/>
        <w:rPr>
          <w:sz w:val="24"/>
          <w:szCs w:val="24"/>
          <w:color w:val="auto"/>
        </w:rPr>
      </w:pPr>
    </w:p>
    <w:p>
      <w:pPr>
        <w:spacing w:after="0"/>
        <w:tabs>
          <w:tab w:leader="none" w:pos="1680" w:val="left"/>
          <w:tab w:leader="none" w:pos="3460" w:val="left"/>
        </w:tabs>
        <w:rPr>
          <w:sz w:val="20"/>
          <w:szCs w:val="20"/>
          <w:color w:val="auto"/>
        </w:rPr>
      </w:pPr>
      <w:r>
        <w:rPr>
          <w:rFonts w:ascii="Courier New" w:cs="Courier New" w:eastAsia="Courier New" w:hAnsi="Courier New"/>
          <w:sz w:val="18"/>
          <w:szCs w:val="18"/>
          <w:color w:val="auto"/>
        </w:rPr>
        <w:t>( ) FORM 10-K</w:t>
      </w:r>
      <w:r>
        <w:rPr>
          <w:sz w:val="20"/>
          <w:szCs w:val="20"/>
          <w:color w:val="auto"/>
        </w:rPr>
        <w:tab/>
      </w:r>
      <w:r>
        <w:rPr>
          <w:rFonts w:ascii="Courier New" w:cs="Courier New" w:eastAsia="Courier New" w:hAnsi="Courier New"/>
          <w:sz w:val="18"/>
          <w:szCs w:val="18"/>
          <w:color w:val="auto"/>
        </w:rPr>
        <w:t>( ) FORM 20-F</w:t>
      </w:r>
      <w:r>
        <w:rPr>
          <w:sz w:val="20"/>
          <w:szCs w:val="20"/>
          <w:color w:val="auto"/>
        </w:rPr>
        <w:tab/>
      </w:r>
      <w:r>
        <w:rPr>
          <w:rFonts w:ascii="Courier New" w:cs="Courier New" w:eastAsia="Courier New" w:hAnsi="Courier New"/>
          <w:sz w:val="16"/>
          <w:szCs w:val="16"/>
          <w:color w:val="auto"/>
        </w:rPr>
        <w:t>(X) FORM-11K</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 ) FORM 10-Q</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FORM N-SAR</w:t>
      </w:r>
    </w:p>
    <w:p>
      <w:pPr>
        <w:spacing w:after="0" w:line="17" w:lineRule="exact"/>
        <w:rPr>
          <w:sz w:val="24"/>
          <w:szCs w:val="24"/>
          <w:color w:val="auto"/>
        </w:rPr>
      </w:pPr>
    </w:p>
    <w:p>
      <w:pPr>
        <w:sectPr>
          <w:pgSz w:w="11900" w:h="16838" w:orient="portrait"/>
          <w:cols w:equalWidth="0" w:num="3">
            <w:col w:w="4740" w:space="420"/>
            <w:col w:w="1380" w:space="420"/>
            <w:col w:w="3259"/>
          </w:cols>
          <w:pgMar w:left="240" w:top="244" w:right="1440" w:bottom="1440" w:gutter="0" w:footer="0" w:header="0"/>
          <w:type w:val="continuous"/>
        </w:sectPr>
      </w:pPr>
    </w:p>
    <w:p>
      <w:pPr>
        <w:spacing w:after="0"/>
        <w:tabs>
          <w:tab w:leader="none" w:pos="1980" w:val="left"/>
        </w:tabs>
        <w:rPr>
          <w:sz w:val="20"/>
          <w:szCs w:val="20"/>
          <w:color w:val="auto"/>
        </w:rPr>
      </w:pPr>
      <w:r>
        <w:rPr>
          <w:rFonts w:ascii="Courier New" w:cs="Courier New" w:eastAsia="Courier New" w:hAnsi="Courier New"/>
          <w:sz w:val="18"/>
          <w:szCs w:val="18"/>
          <w:color w:val="auto"/>
        </w:rPr>
        <w:t>For period Ended:</w:t>
      </w:r>
      <w:r>
        <w:rPr>
          <w:sz w:val="20"/>
          <w:szCs w:val="20"/>
          <w:color w:val="auto"/>
        </w:rPr>
        <w:tab/>
      </w:r>
      <w:r>
        <w:rPr>
          <w:rFonts w:ascii="Courier New" w:cs="Courier New" w:eastAsia="Courier New" w:hAnsi="Courier New"/>
          <w:sz w:val="16"/>
          <w:szCs w:val="16"/>
          <w:color w:val="auto"/>
        </w:rPr>
        <w:t>December 31, 1994</w:t>
      </w:r>
    </w:p>
    <w:p>
      <w:pPr>
        <w:sectPr>
          <w:pgSz w:w="11900" w:h="16838" w:orient="portrait"/>
          <w:cols w:equalWidth="0" w:num="1">
            <w:col w:w="10219"/>
          </w:cols>
          <w:pgMar w:left="240" w:top="244" w:right="1440" w:bottom="1440" w:gutter="0" w:footer="0" w:header="0"/>
          <w:type w:val="continuous"/>
        </w:sectPr>
      </w:pPr>
    </w:p>
    <w:p>
      <w:pPr>
        <w:spacing w:after="0" w:line="202"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10-K</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20-F</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11-K</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10-Q</w:t>
      </w:r>
    </w:p>
    <w:p>
      <w:pPr>
        <w:ind w:left="320" w:hanging="312"/>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on Form N-SAR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Transition Period Ended:</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Nothing in this form shall be construed to imply that the Commission has verified any information contained herein.</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If the notification relates to a portion of the filing checked above, identify</w:t>
      </w:r>
    </w:p>
    <w:p>
      <w:pPr>
        <w:spacing w:after="0" w:line="16"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the Item(s) to which the notification relates:</w:t>
      </w:r>
      <w:r>
        <w:rPr>
          <w:sz w:val="20"/>
          <w:szCs w:val="20"/>
          <w:color w:val="auto"/>
        </w:rPr>
        <w:tab/>
      </w:r>
      <w:r>
        <w:rPr>
          <w:rFonts w:ascii="Courier New" w:cs="Courier New" w:eastAsia="Courier New" w:hAnsi="Courier New"/>
          <w:sz w:val="16"/>
          <w:szCs w:val="16"/>
          <w:color w:val="auto"/>
        </w:rPr>
        <w:t>Not applicable</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Part 1 -</w:t>
      </w:r>
      <w:r>
        <w:rPr>
          <w:sz w:val="20"/>
          <w:szCs w:val="20"/>
          <w:color w:val="auto"/>
        </w:rPr>
        <w:tab/>
      </w:r>
      <w:r>
        <w:rPr>
          <w:rFonts w:ascii="Courier New" w:cs="Courier New" w:eastAsia="Courier New" w:hAnsi="Courier New"/>
          <w:sz w:val="16"/>
          <w:szCs w:val="16"/>
          <w:color w:val="auto"/>
        </w:rPr>
        <w:t>Registrant Information</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POE &amp; BROWN,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(Full Name of Registrant)</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Poe &amp; Associates, Inc.</w:t>
      </w:r>
    </w:p>
    <w:p>
      <w:pPr>
        <w:ind w:left="2740"/>
        <w:spacing w:after="0" w:line="238" w:lineRule="auto"/>
        <w:rPr>
          <w:sz w:val="20"/>
          <w:szCs w:val="20"/>
          <w:color w:val="auto"/>
        </w:rPr>
      </w:pPr>
      <w:r>
        <w:rPr>
          <w:rFonts w:ascii="Courier New" w:cs="Courier New" w:eastAsia="Courier New" w:hAnsi="Courier New"/>
          <w:sz w:val="18"/>
          <w:szCs w:val="18"/>
          <w:color w:val="auto"/>
        </w:rPr>
        <w:t>(Former Name of Registrant)</w:t>
      </w:r>
    </w:p>
    <w:p>
      <w:pPr>
        <w:sectPr>
          <w:pgSz w:w="11900" w:h="16838" w:orient="portrait"/>
          <w:cols w:equalWidth="0" w:num="1">
            <w:col w:w="10219"/>
          </w:cols>
          <w:pgMar w:left="240" w:top="244" w:right="1440" w:bottom="1440" w:gutter="0" w:footer="0" w:header="0"/>
          <w:type w:val="continuous"/>
        </w:sectPr>
      </w:pP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220 S. RIDGEWOOD AVENUE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DAYTONA BEACH, FL 32114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(City, Sales and Zip Code)</w:t>
      </w:r>
    </w:p>
    <w:p>
      <w:pPr>
        <w:sectPr>
          <w:pgSz w:w="11900" w:h="16838" w:orient="portrait"/>
          <w:cols w:equalWidth="0" w:num="2">
            <w:col w:w="4880" w:space="720"/>
            <w:col w:w="461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Rules 12b-25 (b) and (c)</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subject report could not be filed without unreasonable effort or expense and the Registrant seeks relief pursuant to Rule 12b-25 (b), the following should be completed. (Check box if appropriate.)</w:t>
      </w:r>
    </w:p>
    <w:p>
      <w:pPr>
        <w:spacing w:after="0" w:line="209" w:lineRule="exact"/>
        <w:rPr>
          <w:sz w:val="20"/>
          <w:szCs w:val="20"/>
          <w:color w:val="auto"/>
        </w:rPr>
      </w:pPr>
    </w:p>
    <w:p>
      <w:pPr>
        <w:ind w:right="2199" w:firstLine="956"/>
        <w:spacing w:after="0" w:line="235"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reasons described in reasonable detail in Part III of this form could not be eliminated without unreasonable effort or expense;</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47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subject annual report, semi-annual report, transition report on Form 10-K, Form 20-F, 11-K or Form N- SAR, or portion thereof will be filed on or before the fifteenth calendar day following the prescribed due date; or the subject quarterly report or transition report on Form 10-Q, or portion thereof will be filed on or before the fifth calendar day following the prescribed due date; and</w:t>
      </w:r>
    </w:p>
    <w:p>
      <w:pPr>
        <w:spacing w:after="0" w:line="204"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Accountant's statement or other exhibit required by Rule</w:t>
      </w:r>
    </w:p>
    <w:p>
      <w:pPr>
        <w:spacing w:after="0" w:line="238" w:lineRule="auto"/>
        <w:rPr>
          <w:sz w:val="20"/>
          <w:szCs w:val="20"/>
          <w:color w:val="auto"/>
        </w:rPr>
      </w:pPr>
      <w:r>
        <w:rPr>
          <w:rFonts w:ascii="Courier New" w:cs="Courier New" w:eastAsia="Courier New" w:hAnsi="Courier New"/>
          <w:sz w:val="18"/>
          <w:szCs w:val="18"/>
          <w:color w:val="auto"/>
        </w:rPr>
        <w:t>12b-25(c) has been attached, if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 - Narrative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State below in reasonable detail the reason why Form 10-K, 20-F, 11-K, 10-Q, N-SAR, or the transition report or portion thereof could not be filed within the prescribed period.</w:t>
      </w:r>
    </w:p>
    <w:p>
      <w:pPr>
        <w:spacing w:after="0" w:line="209" w:lineRule="exact"/>
        <w:rPr>
          <w:sz w:val="20"/>
          <w:szCs w:val="20"/>
          <w:color w:val="auto"/>
        </w:rPr>
      </w:pPr>
    </w:p>
    <w:p>
      <w:pPr>
        <w:ind w:right="2199" w:firstLine="948"/>
        <w:spacing w:after="0" w:line="237" w:lineRule="auto"/>
        <w:rPr>
          <w:sz w:val="20"/>
          <w:szCs w:val="20"/>
          <w:color w:val="auto"/>
        </w:rPr>
      </w:pPr>
      <w:r>
        <w:rPr>
          <w:rFonts w:ascii="Courier New" w:cs="Courier New" w:eastAsia="Courier New" w:hAnsi="Courier New"/>
          <w:sz w:val="18"/>
          <w:szCs w:val="18"/>
          <w:color w:val="auto"/>
        </w:rPr>
        <w:t>The Registrant cannot file Form 11-K on or before its June 29, 1995 filing date (due 180 days after the end of its December 31, 1994 fiscal year end) in accordance with the provisions of Reg. Sec. 249-311 without unreasonable effort because:</w:t>
      </w:r>
    </w:p>
    <w:p>
      <w:pPr>
        <w:spacing w:after="0" w:line="207" w:lineRule="exact"/>
        <w:rPr>
          <w:sz w:val="20"/>
          <w:szCs w:val="20"/>
          <w:color w:val="auto"/>
        </w:rPr>
      </w:pPr>
    </w:p>
    <w:p>
      <w:pPr>
        <w:jc w:val="both"/>
        <w:ind w:right="1879" w:firstLine="956"/>
        <w:spacing w:after="0" w:line="237" w:lineRule="auto"/>
        <w:tabs>
          <w:tab w:leader="none" w:pos="147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plan administrators on 3/31/95 from CPI Qualified Plan Consultants, Inc. to Benefit Concepts, Inc. has caused some unexpected delays in the completion and accumulation of 1994 financial data from the prior administrator to allow for finalization of the audit report.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IV - Other Information</w:t>
      </w:r>
    </w:p>
    <w:p>
      <w:pPr>
        <w:spacing w:after="0" w:line="207" w:lineRule="exact"/>
        <w:rPr>
          <w:sz w:val="20"/>
          <w:szCs w:val="20"/>
          <w:color w:val="auto"/>
        </w:rPr>
      </w:pPr>
    </w:p>
    <w:p>
      <w:pPr>
        <w:ind w:left="1480" w:hanging="524"/>
        <w:spacing w:after="0"/>
        <w:tabs>
          <w:tab w:leader="none" w:pos="14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and telephone number of person to contact in regard to this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notification:</w:t>
      </w:r>
    </w:p>
    <w:tbl>
      <w:tblPr>
        <w:tblLayout w:type="fixed"/>
        <w:tblInd w:w="2220" w:type="dxa"/>
        <w:tblCellMar>
          <w:top w:w="0" w:type="dxa"/>
          <w:left w:w="0" w:type="dxa"/>
          <w:bottom w:w="0" w:type="dxa"/>
          <w:right w:w="0" w:type="dxa"/>
        </w:tblCellMar>
      </w:tblPr>
      <w:tr>
        <w:trPr>
          <w:trHeight w:val="203"/>
        </w:trPr>
        <w:tc>
          <w:tcPr>
            <w:tcW w:w="1940" w:type="dxa"/>
            <w:vAlign w:val="bottom"/>
          </w:tcPr>
          <w:p>
            <w:pPr>
              <w:spacing w:after="0"/>
              <w:rPr>
                <w:sz w:val="20"/>
                <w:szCs w:val="20"/>
                <w:color w:val="auto"/>
              </w:rPr>
            </w:pPr>
            <w:r>
              <w:rPr>
                <w:rFonts w:ascii="Courier New" w:cs="Courier New" w:eastAsia="Courier New" w:hAnsi="Courier New"/>
                <w:sz w:val="18"/>
                <w:szCs w:val="18"/>
                <w:color w:val="auto"/>
              </w:rPr>
              <w:t>Timothy L. Young</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(904) 239-5700</w:t>
            </w:r>
          </w:p>
        </w:tc>
      </w:tr>
    </w:tbl>
    <w:p>
      <w:pPr>
        <w:spacing w:after="0" w:line="207" w:lineRule="exact"/>
        <w:rPr>
          <w:sz w:val="20"/>
          <w:szCs w:val="20"/>
          <w:color w:val="auto"/>
        </w:rPr>
      </w:pPr>
    </w:p>
    <w:p>
      <w:pPr>
        <w:ind w:right="2099" w:firstLine="956"/>
        <w:spacing w:after="0" w:line="237"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spacing w:after="0" w:line="1" w:lineRule="exact"/>
        <w:rPr>
          <w:rFonts w:ascii="Courier New" w:cs="Courier New" w:eastAsia="Courier New" w:hAnsi="Courier New"/>
          <w:sz w:val="18"/>
          <w:szCs w:val="18"/>
          <w:color w:val="auto"/>
        </w:rPr>
      </w:pPr>
    </w:p>
    <w:p>
      <w:pPr>
        <w:ind w:left="3900" w:hanging="521"/>
        <w:spacing w:after="0" w:line="238" w:lineRule="auto"/>
        <w:tabs>
          <w:tab w:leader="none" w:pos="39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Yes ( ) No</w:t>
      </w:r>
    </w:p>
    <w:p>
      <w:pPr>
        <w:spacing w:after="0" w:line="207" w:lineRule="exact"/>
        <w:rPr>
          <w:rFonts w:ascii="Courier New" w:cs="Courier New" w:eastAsia="Courier New" w:hAnsi="Courier New"/>
          <w:sz w:val="18"/>
          <w:szCs w:val="18"/>
          <w:color w:val="auto"/>
        </w:rPr>
      </w:pPr>
    </w:p>
    <w:p>
      <w:pPr>
        <w:jc w:val="both"/>
        <w:ind w:right="2319" w:firstLine="956"/>
        <w:spacing w:after="0" w:line="237" w:lineRule="auto"/>
        <w:tabs>
          <w:tab w:leader="none" w:pos="147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it anticipated that any significant change in results of operations from the corresponding period for the last fiscal year will be reflected by the earning statements to be included in the subject report or portion thereof?</w:t>
      </w:r>
    </w:p>
    <w:p>
      <w:pPr>
        <w:ind w:left="3380"/>
        <w:spacing w:after="0"/>
        <w:tabs>
          <w:tab w:leader="none" w:pos="388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Yes (X) No</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If so, attached an explanation of the anticipated change (see below), both narratively and,</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quantitatively, and, if appropriate, state the reason why a reasonable estimate of the results cannot be made.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POE &amp; BROWN, INC.</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of Registrant as specified in charter)</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has caused this notification to be signed on its behalf by the undersigned thereunto duly authorized.</w:t>
      </w:r>
    </w:p>
    <w:p>
      <w:pPr>
        <w:sectPr>
          <w:pgSz w:w="11900" w:h="16838" w:orient="portrait"/>
          <w:cols w:equalWidth="0" w:num="1">
            <w:col w:w="10219"/>
          </w:cols>
          <w:pgMar w:left="240" w:top="312"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8"/>
          <w:szCs w:val="18"/>
          <w:color w:val="auto"/>
        </w:rPr>
        <w:t>June 28, 1995</w:t>
      </w:r>
    </w:p>
    <w:p>
      <w:pPr>
        <w:spacing w:after="0" w:line="4"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Timothy L. Young</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Timothy L. Young</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Treasurer</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&amp; Chief Financial Officer</w:t>
      </w:r>
    </w:p>
    <w:sectPr>
      <w:pgSz w:w="11900" w:h="16838" w:orient="portrait"/>
      <w:cols w:equalWidth="0" w:num="3">
        <w:col w:w="540" w:space="0"/>
        <w:col w:w="3380" w:space="720"/>
        <w:col w:w="557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lvl w:ilvl="1">
      <w:lvlJc w:val="left"/>
      <w:lvlText w:val="(%2)"/>
      <w:numFmt w:val="upperLetter"/>
      <w:start w:val="2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2019-12-13T06:23:23Z</dcterms:created>
  <dcterms:modified xsi:type="dcterms:W3CDTF">2019-12-13T06:23:23Z</dcterms:modified>
</cp:coreProperties>
</file>